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D6FBC6">
      <w:pPr>
        <w:rPr>
          <w:rFonts w:hint="default" w:ascii="Times New Roman" w:hAnsi="Times New Roman" w:eastAsia="仿宋_GB2312" w:cs="Times New Roman"/>
          <w:sz w:val="36"/>
          <w:szCs w:val="36"/>
        </w:rPr>
      </w:pPr>
    </w:p>
    <w:p w14:paraId="6C56B7DD">
      <w:pPr>
        <w:rPr>
          <w:rFonts w:hint="default" w:ascii="Times New Roman" w:hAnsi="Times New Roman" w:eastAsia="仿宋_GB2312" w:cs="Times New Roman"/>
          <w:sz w:val="36"/>
          <w:szCs w:val="36"/>
        </w:rPr>
      </w:pPr>
    </w:p>
    <w:p w14:paraId="56E51C8E">
      <w:pPr>
        <w:rPr>
          <w:rFonts w:hint="default" w:ascii="Times New Roman" w:hAnsi="Times New Roman" w:eastAsia="仿宋_GB2312" w:cs="Times New Roman"/>
          <w:sz w:val="36"/>
          <w:szCs w:val="36"/>
        </w:rPr>
      </w:pPr>
    </w:p>
    <w:p w14:paraId="5AC55D96">
      <w:pPr>
        <w:rPr>
          <w:rFonts w:hint="default" w:ascii="Times New Roman" w:hAnsi="Times New Roman" w:eastAsia="仿宋_GB2312" w:cs="Times New Roman"/>
          <w:sz w:val="36"/>
          <w:szCs w:val="36"/>
        </w:rPr>
      </w:pPr>
    </w:p>
    <w:p w14:paraId="1DAB9DA2">
      <w:pPr>
        <w:rPr>
          <w:rFonts w:hint="default" w:ascii="Times New Roman" w:hAnsi="Times New Roman" w:eastAsia="仿宋_GB2312" w:cs="Times New Roman"/>
          <w:sz w:val="36"/>
          <w:szCs w:val="36"/>
        </w:rPr>
      </w:pPr>
    </w:p>
    <w:p w14:paraId="594568E9">
      <w:pPr>
        <w:rPr>
          <w:rFonts w:hint="default" w:ascii="Times New Roman" w:hAnsi="Times New Roman" w:eastAsia="仿宋_GB2312" w:cs="Times New Roman"/>
          <w:sz w:val="36"/>
          <w:szCs w:val="36"/>
        </w:rPr>
      </w:pPr>
    </w:p>
    <w:p w14:paraId="3DFF2F29">
      <w:pPr>
        <w:rPr>
          <w:rFonts w:hint="default" w:ascii="Times New Roman" w:hAnsi="Times New Roman" w:eastAsia="仿宋_GB2312" w:cs="Times New Roman"/>
          <w:sz w:val="36"/>
          <w:szCs w:val="36"/>
        </w:rPr>
      </w:pPr>
    </w:p>
    <w:p w14:paraId="35B4BF17">
      <w:pPr>
        <w:adjustRightInd w:val="0"/>
        <w:snapToGrid w:val="0"/>
        <w:jc w:val="center"/>
        <w:outlineLvl w:val="0"/>
        <w:rPr>
          <w:rFonts w:hint="default" w:ascii="Times New Roman" w:hAnsi="Times New Roman" w:eastAsia="方正小标宋_GBK" w:cs="Times New Roman"/>
          <w:bCs/>
          <w:sz w:val="72"/>
          <w:szCs w:val="72"/>
        </w:rPr>
      </w:pPr>
      <w:bookmarkStart w:id="0" w:name="_Toc1592"/>
      <w:r>
        <w:rPr>
          <w:rFonts w:hint="default" w:ascii="Times New Roman" w:hAnsi="Times New Roman" w:eastAsia="方正小标宋_GBK" w:cs="Times New Roman"/>
          <w:bCs/>
          <w:sz w:val="72"/>
          <w:szCs w:val="72"/>
        </w:rPr>
        <w:t>建设项目环境影响报告表</w:t>
      </w:r>
      <w:bookmarkEnd w:id="0"/>
    </w:p>
    <w:p w14:paraId="2CCAB799">
      <w:pPr>
        <w:adjustRightInd w:val="0"/>
        <w:snapToGrid w:val="0"/>
        <w:spacing w:before="192" w:beforeLines="80"/>
        <w:jc w:val="center"/>
        <w:rPr>
          <w:rFonts w:hint="default" w:ascii="Times New Roman" w:hAnsi="Times New Roman" w:eastAsia="楷体_GB2312" w:cs="Times New Roman"/>
          <w:bCs/>
          <w:sz w:val="48"/>
          <w:szCs w:val="48"/>
        </w:rPr>
      </w:pPr>
      <w:r>
        <w:rPr>
          <w:rFonts w:hint="default" w:ascii="Times New Roman" w:hAnsi="Times New Roman" w:eastAsia="楷体_GB2312" w:cs="Times New Roman"/>
          <w:bCs/>
          <w:sz w:val="48"/>
          <w:szCs w:val="48"/>
        </w:rPr>
        <w:t>（污染影响类）</w:t>
      </w:r>
    </w:p>
    <w:p w14:paraId="755F6696">
      <w:pPr>
        <w:adjustRightInd w:val="0"/>
        <w:snapToGrid w:val="0"/>
        <w:spacing w:line="288" w:lineRule="auto"/>
        <w:jc w:val="center"/>
        <w:outlineLvl w:val="9"/>
        <w:rPr>
          <w:rFonts w:hint="default" w:ascii="Times New Roman" w:hAnsi="Times New Roman" w:eastAsia="华文仿宋" w:cs="Times New Roman"/>
          <w:color w:val="000000"/>
          <w:kern w:val="44"/>
          <w:sz w:val="44"/>
          <w:szCs w:val="44"/>
        </w:rPr>
      </w:pPr>
    </w:p>
    <w:p w14:paraId="2A50C3A6">
      <w:pPr>
        <w:jc w:val="center"/>
        <w:rPr>
          <w:rFonts w:hint="default" w:ascii="Times New Roman" w:hAnsi="Times New Roman" w:eastAsia="仿宋" w:cs="Times New Roman"/>
          <w:sz w:val="52"/>
          <w:szCs w:val="52"/>
        </w:rPr>
      </w:pPr>
    </w:p>
    <w:p w14:paraId="0204A213">
      <w:pPr>
        <w:ind w:firstLine="1040"/>
        <w:rPr>
          <w:rFonts w:hint="default" w:ascii="Times New Roman" w:hAnsi="Times New Roman" w:eastAsia="仿宋" w:cs="Times New Roman"/>
          <w:sz w:val="44"/>
          <w:szCs w:val="44"/>
        </w:rPr>
      </w:pPr>
    </w:p>
    <w:p w14:paraId="7B977794">
      <w:pPr>
        <w:ind w:firstLine="1040"/>
        <w:rPr>
          <w:rFonts w:hint="default" w:ascii="Times New Roman" w:hAnsi="Times New Roman" w:eastAsia="仿宋" w:cs="Times New Roman"/>
          <w:sz w:val="44"/>
          <w:szCs w:val="44"/>
        </w:rPr>
      </w:pPr>
    </w:p>
    <w:p w14:paraId="669B972D">
      <w:pPr>
        <w:ind w:firstLine="1040"/>
        <w:rPr>
          <w:rFonts w:hint="default" w:ascii="Times New Roman" w:hAnsi="Times New Roman" w:eastAsia="仿宋" w:cs="Times New Roman"/>
          <w:sz w:val="44"/>
          <w:szCs w:val="44"/>
        </w:rPr>
      </w:pPr>
    </w:p>
    <w:p w14:paraId="16A6D123">
      <w:pPr>
        <w:ind w:firstLine="1040"/>
        <w:rPr>
          <w:rFonts w:hint="default" w:ascii="Times New Roman" w:hAnsi="Times New Roman" w:eastAsia="仿宋" w:cs="Times New Roman"/>
          <w:sz w:val="44"/>
          <w:szCs w:val="44"/>
        </w:rPr>
      </w:pPr>
    </w:p>
    <w:p w14:paraId="697AF4B5">
      <w:pPr>
        <w:adjustRightInd w:val="0"/>
        <w:snapToGrid w:val="0"/>
        <w:spacing w:line="288" w:lineRule="auto"/>
        <w:ind w:left="0" w:leftChars="0" w:firstLine="0" w:firstLineChars="0"/>
        <w:rPr>
          <w:rFonts w:hint="default" w:ascii="Times New Roman" w:hAnsi="Times New Roman" w:eastAsia="仿宋_GB2312" w:cs="Times New Roman"/>
          <w:sz w:val="36"/>
          <w:szCs w:val="36"/>
          <w:u w:val="single"/>
          <w:lang w:val="en-US" w:eastAsia="zh-CN"/>
        </w:rPr>
      </w:pPr>
      <w:r>
        <w:rPr>
          <w:rFonts w:hint="default" w:ascii="Times New Roman" w:hAnsi="Times New Roman" w:eastAsia="仿宋_GB2312" w:cs="Times New Roman"/>
          <w:sz w:val="36"/>
          <w:szCs w:val="36"/>
        </w:rPr>
        <w:t>项目名称：</w:t>
      </w:r>
      <w:r>
        <w:rPr>
          <w:rFonts w:hint="default" w:ascii="Times New Roman" w:hAnsi="Times New Roman" w:eastAsia="仿宋_GB2312" w:cs="Times New Roman"/>
          <w:sz w:val="36"/>
          <w:szCs w:val="36"/>
          <w:u w:val="single"/>
          <w:lang w:val="en-US" w:eastAsia="zh-CN"/>
        </w:rPr>
        <w:t xml:space="preserve">    </w:t>
      </w:r>
      <w:r>
        <w:rPr>
          <w:rFonts w:hint="eastAsia" w:ascii="Times New Roman" w:hAnsi="Times New Roman" w:eastAsia="仿宋_GB2312" w:cs="Times New Roman"/>
          <w:sz w:val="36"/>
          <w:szCs w:val="36"/>
          <w:u w:val="single"/>
          <w:lang w:val="en-US" w:eastAsia="zh-CN"/>
        </w:rPr>
        <w:t>高效氢燃料电池膜电极产业化</w:t>
      </w:r>
      <w:r>
        <w:rPr>
          <w:rFonts w:hint="default" w:ascii="Times New Roman" w:hAnsi="Times New Roman" w:eastAsia="仿宋_GB2312" w:cs="Times New Roman"/>
          <w:sz w:val="36"/>
          <w:szCs w:val="36"/>
          <w:u w:val="single"/>
          <w:lang w:val="en-US" w:eastAsia="zh-CN"/>
        </w:rPr>
        <w:t xml:space="preserve">项目          </w:t>
      </w:r>
    </w:p>
    <w:p w14:paraId="3C5D386B">
      <w:pPr>
        <w:adjustRightInd w:val="0"/>
        <w:snapToGrid w:val="0"/>
        <w:spacing w:line="288" w:lineRule="auto"/>
        <w:ind w:left="0" w:leftChars="0" w:firstLine="0" w:firstLineChars="0"/>
        <w:rPr>
          <w:rFonts w:hint="default" w:ascii="Times New Roman" w:hAnsi="Times New Roman" w:eastAsia="仿宋_GB2312" w:cs="Times New Roman"/>
          <w:sz w:val="36"/>
          <w:szCs w:val="36"/>
          <w:u w:val="single"/>
          <w:lang w:val="en-US"/>
        </w:rPr>
      </w:pPr>
      <w:r>
        <w:rPr>
          <w:rFonts w:hint="default" w:ascii="Times New Roman" w:hAnsi="Times New Roman" w:eastAsia="仿宋_GB2312" w:cs="Times New Roman"/>
          <w:sz w:val="36"/>
          <w:szCs w:val="36"/>
        </w:rPr>
        <w:t>建设单位（盖章）：</w:t>
      </w:r>
      <w:r>
        <w:rPr>
          <w:rFonts w:hint="default" w:ascii="Times New Roman" w:hAnsi="Times New Roman" w:eastAsia="仿宋_GB2312" w:cs="Times New Roman"/>
          <w:sz w:val="36"/>
          <w:szCs w:val="36"/>
          <w:u w:val="single"/>
          <w:lang w:val="en-US" w:eastAsia="zh-CN"/>
        </w:rPr>
        <w:t xml:space="preserve"> 陕西</w:t>
      </w:r>
      <w:r>
        <w:rPr>
          <w:rFonts w:hint="eastAsia" w:ascii="Times New Roman" w:hAnsi="Times New Roman" w:eastAsia="仿宋_GB2312" w:cs="Times New Roman"/>
          <w:sz w:val="36"/>
          <w:szCs w:val="36"/>
          <w:u w:val="single"/>
          <w:lang w:val="en-US" w:eastAsia="zh-CN"/>
        </w:rPr>
        <w:t>盛世氢芯科技</w:t>
      </w:r>
      <w:r>
        <w:rPr>
          <w:rFonts w:hint="default" w:ascii="Times New Roman" w:hAnsi="Times New Roman" w:eastAsia="仿宋_GB2312" w:cs="Times New Roman"/>
          <w:sz w:val="36"/>
          <w:szCs w:val="36"/>
          <w:u w:val="single"/>
          <w:lang w:val="en-US" w:eastAsia="zh-CN"/>
        </w:rPr>
        <w:t xml:space="preserve">有限公司 </w:t>
      </w:r>
      <w:r>
        <w:rPr>
          <w:rFonts w:hint="eastAsia" w:ascii="Times New Roman" w:hAnsi="Times New Roman" w:eastAsia="仿宋_GB2312" w:cs="Times New Roman"/>
          <w:sz w:val="36"/>
          <w:szCs w:val="36"/>
          <w:u w:val="single"/>
          <w:lang w:val="en-US" w:eastAsia="zh-CN"/>
        </w:rPr>
        <w:t xml:space="preserve">    </w:t>
      </w:r>
      <w:r>
        <w:rPr>
          <w:rFonts w:hint="default" w:ascii="Times New Roman" w:hAnsi="Times New Roman" w:eastAsia="仿宋_GB2312" w:cs="Times New Roman"/>
          <w:sz w:val="36"/>
          <w:szCs w:val="36"/>
          <w:u w:val="single"/>
          <w:lang w:val="en-US" w:eastAsia="zh-CN"/>
        </w:rPr>
        <w:t xml:space="preserve"> </w:t>
      </w:r>
    </w:p>
    <w:p w14:paraId="3060A0CB">
      <w:pPr>
        <w:adjustRightInd w:val="0"/>
        <w:snapToGrid w:val="0"/>
        <w:spacing w:line="288" w:lineRule="auto"/>
        <w:ind w:left="0" w:leftChars="0" w:firstLine="0" w:firstLineChars="0"/>
        <w:rPr>
          <w:rFonts w:hint="default" w:ascii="Times New Roman" w:hAnsi="Times New Roman" w:eastAsia="仿宋_GB2312" w:cs="Times New Roman"/>
          <w:sz w:val="36"/>
          <w:szCs w:val="36"/>
          <w:u w:val="single"/>
        </w:rPr>
      </w:pPr>
      <w:r>
        <w:rPr>
          <w:rFonts w:hint="default" w:ascii="Times New Roman" w:hAnsi="Times New Roman" w:eastAsia="仿宋_GB2312" w:cs="Times New Roman"/>
          <w:sz w:val="36"/>
          <w:szCs w:val="36"/>
        </w:rPr>
        <w:t>编制日期：</w:t>
      </w:r>
      <w:r>
        <w:rPr>
          <w:rFonts w:hint="default" w:ascii="Times New Roman" w:hAnsi="Times New Roman" w:eastAsia="仿宋_GB2312" w:cs="Times New Roman"/>
          <w:sz w:val="36"/>
          <w:szCs w:val="36"/>
          <w:u w:val="single"/>
        </w:rPr>
        <w:t xml:space="preserve">    </w:t>
      </w:r>
      <w:r>
        <w:rPr>
          <w:rFonts w:hint="default" w:ascii="Times New Roman" w:hAnsi="Times New Roman" w:eastAsia="仿宋_GB2312" w:cs="Times New Roman"/>
          <w:sz w:val="36"/>
          <w:szCs w:val="36"/>
          <w:u w:val="single"/>
          <w:lang w:val="en-US" w:eastAsia="zh-CN"/>
        </w:rPr>
        <w:t xml:space="preserve">      </w:t>
      </w:r>
      <w:r>
        <w:rPr>
          <w:rFonts w:hint="default" w:ascii="Times New Roman" w:hAnsi="Times New Roman" w:eastAsia="仿宋_GB2312" w:cs="Times New Roman"/>
          <w:sz w:val="36"/>
          <w:szCs w:val="36"/>
          <w:u w:val="single"/>
        </w:rPr>
        <w:t xml:space="preserve">  </w:t>
      </w:r>
      <w:r>
        <w:rPr>
          <w:rFonts w:hint="default" w:ascii="Times New Roman" w:hAnsi="Times New Roman" w:eastAsia="仿宋_GB2312" w:cs="Times New Roman"/>
          <w:sz w:val="36"/>
          <w:szCs w:val="36"/>
          <w:u w:val="single"/>
          <w:lang w:val="en-US" w:eastAsia="zh-CN"/>
        </w:rPr>
        <w:t>二〇二</w:t>
      </w:r>
      <w:r>
        <w:rPr>
          <w:rFonts w:hint="eastAsia" w:eastAsia="仿宋_GB2312" w:cs="Times New Roman"/>
          <w:sz w:val="36"/>
          <w:szCs w:val="36"/>
          <w:u w:val="single"/>
          <w:lang w:val="en-US" w:eastAsia="zh-CN"/>
        </w:rPr>
        <w:t>六</w:t>
      </w:r>
      <w:r>
        <w:rPr>
          <w:rFonts w:hint="default" w:ascii="Times New Roman" w:hAnsi="Times New Roman" w:eastAsia="仿宋_GB2312" w:cs="Times New Roman"/>
          <w:sz w:val="36"/>
          <w:szCs w:val="36"/>
          <w:u w:val="single"/>
          <w:lang w:val="en-US" w:eastAsia="zh-CN"/>
        </w:rPr>
        <w:t>年</w:t>
      </w:r>
      <w:r>
        <w:rPr>
          <w:rFonts w:hint="eastAsia" w:eastAsia="仿宋_GB2312" w:cs="Times New Roman"/>
          <w:sz w:val="36"/>
          <w:szCs w:val="36"/>
          <w:u w:val="single"/>
          <w:lang w:val="en-US" w:eastAsia="zh-CN"/>
        </w:rPr>
        <w:t>一</w:t>
      </w:r>
      <w:r>
        <w:rPr>
          <w:rFonts w:hint="default" w:ascii="Times New Roman" w:hAnsi="Times New Roman" w:eastAsia="仿宋_GB2312" w:cs="Times New Roman"/>
          <w:sz w:val="36"/>
          <w:szCs w:val="36"/>
          <w:u w:val="single"/>
          <w:lang w:val="en-US" w:eastAsia="zh-CN"/>
        </w:rPr>
        <w:t>月</w:t>
      </w:r>
      <w:r>
        <w:rPr>
          <w:rFonts w:hint="default" w:ascii="Times New Roman" w:hAnsi="Times New Roman" w:eastAsia="仿宋_GB2312" w:cs="Times New Roman"/>
          <w:sz w:val="36"/>
          <w:szCs w:val="36"/>
          <w:u w:val="single"/>
        </w:rPr>
        <w:t xml:space="preserve">    </w:t>
      </w:r>
      <w:r>
        <w:rPr>
          <w:rFonts w:hint="default" w:ascii="Times New Roman" w:hAnsi="Times New Roman" w:eastAsia="仿宋_GB2312" w:cs="Times New Roman"/>
          <w:sz w:val="36"/>
          <w:szCs w:val="36"/>
          <w:u w:val="single"/>
          <w:lang w:val="en-US" w:eastAsia="zh-CN"/>
        </w:rPr>
        <w:t xml:space="preserve">   </w:t>
      </w:r>
      <w:r>
        <w:rPr>
          <w:rFonts w:hint="eastAsia" w:ascii="Times New Roman" w:hAnsi="Times New Roman" w:eastAsia="仿宋_GB2312" w:cs="Times New Roman"/>
          <w:sz w:val="36"/>
          <w:szCs w:val="36"/>
          <w:u w:val="single"/>
          <w:lang w:val="en-US" w:eastAsia="zh-CN"/>
        </w:rPr>
        <w:t xml:space="preserve"> </w:t>
      </w:r>
      <w:r>
        <w:rPr>
          <w:rFonts w:hint="default" w:ascii="Times New Roman" w:hAnsi="Times New Roman" w:eastAsia="仿宋_GB2312" w:cs="Times New Roman"/>
          <w:sz w:val="36"/>
          <w:szCs w:val="36"/>
          <w:u w:val="single"/>
          <w:lang w:val="en-US" w:eastAsia="zh-CN"/>
        </w:rPr>
        <w:t xml:space="preserve">    </w:t>
      </w:r>
      <w:r>
        <w:rPr>
          <w:rFonts w:hint="default" w:ascii="Times New Roman" w:hAnsi="Times New Roman" w:eastAsia="仿宋_GB2312" w:cs="Times New Roman"/>
          <w:sz w:val="36"/>
          <w:szCs w:val="36"/>
          <w:u w:val="single"/>
        </w:rPr>
        <w:t xml:space="preserve"> </w:t>
      </w:r>
    </w:p>
    <w:p w14:paraId="5752BE1F">
      <w:pPr>
        <w:adjustRightInd w:val="0"/>
        <w:snapToGrid w:val="0"/>
        <w:spacing w:line="288" w:lineRule="auto"/>
        <w:ind w:firstLine="1040"/>
        <w:rPr>
          <w:rFonts w:hint="default" w:ascii="Times New Roman" w:hAnsi="Times New Roman" w:eastAsia="仿宋_GB2312" w:cs="Times New Roman"/>
          <w:sz w:val="36"/>
          <w:szCs w:val="36"/>
          <w:u w:val="single"/>
        </w:rPr>
      </w:pPr>
      <w:bookmarkStart w:id="1" w:name="_Hlk57884087"/>
    </w:p>
    <w:p w14:paraId="38AAF3F9">
      <w:pPr>
        <w:adjustRightInd w:val="0"/>
        <w:snapToGrid w:val="0"/>
        <w:spacing w:line="288" w:lineRule="auto"/>
        <w:ind w:firstLine="1040"/>
        <w:rPr>
          <w:rFonts w:hint="default" w:ascii="Times New Roman" w:hAnsi="Times New Roman" w:eastAsia="仿宋_GB2312" w:cs="Times New Roman"/>
          <w:sz w:val="36"/>
          <w:szCs w:val="36"/>
        </w:rPr>
      </w:pPr>
    </w:p>
    <w:p w14:paraId="2E1CE61E">
      <w:pPr>
        <w:adjustRightInd w:val="0"/>
        <w:snapToGrid w:val="0"/>
        <w:spacing w:line="288" w:lineRule="auto"/>
        <w:ind w:firstLine="1040"/>
        <w:rPr>
          <w:rFonts w:hint="default" w:ascii="Times New Roman" w:hAnsi="Times New Roman" w:eastAsia="仿宋_GB2312" w:cs="Times New Roman"/>
          <w:sz w:val="36"/>
          <w:szCs w:val="36"/>
        </w:rPr>
      </w:pPr>
    </w:p>
    <w:p w14:paraId="32DC5C1C">
      <w:pPr>
        <w:adjustRightInd w:val="0"/>
        <w:snapToGrid w:val="0"/>
        <w:spacing w:line="288" w:lineRule="auto"/>
        <w:ind w:firstLine="1040"/>
        <w:rPr>
          <w:rFonts w:hint="default" w:ascii="Times New Roman" w:hAnsi="Times New Roman" w:eastAsia="仿宋_GB2312" w:cs="Times New Roman"/>
          <w:sz w:val="36"/>
          <w:szCs w:val="36"/>
        </w:rPr>
      </w:pPr>
    </w:p>
    <w:p w14:paraId="3333C295">
      <w:pPr>
        <w:adjustRightInd w:val="0"/>
        <w:snapToGrid w:val="0"/>
        <w:spacing w:line="288" w:lineRule="auto"/>
        <w:ind w:firstLine="1040"/>
        <w:rPr>
          <w:rFonts w:hint="default" w:ascii="Times New Roman" w:hAnsi="Times New Roman" w:eastAsia="仿宋_GB2312" w:cs="Times New Roman"/>
          <w:sz w:val="36"/>
          <w:szCs w:val="36"/>
        </w:rPr>
      </w:pPr>
    </w:p>
    <w:bookmarkEnd w:id="1"/>
    <w:p w14:paraId="36317322">
      <w:pPr>
        <w:adjustRightInd w:val="0"/>
        <w:snapToGrid w:val="0"/>
        <w:spacing w:line="288" w:lineRule="auto"/>
        <w:jc w:val="center"/>
        <w:rPr>
          <w:rFonts w:hint="default" w:ascii="Times New Roman" w:hAnsi="Times New Roman" w:eastAsia="楷体_GB2312" w:cs="Times New Roman"/>
          <w:sz w:val="36"/>
          <w:szCs w:val="36"/>
        </w:rPr>
      </w:pPr>
      <w:r>
        <w:rPr>
          <w:rFonts w:hint="default" w:ascii="Times New Roman" w:hAnsi="Times New Roman" w:eastAsia="楷体_GB2312" w:cs="Times New Roman"/>
          <w:sz w:val="36"/>
          <w:szCs w:val="36"/>
        </w:rPr>
        <w:t>中华人民共和国生态环境部制</w:t>
      </w:r>
    </w:p>
    <w:p w14:paraId="4E489F83">
      <w:pPr>
        <w:adjustRightInd w:val="0"/>
        <w:snapToGrid w:val="0"/>
        <w:spacing w:line="288" w:lineRule="auto"/>
        <w:ind w:firstLine="1040"/>
        <w:rPr>
          <w:rFonts w:hint="default" w:ascii="Times New Roman" w:hAnsi="Times New Roman" w:eastAsia="仿宋_GB2312" w:cs="Times New Roman"/>
          <w:sz w:val="36"/>
          <w:szCs w:val="36"/>
        </w:rPr>
      </w:pPr>
    </w:p>
    <w:p w14:paraId="5F0DFEB1">
      <w:pPr>
        <w:pStyle w:val="23"/>
        <w:jc w:val="center"/>
        <w:outlineLvl w:val="0"/>
        <w:rPr>
          <w:rFonts w:hint="default" w:ascii="Times New Roman" w:hAnsi="Times New Roman" w:eastAsia="黑体" w:cs="Times New Roman"/>
          <w:snapToGrid w:val="0"/>
          <w:sz w:val="30"/>
          <w:szCs w:val="30"/>
        </w:rPr>
        <w:sectPr>
          <w:headerReference r:id="rId3" w:type="default"/>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bookmarkStart w:id="2" w:name="_Toc22238"/>
    </w:p>
    <w:p w14:paraId="75ED6E96">
      <w:pPr>
        <w:pStyle w:val="23"/>
        <w:jc w:val="center"/>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0"/>
          <w:szCs w:val="30"/>
        </w:rPr>
        <w:t>一、建设项目基本情况</w:t>
      </w:r>
      <w:bookmarkEnd w:id="2"/>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27"/>
        <w:gridCol w:w="2250"/>
        <w:gridCol w:w="1867"/>
        <w:gridCol w:w="3026"/>
      </w:tblGrid>
      <w:tr w14:paraId="5ED67E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7" w:type="dxa"/>
            <w:noWrap w:val="0"/>
            <w:tcMar>
              <w:top w:w="16" w:type="dxa"/>
              <w:left w:w="16" w:type="dxa"/>
              <w:right w:w="16" w:type="dxa"/>
            </w:tcMar>
            <w:vAlign w:val="center"/>
          </w:tcPr>
          <w:p w14:paraId="77DDCBFE">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建设项目名称</w:t>
            </w:r>
          </w:p>
        </w:tc>
        <w:tc>
          <w:tcPr>
            <w:tcW w:w="7143" w:type="dxa"/>
            <w:gridSpan w:val="3"/>
            <w:noWrap w:val="0"/>
            <w:vAlign w:val="center"/>
          </w:tcPr>
          <w:p w14:paraId="6FE0882A">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高效氢燃料电池膜电极产业化项目</w:t>
            </w:r>
          </w:p>
        </w:tc>
      </w:tr>
      <w:tr w14:paraId="1B68BE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7" w:type="dxa"/>
            <w:noWrap w:val="0"/>
            <w:tcMar>
              <w:top w:w="16" w:type="dxa"/>
              <w:left w:w="16" w:type="dxa"/>
              <w:right w:w="16" w:type="dxa"/>
            </w:tcMar>
            <w:vAlign w:val="center"/>
          </w:tcPr>
          <w:p w14:paraId="5E22FF17">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项目代码</w:t>
            </w:r>
          </w:p>
        </w:tc>
        <w:tc>
          <w:tcPr>
            <w:tcW w:w="7143" w:type="dxa"/>
            <w:gridSpan w:val="3"/>
            <w:noWrap w:val="0"/>
            <w:vAlign w:val="center"/>
          </w:tcPr>
          <w:p w14:paraId="1FCF3301">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w:t>
            </w:r>
          </w:p>
        </w:tc>
      </w:tr>
      <w:tr w14:paraId="09ABF0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7" w:type="dxa"/>
            <w:noWrap w:val="0"/>
            <w:tcMar>
              <w:top w:w="16" w:type="dxa"/>
              <w:left w:w="16" w:type="dxa"/>
              <w:right w:w="16" w:type="dxa"/>
            </w:tcMar>
            <w:vAlign w:val="center"/>
          </w:tcPr>
          <w:p w14:paraId="5D6C4760">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建设单位联系人</w:t>
            </w:r>
          </w:p>
        </w:tc>
        <w:tc>
          <w:tcPr>
            <w:tcW w:w="2250" w:type="dxa"/>
            <w:noWrap w:val="0"/>
            <w:vAlign w:val="center"/>
          </w:tcPr>
          <w:p w14:paraId="587EBDB1">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张娇娇</w:t>
            </w:r>
          </w:p>
        </w:tc>
        <w:tc>
          <w:tcPr>
            <w:tcW w:w="1867" w:type="dxa"/>
            <w:noWrap w:val="0"/>
            <w:vAlign w:val="center"/>
          </w:tcPr>
          <w:p w14:paraId="691ED84C">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联系方式</w:t>
            </w:r>
          </w:p>
        </w:tc>
        <w:tc>
          <w:tcPr>
            <w:tcW w:w="3026" w:type="dxa"/>
            <w:noWrap w:val="0"/>
            <w:vAlign w:val="center"/>
          </w:tcPr>
          <w:p w14:paraId="7F5CC48D">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13389102460</w:t>
            </w:r>
          </w:p>
        </w:tc>
      </w:tr>
      <w:tr w14:paraId="5CB6A1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7" w:type="dxa"/>
            <w:noWrap w:val="0"/>
            <w:tcMar>
              <w:top w:w="16" w:type="dxa"/>
              <w:left w:w="16" w:type="dxa"/>
              <w:right w:w="16" w:type="dxa"/>
            </w:tcMar>
            <w:vAlign w:val="center"/>
          </w:tcPr>
          <w:p w14:paraId="1985D657">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建设地点</w:t>
            </w:r>
          </w:p>
        </w:tc>
        <w:tc>
          <w:tcPr>
            <w:tcW w:w="7143" w:type="dxa"/>
            <w:gridSpan w:val="3"/>
            <w:noWrap w:val="0"/>
            <w:vAlign w:val="center"/>
          </w:tcPr>
          <w:p w14:paraId="5190EDF1">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陕西省西咸新区泾河新城永乐镇泾河智造创新产业园18#3层</w:t>
            </w:r>
          </w:p>
        </w:tc>
      </w:tr>
      <w:tr w14:paraId="3148F4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7" w:type="dxa"/>
            <w:noWrap w:val="0"/>
            <w:tcMar>
              <w:top w:w="16" w:type="dxa"/>
              <w:left w:w="16" w:type="dxa"/>
              <w:right w:w="16" w:type="dxa"/>
            </w:tcMar>
            <w:vAlign w:val="center"/>
          </w:tcPr>
          <w:p w14:paraId="68A12E40">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地理坐标</w:t>
            </w:r>
          </w:p>
        </w:tc>
        <w:tc>
          <w:tcPr>
            <w:tcW w:w="7143" w:type="dxa"/>
            <w:gridSpan w:val="3"/>
            <w:noWrap w:val="0"/>
            <w:vAlign w:val="center"/>
          </w:tcPr>
          <w:p w14:paraId="12067D8A">
            <w:pPr>
              <w:jc w:val="center"/>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u w:val="none"/>
                <w:lang w:val="en-US" w:eastAsia="zh-CN"/>
              </w:rPr>
              <w:t>东经：108°57'28.63</w:t>
            </w:r>
            <w:r>
              <w:rPr>
                <w:rFonts w:hint="eastAsia" w:ascii="Times New Roman" w:hAnsi="Times New Roman" w:cs="Times New Roman"/>
                <w:color w:val="auto"/>
                <w:sz w:val="24"/>
                <w:szCs w:val="24"/>
                <w:u w:val="none"/>
                <w:lang w:val="en-US" w:eastAsia="zh-CN"/>
              </w:rPr>
              <w:t>9</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w:t>
            </w:r>
            <w:r>
              <w:rPr>
                <w:rFonts w:hint="default" w:ascii="Times New Roman" w:hAnsi="Times New Roman" w:cs="Times New Roman"/>
                <w:color w:val="auto"/>
                <w:sz w:val="24"/>
                <w:szCs w:val="24"/>
                <w:u w:val="none"/>
                <w:lang w:val="en-US" w:eastAsia="zh-CN"/>
              </w:rPr>
              <w:t>北纬：34°32'09.176"</w:t>
            </w:r>
          </w:p>
        </w:tc>
      </w:tr>
      <w:tr w14:paraId="535A4B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27" w:type="dxa"/>
            <w:noWrap w:val="0"/>
            <w:tcMar>
              <w:top w:w="16" w:type="dxa"/>
              <w:left w:w="16" w:type="dxa"/>
              <w:right w:w="16" w:type="dxa"/>
            </w:tcMar>
            <w:vAlign w:val="center"/>
          </w:tcPr>
          <w:p w14:paraId="634F0C00">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国民经济</w:t>
            </w:r>
          </w:p>
          <w:p w14:paraId="3BC8C9D2">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p>
        </w:tc>
        <w:tc>
          <w:tcPr>
            <w:tcW w:w="2250" w:type="dxa"/>
            <w:noWrap w:val="0"/>
            <w:vAlign w:val="center"/>
          </w:tcPr>
          <w:p w14:paraId="17D7F70D">
            <w:pPr>
              <w:adjustRightInd w:val="0"/>
              <w:snapToGrid w:val="0"/>
              <w:jc w:val="center"/>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highlight w:val="none"/>
              </w:rPr>
              <w:t>C3849 其他电池制造</w:t>
            </w:r>
          </w:p>
          <w:p w14:paraId="3CA0AEBB">
            <w:pPr>
              <w:adjustRightInd w:val="0"/>
              <w:snapToGrid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C</w:t>
            </w:r>
            <w:r>
              <w:rPr>
                <w:rFonts w:hint="eastAsia" w:cs="Times New Roman"/>
                <w:color w:val="auto"/>
                <w:sz w:val="24"/>
                <w:szCs w:val="24"/>
                <w:lang w:val="en-US" w:eastAsia="zh-CN"/>
              </w:rPr>
              <w:t>2929</w:t>
            </w:r>
            <w:r>
              <w:rPr>
                <w:rFonts w:ascii="宋体" w:hAnsi="宋体" w:eastAsia="宋体" w:cs="宋体"/>
                <w:color w:val="auto"/>
                <w:sz w:val="24"/>
                <w:szCs w:val="24"/>
              </w:rPr>
              <w:t>塑料零件及其他塑料制品制造</w:t>
            </w:r>
          </w:p>
        </w:tc>
        <w:tc>
          <w:tcPr>
            <w:tcW w:w="1867" w:type="dxa"/>
            <w:noWrap w:val="0"/>
            <w:vAlign w:val="center"/>
          </w:tcPr>
          <w:p w14:paraId="3EF1EDE5">
            <w:pPr>
              <w:adjustRightInd w:val="0"/>
              <w:snapToGrid w:val="0"/>
              <w:jc w:val="center"/>
              <w:rPr>
                <w:rFonts w:hint="default" w:ascii="Times New Roman" w:hAnsi="Times New Roman" w:cs="Times New Roman"/>
                <w:color w:val="auto"/>
                <w:sz w:val="24"/>
                <w:szCs w:val="24"/>
              </w:rPr>
            </w:pPr>
            <w:bookmarkStart w:id="3" w:name="_Hlk49843745"/>
            <w:r>
              <w:rPr>
                <w:rFonts w:hint="default" w:ascii="Times New Roman" w:hAnsi="Times New Roman" w:cs="Times New Roman"/>
                <w:color w:val="auto"/>
                <w:sz w:val="24"/>
                <w:szCs w:val="24"/>
              </w:rPr>
              <w:t>建设项目</w:t>
            </w:r>
          </w:p>
          <w:p w14:paraId="49EA30FB">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bookmarkEnd w:id="3"/>
          </w:p>
        </w:tc>
        <w:tc>
          <w:tcPr>
            <w:tcW w:w="3026" w:type="dxa"/>
            <w:noWrap w:val="0"/>
            <w:vAlign w:val="center"/>
          </w:tcPr>
          <w:p w14:paraId="26938FF3">
            <w:pPr>
              <w:adjustRightInd w:val="0"/>
              <w:snapToGrid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三十</w:t>
            </w:r>
            <w:r>
              <w:rPr>
                <w:rFonts w:hint="eastAsia" w:ascii="Times New Roman" w:hAnsi="Times New Roman" w:cs="Times New Roman"/>
                <w:color w:val="auto"/>
                <w:sz w:val="24"/>
                <w:szCs w:val="24"/>
                <w:lang w:val="en-US" w:eastAsia="zh-CN"/>
              </w:rPr>
              <w:t>五</w:t>
            </w:r>
            <w:r>
              <w:rPr>
                <w:rFonts w:hint="default" w:ascii="Times New Roman" w:hAnsi="Times New Roman" w:cs="Times New Roman"/>
                <w:color w:val="auto"/>
                <w:sz w:val="24"/>
                <w:szCs w:val="24"/>
                <w:lang w:val="en-US" w:eastAsia="zh-CN"/>
              </w:rPr>
              <w:t>、电气机械和器材制造业</w:t>
            </w:r>
            <w:r>
              <w:rPr>
                <w:rFonts w:hint="eastAsia" w:ascii="Times New Roman" w:hAnsi="Times New Roman" w:cs="Times New Roman"/>
                <w:color w:val="auto"/>
                <w:sz w:val="24"/>
                <w:szCs w:val="24"/>
                <w:lang w:val="en-US" w:eastAsia="zh-CN"/>
              </w:rPr>
              <w:t>38、电池制造、其他</w:t>
            </w:r>
          </w:p>
          <w:p w14:paraId="3A327FCB">
            <w:pPr>
              <w:adjustRightInd w:val="0"/>
              <w:snapToGrid w:val="0"/>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二十六、橡胶和塑料制品业29、塑料制品业292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其他</w:t>
            </w:r>
          </w:p>
        </w:tc>
      </w:tr>
      <w:tr w14:paraId="3F792D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27" w:type="dxa"/>
            <w:noWrap w:val="0"/>
            <w:tcMar>
              <w:top w:w="16" w:type="dxa"/>
              <w:left w:w="16" w:type="dxa"/>
              <w:right w:w="16" w:type="dxa"/>
            </w:tcMar>
            <w:vAlign w:val="center"/>
          </w:tcPr>
          <w:p w14:paraId="76530A0F">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建设性质</w:t>
            </w:r>
          </w:p>
        </w:tc>
        <w:tc>
          <w:tcPr>
            <w:tcW w:w="2250" w:type="dxa"/>
            <w:noWrap w:val="0"/>
            <w:vAlign w:val="center"/>
          </w:tcPr>
          <w:p w14:paraId="4518BD27">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新建（迁建）</w:t>
            </w:r>
          </w:p>
          <w:p w14:paraId="639D5DB9">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改建</w:t>
            </w:r>
          </w:p>
          <w:p w14:paraId="461C2BFA">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扩建</w:t>
            </w:r>
          </w:p>
          <w:p w14:paraId="7E5E352C">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技术改造</w:t>
            </w:r>
          </w:p>
        </w:tc>
        <w:tc>
          <w:tcPr>
            <w:tcW w:w="1867" w:type="dxa"/>
            <w:noWrap w:val="0"/>
            <w:vAlign w:val="center"/>
          </w:tcPr>
          <w:p w14:paraId="4CE67B35">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w:t>
            </w:r>
          </w:p>
          <w:p w14:paraId="14437E86">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申报情形</w:t>
            </w:r>
          </w:p>
        </w:tc>
        <w:tc>
          <w:tcPr>
            <w:tcW w:w="3026" w:type="dxa"/>
            <w:noWrap w:val="0"/>
            <w:vAlign w:val="center"/>
          </w:tcPr>
          <w:p w14:paraId="2A46CD6B">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52"/>
            </w:r>
            <w:r>
              <w:rPr>
                <w:rFonts w:hint="default" w:ascii="Times New Roman" w:hAnsi="Times New Roman" w:cs="Times New Roman"/>
                <w:color w:val="auto"/>
                <w:sz w:val="24"/>
                <w:szCs w:val="24"/>
              </w:rPr>
              <w:t>首次申报项目</w:t>
            </w:r>
          </w:p>
          <w:p w14:paraId="58F5F912">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不予批准后再次申报项目</w:t>
            </w:r>
          </w:p>
          <w:p w14:paraId="3647D852">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超五年重新审核项目</w:t>
            </w:r>
          </w:p>
          <w:p w14:paraId="76AA8A63">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重大变动重新报批项目</w:t>
            </w:r>
          </w:p>
        </w:tc>
      </w:tr>
      <w:tr w14:paraId="4969B4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27" w:type="dxa"/>
            <w:noWrap w:val="0"/>
            <w:tcMar>
              <w:top w:w="16" w:type="dxa"/>
              <w:left w:w="16" w:type="dxa"/>
              <w:right w:w="16" w:type="dxa"/>
            </w:tcMar>
            <w:vAlign w:val="center"/>
          </w:tcPr>
          <w:p w14:paraId="5B0E3032">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w:t>
            </w:r>
          </w:p>
          <w:p w14:paraId="236C809E">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备案）部门</w:t>
            </w:r>
          </w:p>
        </w:tc>
        <w:tc>
          <w:tcPr>
            <w:tcW w:w="2250" w:type="dxa"/>
            <w:noWrap w:val="0"/>
            <w:vAlign w:val="center"/>
          </w:tcPr>
          <w:p w14:paraId="48242DFA">
            <w:pPr>
              <w:adjustRightInd w:val="0"/>
              <w:snapToGrid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陕西省西咸新区</w:t>
            </w:r>
          </w:p>
          <w:p w14:paraId="157D1C28">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泾河新城管理委员会</w:t>
            </w:r>
          </w:p>
        </w:tc>
        <w:tc>
          <w:tcPr>
            <w:tcW w:w="1867" w:type="dxa"/>
            <w:noWrap w:val="0"/>
            <w:vAlign w:val="center"/>
          </w:tcPr>
          <w:p w14:paraId="4DC0104B">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项目审批（核准/备案）文号</w:t>
            </w:r>
          </w:p>
        </w:tc>
        <w:tc>
          <w:tcPr>
            <w:tcW w:w="3026" w:type="dxa"/>
            <w:noWrap w:val="0"/>
            <w:vAlign w:val="center"/>
          </w:tcPr>
          <w:p w14:paraId="6AFE429E">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r>
      <w:tr w14:paraId="1835C9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7" w:type="dxa"/>
            <w:noWrap w:val="0"/>
            <w:tcMar>
              <w:top w:w="16" w:type="dxa"/>
              <w:left w:w="16" w:type="dxa"/>
              <w:right w:w="16" w:type="dxa"/>
            </w:tcMar>
            <w:vAlign w:val="center"/>
          </w:tcPr>
          <w:p w14:paraId="66775764">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总投资（万元）</w:t>
            </w:r>
          </w:p>
        </w:tc>
        <w:tc>
          <w:tcPr>
            <w:tcW w:w="2250" w:type="dxa"/>
            <w:noWrap w:val="0"/>
            <w:vAlign w:val="center"/>
          </w:tcPr>
          <w:p w14:paraId="74CBF67E">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32000</w:t>
            </w:r>
          </w:p>
        </w:tc>
        <w:tc>
          <w:tcPr>
            <w:tcW w:w="1867" w:type="dxa"/>
            <w:noWrap w:val="0"/>
            <w:tcMar>
              <w:top w:w="16" w:type="dxa"/>
              <w:left w:w="16" w:type="dxa"/>
              <w:right w:w="16" w:type="dxa"/>
            </w:tcMar>
            <w:vAlign w:val="center"/>
          </w:tcPr>
          <w:p w14:paraId="5DD4EC42">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环保投资（万元）</w:t>
            </w:r>
          </w:p>
        </w:tc>
        <w:tc>
          <w:tcPr>
            <w:tcW w:w="3026" w:type="dxa"/>
            <w:noWrap w:val="0"/>
            <w:vAlign w:val="center"/>
          </w:tcPr>
          <w:p w14:paraId="4856952C">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30</w:t>
            </w:r>
          </w:p>
        </w:tc>
      </w:tr>
      <w:tr w14:paraId="44D8FE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7" w:type="dxa"/>
            <w:noWrap w:val="0"/>
            <w:tcMar>
              <w:top w:w="16" w:type="dxa"/>
              <w:left w:w="16" w:type="dxa"/>
              <w:right w:w="16" w:type="dxa"/>
            </w:tcMar>
            <w:vAlign w:val="center"/>
          </w:tcPr>
          <w:p w14:paraId="66D9A348">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环保投资占比（%）</w:t>
            </w:r>
          </w:p>
        </w:tc>
        <w:tc>
          <w:tcPr>
            <w:tcW w:w="2250" w:type="dxa"/>
            <w:noWrap w:val="0"/>
            <w:vAlign w:val="center"/>
          </w:tcPr>
          <w:p w14:paraId="4750BD1F">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0.09</w:t>
            </w:r>
          </w:p>
        </w:tc>
        <w:tc>
          <w:tcPr>
            <w:tcW w:w="1867" w:type="dxa"/>
            <w:noWrap w:val="0"/>
            <w:tcMar>
              <w:top w:w="16" w:type="dxa"/>
              <w:left w:w="16" w:type="dxa"/>
              <w:right w:w="16" w:type="dxa"/>
            </w:tcMar>
            <w:vAlign w:val="center"/>
          </w:tcPr>
          <w:p w14:paraId="7721D3A6">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施工工期</w:t>
            </w:r>
          </w:p>
        </w:tc>
        <w:tc>
          <w:tcPr>
            <w:tcW w:w="3026" w:type="dxa"/>
            <w:noWrap w:val="0"/>
            <w:vAlign w:val="center"/>
          </w:tcPr>
          <w:p w14:paraId="7F679431">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个月</w:t>
            </w:r>
          </w:p>
        </w:tc>
      </w:tr>
      <w:tr w14:paraId="0B5B91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7" w:type="dxa"/>
            <w:noWrap w:val="0"/>
            <w:tcMar>
              <w:top w:w="16" w:type="dxa"/>
              <w:left w:w="16" w:type="dxa"/>
              <w:right w:w="16" w:type="dxa"/>
            </w:tcMar>
            <w:vAlign w:val="center"/>
          </w:tcPr>
          <w:p w14:paraId="25480882">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是否开工建设</w:t>
            </w:r>
          </w:p>
        </w:tc>
        <w:tc>
          <w:tcPr>
            <w:tcW w:w="2250" w:type="dxa"/>
            <w:noWrap w:val="0"/>
            <w:vAlign w:val="center"/>
          </w:tcPr>
          <w:p w14:paraId="59D02807">
            <w:pPr>
              <w:adjustRightInd w:val="0"/>
              <w:snapToGrid w:val="0"/>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52"/>
            </w:r>
            <w:r>
              <w:rPr>
                <w:rFonts w:hint="default" w:ascii="Times New Roman" w:hAnsi="Times New Roman" w:cs="Times New Roman"/>
                <w:color w:val="auto"/>
                <w:sz w:val="24"/>
                <w:szCs w:val="24"/>
              </w:rPr>
              <w:t>否</w:t>
            </w:r>
          </w:p>
          <w:p w14:paraId="7C15E4B8">
            <w:pPr>
              <w:adjustRightInd w:val="0"/>
              <w:snapToGrid w:val="0"/>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是：</w:t>
            </w:r>
            <w:r>
              <w:rPr>
                <w:rFonts w:hint="default" w:ascii="Times New Roman" w:hAnsi="Times New Roman" w:cs="Times New Roman"/>
                <w:color w:val="auto"/>
                <w:sz w:val="24"/>
                <w:szCs w:val="24"/>
                <w:u w:val="single"/>
              </w:rPr>
              <w:t xml:space="preserve">          </w:t>
            </w:r>
          </w:p>
        </w:tc>
        <w:tc>
          <w:tcPr>
            <w:tcW w:w="1867" w:type="dxa"/>
            <w:noWrap w:val="0"/>
            <w:tcMar>
              <w:top w:w="16" w:type="dxa"/>
              <w:left w:w="16" w:type="dxa"/>
              <w:right w:w="16" w:type="dxa"/>
            </w:tcMar>
            <w:vAlign w:val="center"/>
          </w:tcPr>
          <w:p w14:paraId="4E813FC9">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pacing w:val="-6"/>
                <w:sz w:val="24"/>
                <w:szCs w:val="24"/>
              </w:rPr>
              <w:t>用地面积（m</w:t>
            </w:r>
            <w:r>
              <w:rPr>
                <w:rFonts w:hint="default" w:ascii="Times New Roman" w:hAnsi="Times New Roman" w:cs="Times New Roman"/>
                <w:color w:val="auto"/>
                <w:spacing w:val="-6"/>
                <w:sz w:val="24"/>
                <w:szCs w:val="24"/>
                <w:vertAlign w:val="superscript"/>
              </w:rPr>
              <w:t>2</w:t>
            </w:r>
            <w:r>
              <w:rPr>
                <w:rFonts w:hint="default" w:ascii="Times New Roman" w:hAnsi="Times New Roman" w:cs="Times New Roman"/>
                <w:color w:val="auto"/>
                <w:spacing w:val="-6"/>
                <w:sz w:val="24"/>
                <w:szCs w:val="24"/>
              </w:rPr>
              <w:t>）</w:t>
            </w:r>
          </w:p>
        </w:tc>
        <w:tc>
          <w:tcPr>
            <w:tcW w:w="3026" w:type="dxa"/>
            <w:noWrap w:val="0"/>
            <w:vAlign w:val="center"/>
          </w:tcPr>
          <w:p w14:paraId="51690E04">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690</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2</w:t>
            </w:r>
          </w:p>
        </w:tc>
      </w:tr>
      <w:tr w14:paraId="54A611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27" w:type="dxa"/>
            <w:noWrap w:val="0"/>
            <w:vAlign w:val="center"/>
          </w:tcPr>
          <w:p w14:paraId="30696442">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专项评价</w:t>
            </w:r>
          </w:p>
          <w:p w14:paraId="21883E9D">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设置情况</w:t>
            </w:r>
          </w:p>
        </w:tc>
        <w:tc>
          <w:tcPr>
            <w:tcW w:w="7143" w:type="dxa"/>
            <w:gridSpan w:val="3"/>
            <w:noWrap w:val="0"/>
            <w:vAlign w:val="center"/>
          </w:tcPr>
          <w:p w14:paraId="337FFB46">
            <w:pPr>
              <w:autoSpaceDE w:val="0"/>
              <w:autoSpaceDN w:val="0"/>
              <w:adjustRightInd w:val="0"/>
              <w:snapToGrid w:val="0"/>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无</w:t>
            </w:r>
          </w:p>
        </w:tc>
      </w:tr>
      <w:tr w14:paraId="2A2099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27" w:type="dxa"/>
            <w:noWrap w:val="0"/>
            <w:vAlign w:val="center"/>
          </w:tcPr>
          <w:p w14:paraId="75D62F36">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规划情况</w:t>
            </w:r>
          </w:p>
        </w:tc>
        <w:tc>
          <w:tcPr>
            <w:tcW w:w="7143" w:type="dxa"/>
            <w:gridSpan w:val="3"/>
            <w:noWrap w:val="0"/>
            <w:vAlign w:val="center"/>
          </w:tcPr>
          <w:p w14:paraId="4DC94D1A">
            <w:pPr>
              <w:widowControl/>
              <w:spacing w:line="360" w:lineRule="auto"/>
              <w:jc w:val="left"/>
              <w:rPr>
                <w:rFonts w:hint="default" w:ascii="Times New Roman" w:hAnsi="Times New Roman" w:cs="Times New Roman"/>
                <w:color w:val="auto"/>
              </w:rPr>
            </w:pPr>
            <w:r>
              <w:rPr>
                <w:rFonts w:hint="default" w:ascii="Times New Roman" w:hAnsi="Times New Roman" w:cs="Times New Roman"/>
                <w:color w:val="auto"/>
                <w:kern w:val="0"/>
                <w:sz w:val="24"/>
                <w:lang w:val="en-US" w:eastAsia="zh-CN" w:bidi="ar"/>
              </w:rPr>
              <w:t>规划名称：</w:t>
            </w:r>
            <w:r>
              <w:rPr>
                <w:rFonts w:hint="default" w:ascii="Times New Roman" w:hAnsi="Times New Roman" w:cs="Times New Roman"/>
                <w:color w:val="auto"/>
                <w:kern w:val="0"/>
                <w:sz w:val="24"/>
                <w:lang w:bidi="ar"/>
              </w:rPr>
              <w:t>《</w:t>
            </w:r>
            <w:r>
              <w:rPr>
                <w:rFonts w:hint="default" w:ascii="Times New Roman" w:hAnsi="Times New Roman" w:cs="Times New Roman"/>
                <w:color w:val="auto"/>
                <w:kern w:val="0"/>
                <w:sz w:val="24"/>
                <w:lang w:val="en-US" w:eastAsia="zh-CN" w:bidi="ar"/>
              </w:rPr>
              <w:t>西咸新区-泾河新城分区规划修编</w:t>
            </w:r>
            <w:r>
              <w:rPr>
                <w:rFonts w:hint="default" w:ascii="Times New Roman" w:hAnsi="Times New Roman" w:cs="Times New Roman"/>
                <w:color w:val="auto"/>
                <w:kern w:val="0"/>
                <w:sz w:val="24"/>
                <w:lang w:bidi="ar"/>
              </w:rPr>
              <w:t>》</w:t>
            </w:r>
            <w:r>
              <w:rPr>
                <w:rFonts w:hint="default" w:ascii="Times New Roman" w:hAnsi="Times New Roman" w:cs="Times New Roman"/>
                <w:color w:val="auto"/>
                <w:kern w:val="0"/>
                <w:sz w:val="24"/>
                <w:lang w:eastAsia="zh-CN" w:bidi="ar"/>
              </w:rPr>
              <w:t>（</w:t>
            </w:r>
            <w:r>
              <w:rPr>
                <w:rFonts w:hint="default" w:ascii="Times New Roman" w:hAnsi="Times New Roman" w:cs="Times New Roman"/>
                <w:color w:val="auto"/>
                <w:kern w:val="0"/>
                <w:sz w:val="24"/>
                <w:lang w:val="en-US" w:eastAsia="zh-CN" w:bidi="ar"/>
              </w:rPr>
              <w:t>2016-2035年</w:t>
            </w:r>
            <w:r>
              <w:rPr>
                <w:rFonts w:hint="default" w:ascii="Times New Roman" w:hAnsi="Times New Roman" w:cs="Times New Roman"/>
                <w:color w:val="auto"/>
                <w:kern w:val="0"/>
                <w:sz w:val="24"/>
                <w:lang w:eastAsia="zh-CN" w:bidi="ar"/>
              </w:rPr>
              <w:t>）</w:t>
            </w:r>
          </w:p>
          <w:p w14:paraId="3E1A51FA">
            <w:pPr>
              <w:autoSpaceDE w:val="0"/>
              <w:autoSpaceDN w:val="0"/>
              <w:adjustRightInd w:val="0"/>
              <w:snapToGrid w:val="0"/>
              <w:spacing w:line="360" w:lineRule="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lang w:bidi="ar"/>
              </w:rPr>
              <w:t>规划审批机关</w:t>
            </w:r>
            <w:r>
              <w:rPr>
                <w:rFonts w:hint="default" w:ascii="Times New Roman" w:hAnsi="Times New Roman" w:cs="Times New Roman"/>
                <w:color w:val="auto"/>
                <w:kern w:val="0"/>
                <w:sz w:val="24"/>
                <w:lang w:eastAsia="zh-CN" w:bidi="ar"/>
              </w:rPr>
              <w:t>：</w:t>
            </w:r>
            <w:r>
              <w:rPr>
                <w:rFonts w:hint="default" w:ascii="Times New Roman" w:hAnsi="Times New Roman" w:cs="Times New Roman"/>
                <w:color w:val="auto"/>
                <w:kern w:val="0"/>
                <w:sz w:val="24"/>
                <w:lang w:val="en-US" w:eastAsia="zh-CN" w:bidi="ar"/>
              </w:rPr>
              <w:t>西咸新区开发建设管理委员会</w:t>
            </w:r>
          </w:p>
        </w:tc>
      </w:tr>
      <w:tr w14:paraId="08AB2D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727" w:type="dxa"/>
            <w:noWrap w:val="0"/>
            <w:vAlign w:val="center"/>
          </w:tcPr>
          <w:p w14:paraId="5AE440DD">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规划环境影响</w:t>
            </w:r>
          </w:p>
          <w:p w14:paraId="5AEABA6C">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评价情况</w:t>
            </w:r>
          </w:p>
        </w:tc>
        <w:tc>
          <w:tcPr>
            <w:tcW w:w="7143" w:type="dxa"/>
            <w:gridSpan w:val="3"/>
            <w:noWrap w:val="0"/>
            <w:vAlign w:val="center"/>
          </w:tcPr>
          <w:p w14:paraId="43CA8B31">
            <w:pPr>
              <w:widowControl/>
              <w:spacing w:line="360" w:lineRule="auto"/>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规划环境影响评价文件：《</w:t>
            </w:r>
            <w:r>
              <w:rPr>
                <w:rFonts w:hint="default" w:ascii="Times New Roman" w:hAnsi="Times New Roman" w:cs="Times New Roman"/>
                <w:color w:val="auto"/>
                <w:kern w:val="0"/>
                <w:sz w:val="24"/>
                <w:lang w:val="en-US" w:eastAsia="zh-CN" w:bidi="ar"/>
              </w:rPr>
              <w:t>陕西省西咸新区泾河新城分区</w:t>
            </w:r>
            <w:r>
              <w:rPr>
                <w:rFonts w:hint="default" w:ascii="Times New Roman" w:hAnsi="Times New Roman" w:cs="Times New Roman"/>
                <w:color w:val="auto"/>
                <w:kern w:val="0"/>
                <w:sz w:val="24"/>
                <w:lang w:bidi="ar"/>
              </w:rPr>
              <w:t>规划</w:t>
            </w:r>
            <w:r>
              <w:rPr>
                <w:rFonts w:hint="default" w:ascii="Times New Roman" w:hAnsi="Times New Roman" w:cs="Times New Roman"/>
                <w:color w:val="auto"/>
                <w:kern w:val="0"/>
                <w:sz w:val="24"/>
                <w:lang w:eastAsia="zh-CN" w:bidi="ar"/>
              </w:rPr>
              <w:t>（</w:t>
            </w:r>
            <w:r>
              <w:rPr>
                <w:rFonts w:hint="default" w:ascii="Times New Roman" w:hAnsi="Times New Roman" w:cs="Times New Roman"/>
                <w:color w:val="auto"/>
                <w:kern w:val="0"/>
                <w:sz w:val="24"/>
                <w:lang w:val="en-US" w:eastAsia="zh-CN" w:bidi="ar"/>
              </w:rPr>
              <w:t>2016-2035</w:t>
            </w:r>
            <w:r>
              <w:rPr>
                <w:rFonts w:hint="default" w:ascii="Times New Roman" w:hAnsi="Times New Roman" w:cs="Times New Roman"/>
                <w:color w:val="auto"/>
                <w:kern w:val="0"/>
                <w:sz w:val="24"/>
                <w:lang w:eastAsia="zh-CN" w:bidi="ar"/>
              </w:rPr>
              <w:t>）</w:t>
            </w:r>
            <w:r>
              <w:rPr>
                <w:rFonts w:hint="default" w:ascii="Times New Roman" w:hAnsi="Times New Roman" w:cs="Times New Roman"/>
                <w:color w:val="auto"/>
                <w:kern w:val="0"/>
                <w:sz w:val="24"/>
                <w:lang w:bidi="ar"/>
              </w:rPr>
              <w:t>环境影响报告书》</w:t>
            </w:r>
          </w:p>
          <w:p w14:paraId="29056088">
            <w:pPr>
              <w:widowControl/>
              <w:spacing w:line="360" w:lineRule="auto"/>
              <w:jc w:val="left"/>
              <w:rPr>
                <w:rFonts w:hint="default" w:ascii="Times New Roman" w:hAnsi="Times New Roman" w:eastAsia="宋体" w:cs="Times New Roman"/>
                <w:color w:val="auto"/>
                <w:lang w:val="en-US" w:eastAsia="zh-CN"/>
              </w:rPr>
            </w:pPr>
            <w:r>
              <w:rPr>
                <w:rFonts w:hint="default" w:ascii="Times New Roman" w:hAnsi="Times New Roman" w:cs="Times New Roman"/>
                <w:color w:val="auto"/>
                <w:kern w:val="0"/>
                <w:sz w:val="24"/>
                <w:lang w:bidi="ar"/>
              </w:rPr>
              <w:t>召集审查机关：</w:t>
            </w:r>
            <w:r>
              <w:rPr>
                <w:rFonts w:hint="default" w:ascii="Times New Roman" w:hAnsi="Times New Roman" w:cs="Times New Roman"/>
                <w:color w:val="auto"/>
                <w:kern w:val="0"/>
                <w:sz w:val="24"/>
                <w:lang w:val="en-US" w:eastAsia="zh-CN" w:bidi="ar"/>
              </w:rPr>
              <w:t>陕西省西咸新区生态环境局</w:t>
            </w:r>
          </w:p>
          <w:p w14:paraId="1EBAFA70">
            <w:pPr>
              <w:autoSpaceDE w:val="0"/>
              <w:autoSpaceDN w:val="0"/>
              <w:adjustRightInd w:val="0"/>
              <w:snapToGrid w:val="0"/>
              <w:spacing w:line="360" w:lineRule="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lang w:bidi="ar"/>
              </w:rPr>
              <w:t>审查文件名称及文号：</w:t>
            </w:r>
            <w:r>
              <w:rPr>
                <w:rFonts w:hint="default" w:ascii="Times New Roman" w:hAnsi="Times New Roman" w:cs="Times New Roman"/>
                <w:color w:val="auto"/>
                <w:kern w:val="0"/>
                <w:sz w:val="24"/>
                <w:szCs w:val="24"/>
              </w:rPr>
              <w:t>《关于〈西咸新区泾河新城分区规划（2016</w:t>
            </w:r>
            <w:r>
              <w:rPr>
                <w:rFonts w:hint="default" w:ascii="Times New Roman" w:hAnsi="Times New Roman" w:cs="Times New Roman"/>
                <w:color w:val="auto"/>
                <w:kern w:val="0"/>
                <w:sz w:val="24"/>
                <w:szCs w:val="24"/>
                <w:lang w:val="en-US" w:eastAsia="zh-CN"/>
              </w:rPr>
              <w:t>-</w:t>
            </w:r>
            <w:r>
              <w:rPr>
                <w:rFonts w:hint="default" w:ascii="Times New Roman" w:hAnsi="Times New Roman" w:cs="Times New Roman"/>
                <w:color w:val="auto"/>
                <w:kern w:val="0"/>
                <w:sz w:val="24"/>
                <w:szCs w:val="24"/>
              </w:rPr>
              <w:t>2035）环境影响报告书〉审查意见的函》（陕西咸环函</w:t>
            </w:r>
            <w:r>
              <w:rPr>
                <w:rFonts w:hint="default" w:ascii="Times New Roman" w:hAnsi="Times New Roman" w:eastAsia="宋体" w:cs="Times New Roman"/>
                <w:color w:val="auto"/>
                <w:kern w:val="0"/>
                <w:sz w:val="24"/>
                <w:szCs w:val="24"/>
              </w:rPr>
              <w:t>〔</w:t>
            </w:r>
            <w:r>
              <w:rPr>
                <w:rFonts w:hint="default" w:ascii="Times New Roman" w:hAnsi="Times New Roman" w:cs="Times New Roman"/>
                <w:color w:val="auto"/>
                <w:kern w:val="0"/>
                <w:sz w:val="24"/>
                <w:szCs w:val="24"/>
              </w:rPr>
              <w:t>2021</w:t>
            </w:r>
            <w:r>
              <w:rPr>
                <w:rFonts w:hint="default" w:ascii="Times New Roman" w:hAnsi="Times New Roman" w:eastAsia="宋体" w:cs="Times New Roman"/>
                <w:color w:val="auto"/>
                <w:kern w:val="0"/>
                <w:sz w:val="24"/>
                <w:szCs w:val="24"/>
              </w:rPr>
              <w:t>〕</w:t>
            </w:r>
            <w:r>
              <w:rPr>
                <w:rFonts w:hint="default" w:ascii="Times New Roman" w:hAnsi="Times New Roman" w:cs="Times New Roman"/>
                <w:color w:val="auto"/>
                <w:kern w:val="0"/>
                <w:sz w:val="24"/>
                <w:szCs w:val="24"/>
              </w:rPr>
              <w:t>41号）</w:t>
            </w:r>
          </w:p>
        </w:tc>
      </w:tr>
      <w:tr w14:paraId="53C098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27" w:type="dxa"/>
            <w:noWrap w:val="0"/>
            <w:vAlign w:val="center"/>
          </w:tcPr>
          <w:p w14:paraId="42F26552">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规划及规划</w:t>
            </w:r>
          </w:p>
          <w:p w14:paraId="3ADD677F">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环境影响评价符合性分析</w:t>
            </w:r>
          </w:p>
        </w:tc>
        <w:tc>
          <w:tcPr>
            <w:tcW w:w="7143" w:type="dxa"/>
            <w:gridSpan w:val="3"/>
            <w:noWrap w:val="0"/>
            <w:vAlign w:val="center"/>
          </w:tcPr>
          <w:p w14:paraId="4744C499">
            <w:pPr>
              <w:autoSpaceDE w:val="0"/>
              <w:autoSpaceDN w:val="0"/>
              <w:adjustRightInd w:val="0"/>
              <w:snapToGrid w:val="0"/>
              <w:spacing w:line="360" w:lineRule="auto"/>
              <w:ind w:firstLine="480" w:firstLineChars="200"/>
              <w:jc w:val="both"/>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与相关规划、规划环评结论及审查意见的符合性见下表。</w:t>
            </w:r>
          </w:p>
          <w:p w14:paraId="51AB9DA2">
            <w:pPr>
              <w:pStyle w:val="5"/>
              <w:spacing w:line="240" w:lineRule="auto"/>
              <w:jc w:val="center"/>
              <w:rPr>
                <w:rFonts w:hint="default" w:ascii="Times New Roman" w:hAnsi="Times New Roman" w:cs="Times New Roman"/>
                <w:b/>
                <w:bCs/>
                <w:color w:val="auto"/>
                <w:sz w:val="21"/>
                <w:szCs w:val="21"/>
                <w:lang w:val="en-US" w:eastAsia="zh-CN"/>
              </w:rPr>
            </w:pPr>
            <w:bookmarkStart w:id="4" w:name="_Toc24745"/>
            <w:r>
              <w:rPr>
                <w:rFonts w:hint="default" w:ascii="Times New Roman" w:hAnsi="Times New Roman" w:cs="Times New Roman"/>
                <w:b/>
                <w:bCs/>
                <w:color w:val="auto"/>
                <w:kern w:val="0"/>
                <w:sz w:val="24"/>
                <w:szCs w:val="24"/>
                <w:lang w:val="en-US" w:eastAsia="zh-CN" w:bidi="ar"/>
              </w:rPr>
              <w:t>表1-1 与相关规划及规划环评符合性分析</w:t>
            </w:r>
            <w:bookmarkEnd w:id="4"/>
          </w:p>
          <w:tbl>
            <w:tblPr>
              <w:tblStyle w:val="26"/>
              <w:tblW w:w="700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2820"/>
              <w:gridCol w:w="2235"/>
              <w:gridCol w:w="879"/>
            </w:tblGrid>
            <w:tr w14:paraId="003117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6" w:type="dxa"/>
                  <w:tcBorders>
                    <w:tl2br w:val="nil"/>
                    <w:tr2bl w:val="nil"/>
                  </w:tcBorders>
                  <w:noWrap w:val="0"/>
                  <w:vAlign w:val="center"/>
                </w:tcPr>
                <w:p w14:paraId="712310EA">
                  <w:pPr>
                    <w:widowControl/>
                    <w:jc w:val="center"/>
                    <w:rPr>
                      <w:rFonts w:hint="default" w:ascii="Times New Roman" w:hAnsi="Times New Roman" w:cs="Times New Roman"/>
                      <w:b/>
                      <w:bCs/>
                      <w:color w:val="auto"/>
                      <w:kern w:val="0"/>
                      <w:szCs w:val="21"/>
                      <w:lang w:bidi="ar"/>
                    </w:rPr>
                  </w:pPr>
                  <w:r>
                    <w:rPr>
                      <w:rFonts w:hint="default" w:ascii="Times New Roman" w:hAnsi="Times New Roman" w:cs="Times New Roman"/>
                      <w:b/>
                      <w:bCs/>
                      <w:color w:val="auto"/>
                      <w:kern w:val="0"/>
                      <w:szCs w:val="21"/>
                      <w:lang w:bidi="ar"/>
                    </w:rPr>
                    <w:t>名称</w:t>
                  </w:r>
                </w:p>
              </w:tc>
              <w:tc>
                <w:tcPr>
                  <w:tcW w:w="2820" w:type="dxa"/>
                  <w:tcBorders>
                    <w:tl2br w:val="nil"/>
                    <w:tr2bl w:val="nil"/>
                  </w:tcBorders>
                  <w:noWrap w:val="0"/>
                  <w:vAlign w:val="center"/>
                </w:tcPr>
                <w:p w14:paraId="28E4D440">
                  <w:pPr>
                    <w:widowControl/>
                    <w:jc w:val="center"/>
                    <w:rPr>
                      <w:rFonts w:hint="default" w:ascii="Times New Roman" w:hAnsi="Times New Roman" w:cs="Times New Roman"/>
                      <w:b/>
                      <w:bCs/>
                      <w:color w:val="auto"/>
                      <w:kern w:val="0"/>
                      <w:szCs w:val="21"/>
                      <w:lang w:bidi="ar"/>
                    </w:rPr>
                  </w:pPr>
                  <w:r>
                    <w:rPr>
                      <w:rFonts w:hint="default" w:ascii="Times New Roman" w:hAnsi="Times New Roman" w:cs="Times New Roman"/>
                      <w:b/>
                      <w:bCs/>
                      <w:color w:val="auto"/>
                      <w:kern w:val="0"/>
                      <w:szCs w:val="21"/>
                      <w:lang w:bidi="ar"/>
                    </w:rPr>
                    <w:t>相关内容</w:t>
                  </w:r>
                </w:p>
              </w:tc>
              <w:tc>
                <w:tcPr>
                  <w:tcW w:w="2235" w:type="dxa"/>
                  <w:tcBorders>
                    <w:tl2br w:val="nil"/>
                    <w:tr2bl w:val="nil"/>
                  </w:tcBorders>
                  <w:noWrap w:val="0"/>
                  <w:vAlign w:val="center"/>
                </w:tcPr>
                <w:p w14:paraId="2F6415AD">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本项目情况</w:t>
                  </w:r>
                </w:p>
              </w:tc>
              <w:tc>
                <w:tcPr>
                  <w:tcW w:w="879" w:type="dxa"/>
                  <w:tcBorders>
                    <w:tl2br w:val="nil"/>
                    <w:tr2bl w:val="nil"/>
                  </w:tcBorders>
                  <w:noWrap w:val="0"/>
                  <w:vAlign w:val="center"/>
                </w:tcPr>
                <w:p w14:paraId="0BF448B2">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符合性</w:t>
                  </w:r>
                </w:p>
              </w:tc>
            </w:tr>
            <w:tr w14:paraId="2C4070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8" w:hRule="atLeast"/>
                <w:jc w:val="center"/>
              </w:trPr>
              <w:tc>
                <w:tcPr>
                  <w:tcW w:w="1066" w:type="dxa"/>
                  <w:vMerge w:val="restart"/>
                  <w:tcBorders>
                    <w:tl2br w:val="nil"/>
                    <w:tr2bl w:val="nil"/>
                  </w:tcBorders>
                  <w:noWrap w:val="0"/>
                  <w:vAlign w:val="center"/>
                </w:tcPr>
                <w:p w14:paraId="1A99D086">
                  <w:pPr>
                    <w:widowControl/>
                    <w:jc w:val="left"/>
                    <w:rPr>
                      <w:rFonts w:hint="default" w:ascii="Times New Roman" w:hAnsi="Times New Roman" w:eastAsia="宋体" w:cs="Times New Roman"/>
                      <w:color w:val="auto"/>
                      <w:kern w:val="0"/>
                      <w:szCs w:val="21"/>
                      <w:lang w:eastAsia="zh-CN" w:bidi="ar"/>
                    </w:rPr>
                  </w:pPr>
                  <w:r>
                    <w:rPr>
                      <w:rFonts w:hint="default" w:ascii="Times New Roman" w:hAnsi="Times New Roman" w:cs="Times New Roman"/>
                      <w:color w:val="auto"/>
                      <w:kern w:val="0"/>
                      <w:szCs w:val="21"/>
                      <w:lang w:bidi="ar"/>
                    </w:rPr>
                    <w:t>《</w:t>
                  </w:r>
                  <w:r>
                    <w:rPr>
                      <w:rFonts w:hint="default" w:ascii="Times New Roman" w:hAnsi="Times New Roman" w:cs="Times New Roman"/>
                      <w:color w:val="auto"/>
                      <w:kern w:val="0"/>
                      <w:szCs w:val="21"/>
                      <w:lang w:val="en-US" w:eastAsia="zh-CN" w:bidi="ar"/>
                    </w:rPr>
                    <w:t>西咸新区-泾河新城分区规划修编（2016-2035）</w:t>
                  </w:r>
                  <w:r>
                    <w:rPr>
                      <w:rFonts w:hint="default" w:ascii="Times New Roman" w:hAnsi="Times New Roman" w:cs="Times New Roman"/>
                      <w:color w:val="auto"/>
                      <w:kern w:val="0"/>
                      <w:szCs w:val="21"/>
                      <w:lang w:bidi="ar"/>
                    </w:rPr>
                    <w:t>》</w:t>
                  </w:r>
                </w:p>
              </w:tc>
              <w:tc>
                <w:tcPr>
                  <w:tcW w:w="2820" w:type="dxa"/>
                  <w:tcBorders>
                    <w:tl2br w:val="nil"/>
                    <w:tr2bl w:val="nil"/>
                  </w:tcBorders>
                  <w:noWrap w:val="0"/>
                  <w:vAlign w:val="center"/>
                </w:tcPr>
                <w:p w14:paraId="437248E0">
                  <w:pPr>
                    <w:widowControl/>
                    <w:jc w:val="left"/>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规划将泾河新城总体定位为：以先进制造业、现代服务业、现代农业为主导产业，以智能制造、生产性服务、文化旅游和茯茶产业为特色产业，具有浓厚古今文化韵味、智慧宜居氛围的大西安北部生态休闲示范区和渭北创新产业服务高地。</w:t>
                  </w:r>
                </w:p>
                <w:p w14:paraId="5C8E359D">
                  <w:pPr>
                    <w:widowControl/>
                    <w:jc w:val="left"/>
                    <w:rPr>
                      <w:rFonts w:hint="default" w:ascii="Times New Roman" w:hAnsi="Times New Roman" w:cs="Times New Roman"/>
                      <w:b w:val="0"/>
                      <w:bCs w:val="0"/>
                      <w:color w:val="auto"/>
                      <w:sz w:val="21"/>
                      <w:szCs w:val="21"/>
                      <w:lang w:val="en-US" w:eastAsia="zh-CN"/>
                    </w:rPr>
                  </w:pPr>
                </w:p>
              </w:tc>
              <w:tc>
                <w:tcPr>
                  <w:tcW w:w="2235" w:type="dxa"/>
                  <w:tcBorders>
                    <w:tl2br w:val="nil"/>
                    <w:tr2bl w:val="nil"/>
                  </w:tcBorders>
                  <w:noWrap w:val="0"/>
                  <w:vAlign w:val="center"/>
                </w:tcPr>
                <w:p w14:paraId="334C7DFE">
                  <w:pPr>
                    <w:widowControl/>
                    <w:jc w:val="left"/>
                    <w:rPr>
                      <w:rFonts w:hint="default" w:ascii="Times New Roman" w:hAnsi="Times New Roman" w:eastAsia="宋体" w:cs="Times New Roman"/>
                      <w:color w:val="auto"/>
                      <w:kern w:val="0"/>
                      <w:szCs w:val="21"/>
                      <w:lang w:val="en-US" w:eastAsia="zh-CN" w:bidi="ar"/>
                    </w:rPr>
                  </w:pPr>
                  <w:r>
                    <w:rPr>
                      <w:rFonts w:hint="default" w:ascii="Times New Roman" w:hAnsi="Times New Roman" w:cs="Times New Roman"/>
                      <w:color w:val="auto"/>
                      <w:kern w:val="0"/>
                      <w:szCs w:val="21"/>
                      <w:lang w:bidi="ar"/>
                    </w:rPr>
                    <w:t>本项目</w:t>
                  </w:r>
                  <w:r>
                    <w:rPr>
                      <w:rFonts w:hint="default" w:ascii="Times New Roman" w:hAnsi="Times New Roman" w:cs="Times New Roman"/>
                      <w:color w:val="auto"/>
                      <w:kern w:val="0"/>
                      <w:szCs w:val="21"/>
                      <w:lang w:val="en-US" w:eastAsia="zh-CN" w:bidi="ar"/>
                    </w:rPr>
                    <w:t>位于西咸新区泾河新城永乐镇泾河智造创新产业园，属于规划范围内。本项目为新建项目，主要进行高效氢燃料电池膜电极生产，属于</w:t>
                  </w:r>
                  <w:r>
                    <w:rPr>
                      <w:rFonts w:hint="eastAsia" w:ascii="Times New Roman" w:hAnsi="Times New Roman" w:cs="Times New Roman"/>
                      <w:color w:val="auto"/>
                      <w:kern w:val="0"/>
                      <w:szCs w:val="21"/>
                      <w:lang w:val="en-US" w:eastAsia="zh-CN" w:bidi="ar"/>
                    </w:rPr>
                    <w:t>先进</w:t>
                  </w:r>
                  <w:r>
                    <w:rPr>
                      <w:rFonts w:hint="default" w:ascii="Times New Roman" w:hAnsi="Times New Roman" w:cs="Times New Roman"/>
                      <w:color w:val="auto"/>
                      <w:kern w:val="0"/>
                      <w:szCs w:val="21"/>
                      <w:lang w:val="en-US" w:eastAsia="zh-CN" w:bidi="ar"/>
                    </w:rPr>
                    <w:t>制造业，符合产业定位。</w:t>
                  </w:r>
                </w:p>
              </w:tc>
              <w:tc>
                <w:tcPr>
                  <w:tcW w:w="879" w:type="dxa"/>
                  <w:tcBorders>
                    <w:tl2br w:val="nil"/>
                    <w:tr2bl w:val="nil"/>
                  </w:tcBorders>
                  <w:noWrap w:val="0"/>
                  <w:vAlign w:val="center"/>
                </w:tcPr>
                <w:p w14:paraId="5B03C20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1F78FB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8" w:hRule="atLeast"/>
                <w:jc w:val="center"/>
              </w:trPr>
              <w:tc>
                <w:tcPr>
                  <w:tcW w:w="1066" w:type="dxa"/>
                  <w:vMerge w:val="continue"/>
                  <w:tcBorders>
                    <w:tl2br w:val="nil"/>
                    <w:tr2bl w:val="nil"/>
                  </w:tcBorders>
                  <w:noWrap w:val="0"/>
                  <w:vAlign w:val="center"/>
                </w:tcPr>
                <w:p w14:paraId="072E6BB6">
                  <w:pPr>
                    <w:widowControl/>
                    <w:jc w:val="left"/>
                    <w:rPr>
                      <w:color w:val="auto"/>
                    </w:rPr>
                  </w:pPr>
                </w:p>
              </w:tc>
              <w:tc>
                <w:tcPr>
                  <w:tcW w:w="2820" w:type="dxa"/>
                  <w:tcBorders>
                    <w:tl2br w:val="nil"/>
                    <w:tr2bl w:val="nil"/>
                  </w:tcBorders>
                  <w:noWrap w:val="0"/>
                  <w:vAlign w:val="center"/>
                </w:tcPr>
                <w:p w14:paraId="2E010E9A">
                  <w:pPr>
                    <w:widowControl/>
                    <w:jc w:val="left"/>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结合规划总体定位要求，根据各片区主导功能的不同，将泾河新城划分为八个功能分区：大西安中轴线渭河北岸城市核心区</w:t>
                  </w:r>
                  <w:r>
                    <w:rPr>
                      <w:rFonts w:hint="eastAsia" w:cs="Times New Roman"/>
                      <w:b w:val="0"/>
                      <w:bCs w:val="0"/>
                      <w:color w:val="auto"/>
                      <w:sz w:val="21"/>
                      <w:szCs w:val="21"/>
                      <w:lang w:val="en-US" w:eastAsia="zh-CN"/>
                    </w:rPr>
                    <w:t>、</w:t>
                  </w:r>
                  <w:r>
                    <w:rPr>
                      <w:rFonts w:hint="default" w:ascii="Times New Roman" w:hAnsi="Times New Roman" w:cs="Times New Roman"/>
                      <w:b w:val="0"/>
                      <w:bCs w:val="0"/>
                      <w:color w:val="auto"/>
                      <w:sz w:val="21"/>
                      <w:szCs w:val="21"/>
                      <w:lang w:val="en-US" w:eastAsia="zh-CN"/>
                    </w:rPr>
                    <w:t>一河两岸生态景观区</w:t>
                  </w:r>
                  <w:r>
                    <w:rPr>
                      <w:rFonts w:hint="eastAsia" w:cs="Times New Roman"/>
                      <w:b w:val="0"/>
                      <w:bCs w:val="0"/>
                      <w:color w:val="auto"/>
                      <w:sz w:val="21"/>
                      <w:szCs w:val="21"/>
                      <w:lang w:val="en-US" w:eastAsia="zh-CN"/>
                    </w:rPr>
                    <w:t>、</w:t>
                  </w:r>
                  <w:r>
                    <w:rPr>
                      <w:rFonts w:hint="default" w:ascii="Times New Roman" w:hAnsi="Times New Roman" w:cs="Times New Roman"/>
                      <w:b w:val="0"/>
                      <w:bCs w:val="0"/>
                      <w:color w:val="auto"/>
                      <w:sz w:val="21"/>
                      <w:szCs w:val="21"/>
                      <w:lang w:val="en-US" w:eastAsia="zh-CN"/>
                    </w:rPr>
                    <w:t>崇文尚学国际生活服务区</w:t>
                  </w:r>
                  <w:r>
                    <w:rPr>
                      <w:rFonts w:hint="eastAsia" w:cs="Times New Roman"/>
                      <w:b w:val="0"/>
                      <w:bCs w:val="0"/>
                      <w:color w:val="auto"/>
                      <w:sz w:val="21"/>
                      <w:szCs w:val="21"/>
                      <w:lang w:val="en-US" w:eastAsia="zh-CN"/>
                    </w:rPr>
                    <w:t>、</w:t>
                  </w:r>
                  <w:r>
                    <w:rPr>
                      <w:rFonts w:hint="default" w:ascii="Times New Roman" w:hAnsi="Times New Roman" w:cs="Times New Roman"/>
                      <w:b w:val="0"/>
                      <w:bCs w:val="0"/>
                      <w:color w:val="auto"/>
                      <w:sz w:val="21"/>
                      <w:szCs w:val="21"/>
                      <w:lang w:val="en-US" w:eastAsia="zh-CN"/>
                    </w:rPr>
                    <w:t>中国原点智慧科创产业区</w:t>
                  </w:r>
                  <w:r>
                    <w:rPr>
                      <w:rFonts w:hint="eastAsia" w:cs="Times New Roman"/>
                      <w:b w:val="0"/>
                      <w:bCs w:val="0"/>
                      <w:color w:val="auto"/>
                      <w:sz w:val="21"/>
                      <w:szCs w:val="21"/>
                      <w:lang w:val="en-US" w:eastAsia="zh-CN"/>
                    </w:rPr>
                    <w:t>、</w:t>
                  </w:r>
                  <w:r>
                    <w:rPr>
                      <w:rFonts w:hint="default" w:ascii="Times New Roman" w:hAnsi="Times New Roman" w:cs="Times New Roman"/>
                      <w:b w:val="0"/>
                      <w:bCs w:val="0"/>
                      <w:color w:val="auto"/>
                      <w:sz w:val="21"/>
                      <w:szCs w:val="21"/>
                      <w:lang w:val="en-US" w:eastAsia="zh-CN"/>
                    </w:rPr>
                    <w:t>茯茶农业旅游示范区</w:t>
                  </w:r>
                  <w:r>
                    <w:rPr>
                      <w:rFonts w:hint="eastAsia" w:cs="Times New Roman"/>
                      <w:b w:val="0"/>
                      <w:bCs w:val="0"/>
                      <w:color w:val="auto"/>
                      <w:sz w:val="21"/>
                      <w:szCs w:val="21"/>
                      <w:lang w:val="en-US" w:eastAsia="zh-CN"/>
                    </w:rPr>
                    <w:t>、</w:t>
                  </w:r>
                  <w:r>
                    <w:rPr>
                      <w:rFonts w:hint="default" w:ascii="Times New Roman" w:hAnsi="Times New Roman" w:cs="Times New Roman"/>
                      <w:b w:val="0"/>
                      <w:bCs w:val="0"/>
                      <w:color w:val="auto"/>
                      <w:sz w:val="21"/>
                      <w:szCs w:val="21"/>
                      <w:lang w:val="en-US" w:eastAsia="zh-CN"/>
                    </w:rPr>
                    <w:t>乐华娱乐康体体验区</w:t>
                  </w:r>
                  <w:r>
                    <w:rPr>
                      <w:rFonts w:hint="eastAsia" w:cs="Times New Roman"/>
                      <w:b w:val="0"/>
                      <w:bCs w:val="0"/>
                      <w:color w:val="auto"/>
                      <w:sz w:val="21"/>
                      <w:szCs w:val="21"/>
                      <w:lang w:val="en-US" w:eastAsia="zh-CN"/>
                    </w:rPr>
                    <w:t>、</w:t>
                  </w:r>
                  <w:r>
                    <w:rPr>
                      <w:rFonts w:hint="default" w:ascii="Times New Roman" w:hAnsi="Times New Roman" w:cs="Times New Roman"/>
                      <w:b w:val="0"/>
                      <w:bCs w:val="0"/>
                      <w:color w:val="auto"/>
                      <w:sz w:val="21"/>
                      <w:szCs w:val="21"/>
                      <w:lang w:val="en-US" w:eastAsia="zh-CN"/>
                    </w:rPr>
                    <w:t>泾阳秦商文化生活服务区</w:t>
                  </w:r>
                  <w:r>
                    <w:rPr>
                      <w:rFonts w:hint="eastAsia" w:cs="Times New Roman"/>
                      <w:b w:val="0"/>
                      <w:bCs w:val="0"/>
                      <w:color w:val="auto"/>
                      <w:sz w:val="21"/>
                      <w:szCs w:val="21"/>
                      <w:lang w:val="en-US" w:eastAsia="zh-CN"/>
                    </w:rPr>
                    <w:t>、</w:t>
                  </w:r>
                  <w:r>
                    <w:rPr>
                      <w:rFonts w:hint="default" w:ascii="Times New Roman" w:hAnsi="Times New Roman" w:cs="Times New Roman"/>
                      <w:b w:val="0"/>
                      <w:bCs w:val="0"/>
                      <w:color w:val="auto"/>
                      <w:sz w:val="21"/>
                      <w:szCs w:val="21"/>
                      <w:lang w:val="en-US" w:eastAsia="zh-CN"/>
                    </w:rPr>
                    <w:t>泾阳科教创新创业区</w:t>
                  </w:r>
                  <w:r>
                    <w:rPr>
                      <w:rFonts w:hint="eastAsia" w:cs="Times New Roman"/>
                      <w:b w:val="0"/>
                      <w:bCs w:val="0"/>
                      <w:color w:val="auto"/>
                      <w:sz w:val="21"/>
                      <w:szCs w:val="21"/>
                      <w:lang w:val="en-US" w:eastAsia="zh-CN"/>
                    </w:rPr>
                    <w:t>。</w:t>
                  </w:r>
                </w:p>
              </w:tc>
              <w:tc>
                <w:tcPr>
                  <w:tcW w:w="2235" w:type="dxa"/>
                  <w:tcBorders>
                    <w:tl2br w:val="nil"/>
                    <w:tr2bl w:val="nil"/>
                  </w:tcBorders>
                  <w:noWrap w:val="0"/>
                  <w:vAlign w:val="center"/>
                </w:tcPr>
                <w:p w14:paraId="6E65E145">
                  <w:pPr>
                    <w:widowControl/>
                    <w:jc w:val="left"/>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color w:val="auto"/>
                      <w:kern w:val="0"/>
                      <w:szCs w:val="21"/>
                      <w:lang w:bidi="ar"/>
                    </w:rPr>
                    <w:t>本项目</w:t>
                  </w:r>
                  <w:r>
                    <w:rPr>
                      <w:rFonts w:hint="default" w:ascii="Times New Roman" w:hAnsi="Times New Roman" w:cs="Times New Roman"/>
                      <w:color w:val="auto"/>
                      <w:kern w:val="0"/>
                      <w:szCs w:val="21"/>
                      <w:lang w:val="en-US" w:eastAsia="zh-CN" w:bidi="ar"/>
                    </w:rPr>
                    <w:t>位于西咸新区泾河新城永乐镇泾河智造创新产业园，项目用地性质为工业用地，属于泾河新城八个功能分区之一的中国原点智慧科创产业区，</w:t>
                  </w:r>
                  <w:r>
                    <w:rPr>
                      <w:rFonts w:hint="eastAsia" w:ascii="Times New Roman" w:hAnsi="Times New Roman" w:cs="Times New Roman"/>
                      <w:color w:val="auto"/>
                      <w:kern w:val="0"/>
                      <w:szCs w:val="21"/>
                      <w:lang w:val="en-US" w:eastAsia="zh-CN" w:bidi="ar"/>
                    </w:rPr>
                    <w:t>本项目</w:t>
                  </w:r>
                  <w:r>
                    <w:rPr>
                      <w:rFonts w:hint="default" w:ascii="Times New Roman" w:hAnsi="Times New Roman" w:cs="Times New Roman"/>
                      <w:color w:val="auto"/>
                      <w:kern w:val="0"/>
                      <w:szCs w:val="21"/>
                      <w:lang w:val="en-US" w:eastAsia="zh-CN" w:bidi="ar"/>
                    </w:rPr>
                    <w:t>主要进行高效氢燃料电池膜电极生产，属于</w:t>
                  </w:r>
                  <w:r>
                    <w:rPr>
                      <w:rFonts w:hint="eastAsia" w:ascii="Times New Roman" w:hAnsi="Times New Roman" w:cs="Times New Roman"/>
                      <w:color w:val="auto"/>
                      <w:kern w:val="0"/>
                      <w:szCs w:val="21"/>
                      <w:lang w:val="en-US" w:eastAsia="zh-CN" w:bidi="ar"/>
                    </w:rPr>
                    <w:t>先进</w:t>
                  </w:r>
                  <w:r>
                    <w:rPr>
                      <w:rFonts w:hint="default" w:ascii="Times New Roman" w:hAnsi="Times New Roman" w:cs="Times New Roman"/>
                      <w:color w:val="auto"/>
                      <w:kern w:val="0"/>
                      <w:szCs w:val="21"/>
                      <w:lang w:val="en-US" w:eastAsia="zh-CN" w:bidi="ar"/>
                    </w:rPr>
                    <w:t>制造业，</w:t>
                  </w:r>
                  <w:r>
                    <w:rPr>
                      <w:rFonts w:hint="eastAsia" w:ascii="Times New Roman" w:hAnsi="Times New Roman" w:cs="Times New Roman"/>
                      <w:color w:val="auto"/>
                      <w:kern w:val="0"/>
                      <w:szCs w:val="21"/>
                      <w:lang w:val="en-US" w:eastAsia="zh-CN" w:bidi="ar"/>
                    </w:rPr>
                    <w:t>符合</w:t>
                  </w:r>
                  <w:r>
                    <w:rPr>
                      <w:rFonts w:hint="default" w:ascii="Times New Roman" w:hAnsi="Times New Roman" w:cs="Times New Roman"/>
                      <w:color w:val="auto"/>
                      <w:kern w:val="0"/>
                      <w:szCs w:val="21"/>
                      <w:lang w:val="en-US" w:eastAsia="zh-CN" w:bidi="ar"/>
                    </w:rPr>
                    <w:t>产业空间布局</w:t>
                  </w:r>
                  <w:r>
                    <w:rPr>
                      <w:rFonts w:hint="eastAsia" w:ascii="Times New Roman" w:hAnsi="Times New Roman" w:cs="Times New Roman"/>
                      <w:color w:val="auto"/>
                      <w:kern w:val="0"/>
                      <w:szCs w:val="21"/>
                      <w:lang w:val="en-US" w:eastAsia="zh-CN" w:bidi="ar"/>
                    </w:rPr>
                    <w:t>定位</w:t>
                  </w:r>
                  <w:r>
                    <w:rPr>
                      <w:rFonts w:hint="default" w:ascii="Times New Roman" w:hAnsi="Times New Roman" w:cs="Times New Roman"/>
                      <w:color w:val="auto"/>
                      <w:kern w:val="0"/>
                      <w:szCs w:val="21"/>
                      <w:lang w:val="en-US" w:eastAsia="zh-CN" w:bidi="ar"/>
                    </w:rPr>
                    <w:t>、用地规划</w:t>
                  </w:r>
                  <w:r>
                    <w:rPr>
                      <w:rFonts w:hint="eastAsia" w:ascii="Times New Roman" w:hAnsi="Times New Roman" w:cs="Times New Roman"/>
                      <w:color w:val="auto"/>
                      <w:kern w:val="0"/>
                      <w:szCs w:val="21"/>
                      <w:lang w:val="en-US" w:eastAsia="zh-CN" w:bidi="ar"/>
                    </w:rPr>
                    <w:t>符合规划要求。</w:t>
                  </w:r>
                </w:p>
              </w:tc>
              <w:tc>
                <w:tcPr>
                  <w:tcW w:w="879" w:type="dxa"/>
                  <w:tcBorders>
                    <w:tl2br w:val="nil"/>
                    <w:tr2bl w:val="nil"/>
                  </w:tcBorders>
                  <w:noWrap w:val="0"/>
                  <w:vAlign w:val="center"/>
                </w:tcPr>
                <w:p w14:paraId="096B2D0E">
                  <w:pPr>
                    <w:widowControl/>
                    <w:jc w:val="left"/>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符合</w:t>
                  </w:r>
                </w:p>
              </w:tc>
            </w:tr>
            <w:tr w14:paraId="210A26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7" w:hRule="atLeast"/>
                <w:jc w:val="center"/>
              </w:trPr>
              <w:tc>
                <w:tcPr>
                  <w:tcW w:w="1066" w:type="dxa"/>
                  <w:vMerge w:val="restart"/>
                  <w:tcBorders>
                    <w:tl2br w:val="nil"/>
                    <w:tr2bl w:val="nil"/>
                  </w:tcBorders>
                  <w:noWrap w:val="0"/>
                  <w:vAlign w:val="center"/>
                </w:tcPr>
                <w:p w14:paraId="03B2F3D6">
                  <w:pPr>
                    <w:widowControl/>
                    <w:jc w:val="left"/>
                    <w:rPr>
                      <w:rFonts w:hint="default" w:ascii="Times New Roman" w:hAnsi="Times New Roman" w:cs="Times New Roman"/>
                      <w:color w:val="auto"/>
                      <w:kern w:val="0"/>
                      <w:szCs w:val="21"/>
                      <w:lang w:bidi="ar"/>
                    </w:rPr>
                  </w:pPr>
                  <w:r>
                    <w:rPr>
                      <w:rFonts w:hint="default" w:ascii="Times New Roman" w:hAnsi="Times New Roman" w:cs="Times New Roman"/>
                      <w:b w:val="0"/>
                      <w:bCs w:val="0"/>
                      <w:color w:val="auto"/>
                      <w:sz w:val="21"/>
                      <w:szCs w:val="21"/>
                    </w:rPr>
                    <w:t>《陕西省西咸新区泾河新城分区规划（2016-2035）环境影响报告书》及审查意见</w:t>
                  </w:r>
                </w:p>
              </w:tc>
              <w:tc>
                <w:tcPr>
                  <w:tcW w:w="2820" w:type="dxa"/>
                  <w:tcBorders>
                    <w:tl2br w:val="nil"/>
                    <w:tr2bl w:val="nil"/>
                  </w:tcBorders>
                  <w:shd w:val="clear" w:color="auto" w:fill="auto"/>
                  <w:noWrap w:val="0"/>
                  <w:vAlign w:val="center"/>
                </w:tcPr>
                <w:p w14:paraId="0F6B42A8">
                  <w:pPr>
                    <w:rPr>
                      <w:rFonts w:hint="default" w:ascii="Times New Roman" w:hAnsi="Times New Roman" w:eastAsia="宋体" w:cs="Times New Roman"/>
                      <w:color w:val="auto"/>
                      <w:kern w:val="2"/>
                      <w:sz w:val="21"/>
                      <w:szCs w:val="21"/>
                      <w:lang w:val="en-US" w:eastAsia="zh-CN" w:bidi="ar-SA"/>
                    </w:rPr>
                  </w:pPr>
                  <w:r>
                    <w:rPr>
                      <w:rFonts w:hint="eastAsia"/>
                      <w:color w:val="auto"/>
                      <w:szCs w:val="21"/>
                    </w:rPr>
                    <w:t>严格落实生态保护红线、环境质量底线、资源利用上线和生态环境准入清单管控要求。强化“三线一单”在优化布局、控制规模及对项目环境准入的强制约束作用。限制大气污染物及水污染物排放量大的项目入区。</w:t>
                  </w:r>
                </w:p>
              </w:tc>
              <w:tc>
                <w:tcPr>
                  <w:tcW w:w="2235" w:type="dxa"/>
                  <w:tcBorders>
                    <w:tl2br w:val="nil"/>
                    <w:tr2bl w:val="nil"/>
                  </w:tcBorders>
                  <w:shd w:val="clear" w:color="auto" w:fill="auto"/>
                  <w:noWrap w:val="0"/>
                  <w:vAlign w:val="center"/>
                </w:tcPr>
                <w:p w14:paraId="386F863B">
                  <w:pPr>
                    <w:adjustRightInd w:val="0"/>
                    <w:snapToGrid w:val="0"/>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本项目严格落实生态保护红线、环境质量底线、资源利用上线和生态环境准入清单管控要求。对照陕西省“三线一单”生态环境管控单元对照分析报告，本项目位于重点管控单元，不涉及生态保护红线</w:t>
                  </w:r>
                  <w:r>
                    <w:rPr>
                      <w:rFonts w:hint="eastAsia"/>
                      <w:color w:val="auto"/>
                      <w:kern w:val="0"/>
                      <w:szCs w:val="21"/>
                      <w:lang w:eastAsia="zh-CN"/>
                    </w:rPr>
                    <w:t>。</w:t>
                  </w:r>
                </w:p>
              </w:tc>
              <w:tc>
                <w:tcPr>
                  <w:tcW w:w="879" w:type="dxa"/>
                  <w:tcBorders>
                    <w:tl2br w:val="nil"/>
                    <w:tr2bl w:val="nil"/>
                  </w:tcBorders>
                  <w:shd w:val="clear" w:color="auto" w:fill="auto"/>
                  <w:noWrap w:val="0"/>
                  <w:vAlign w:val="center"/>
                </w:tcPr>
                <w:p w14:paraId="257E77AD">
                  <w:pPr>
                    <w:adjustRightInd w:val="0"/>
                    <w:snapToGrid w:val="0"/>
                    <w:jc w:val="center"/>
                    <w:rPr>
                      <w:rFonts w:hint="default" w:ascii="Times New Roman" w:hAnsi="Times New Roman" w:eastAsia="宋体" w:cs="Times New Roman"/>
                      <w:color w:val="auto"/>
                      <w:kern w:val="21"/>
                      <w:sz w:val="21"/>
                      <w:szCs w:val="21"/>
                      <w:lang w:val="en-US" w:eastAsia="zh-CN" w:bidi="ar-SA"/>
                    </w:rPr>
                  </w:pPr>
                  <w:r>
                    <w:rPr>
                      <w:rFonts w:hint="eastAsia"/>
                      <w:color w:val="auto"/>
                      <w:kern w:val="21"/>
                      <w:szCs w:val="21"/>
                    </w:rPr>
                    <w:t>符合</w:t>
                  </w:r>
                </w:p>
              </w:tc>
            </w:tr>
            <w:tr w14:paraId="3B0AF7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7" w:hRule="atLeast"/>
                <w:jc w:val="center"/>
              </w:trPr>
              <w:tc>
                <w:tcPr>
                  <w:tcW w:w="1066" w:type="dxa"/>
                  <w:vMerge w:val="continue"/>
                  <w:tcBorders>
                    <w:tl2br w:val="nil"/>
                    <w:tr2bl w:val="nil"/>
                  </w:tcBorders>
                  <w:noWrap w:val="0"/>
                  <w:vAlign w:val="center"/>
                </w:tcPr>
                <w:p w14:paraId="208271D0">
                  <w:pPr>
                    <w:widowControl/>
                    <w:jc w:val="left"/>
                    <w:rPr>
                      <w:rFonts w:hint="default" w:ascii="Times New Roman" w:hAnsi="Times New Roman" w:cs="Times New Roman"/>
                      <w:color w:val="auto"/>
                      <w:kern w:val="0"/>
                      <w:szCs w:val="21"/>
                      <w:lang w:bidi="ar"/>
                    </w:rPr>
                  </w:pPr>
                </w:p>
              </w:tc>
              <w:tc>
                <w:tcPr>
                  <w:tcW w:w="2820" w:type="dxa"/>
                  <w:tcBorders>
                    <w:tl2br w:val="nil"/>
                    <w:tr2bl w:val="nil"/>
                  </w:tcBorders>
                  <w:noWrap w:val="0"/>
                  <w:vAlign w:val="center"/>
                </w:tcPr>
                <w:p w14:paraId="76DB0812">
                  <w:pPr>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规划实施后区域污水集中收集处理，部分污水经处理作为中水回用，水污染物排放现状大幅降低，泾河能够满足水环境容量要求。</w:t>
                  </w:r>
                </w:p>
              </w:tc>
              <w:tc>
                <w:tcPr>
                  <w:tcW w:w="2235" w:type="dxa"/>
                  <w:tcBorders>
                    <w:tl2br w:val="nil"/>
                    <w:tr2bl w:val="nil"/>
                  </w:tcBorders>
                  <w:noWrap w:val="0"/>
                  <w:vAlign w:val="center"/>
                </w:tcPr>
                <w:p w14:paraId="7AA435A4">
                  <w:pPr>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本项目</w:t>
                  </w:r>
                  <w:r>
                    <w:rPr>
                      <w:rFonts w:hint="eastAsia" w:cs="Times New Roman"/>
                      <w:b w:val="0"/>
                      <w:bCs w:val="0"/>
                      <w:color w:val="auto"/>
                      <w:sz w:val="21"/>
                      <w:szCs w:val="21"/>
                      <w:lang w:eastAsia="zh-CN"/>
                    </w:rPr>
                    <w:t>生活污水、纯水机浓水、器皿清洗废水进入化粪池处理达标后排入市政污水管网。</w:t>
                  </w:r>
                </w:p>
              </w:tc>
              <w:tc>
                <w:tcPr>
                  <w:tcW w:w="879" w:type="dxa"/>
                  <w:tcBorders>
                    <w:tl2br w:val="nil"/>
                    <w:tr2bl w:val="nil"/>
                  </w:tcBorders>
                  <w:noWrap w:val="0"/>
                  <w:vAlign w:val="center"/>
                </w:tcPr>
                <w:p w14:paraId="1FD24821">
                  <w:pPr>
                    <w:widowControl/>
                    <w:jc w:val="center"/>
                    <w:rPr>
                      <w:rFonts w:hint="default" w:ascii="Times New Roman" w:hAnsi="Times New Roman" w:cs="Times New Roman"/>
                      <w:color w:val="auto"/>
                      <w:kern w:val="0"/>
                      <w:szCs w:val="21"/>
                      <w:lang w:bidi="ar"/>
                    </w:rPr>
                  </w:pPr>
                  <w:r>
                    <w:rPr>
                      <w:rFonts w:hint="default" w:ascii="Times New Roman" w:hAnsi="Times New Roman" w:cs="Times New Roman"/>
                      <w:color w:val="auto"/>
                      <w:szCs w:val="21"/>
                    </w:rPr>
                    <w:t>符合</w:t>
                  </w:r>
                </w:p>
              </w:tc>
            </w:tr>
            <w:tr w14:paraId="4C729F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066" w:type="dxa"/>
                  <w:vMerge w:val="continue"/>
                  <w:tcBorders>
                    <w:tl2br w:val="nil"/>
                    <w:tr2bl w:val="nil"/>
                  </w:tcBorders>
                  <w:noWrap w:val="0"/>
                  <w:vAlign w:val="center"/>
                </w:tcPr>
                <w:p w14:paraId="07EDF412">
                  <w:pPr>
                    <w:widowControl/>
                    <w:jc w:val="left"/>
                    <w:rPr>
                      <w:rFonts w:hint="default" w:ascii="Times New Roman" w:hAnsi="Times New Roman" w:cs="Times New Roman"/>
                      <w:b w:val="0"/>
                      <w:bCs w:val="0"/>
                      <w:color w:val="auto"/>
                      <w:sz w:val="21"/>
                      <w:szCs w:val="21"/>
                    </w:rPr>
                  </w:pPr>
                </w:p>
              </w:tc>
              <w:tc>
                <w:tcPr>
                  <w:tcW w:w="2820" w:type="dxa"/>
                  <w:tcBorders>
                    <w:tl2br w:val="nil"/>
                    <w:tr2bl w:val="nil"/>
                  </w:tcBorders>
                  <w:noWrap w:val="0"/>
                  <w:vAlign w:val="center"/>
                </w:tcPr>
                <w:p w14:paraId="0FC2EF20">
                  <w:pPr>
                    <w:rPr>
                      <w:rFonts w:hint="default" w:ascii="Times New Roman" w:hAnsi="Times New Roman" w:cs="Times New Roman"/>
                      <w:b w:val="0"/>
                      <w:bCs w:val="0"/>
                      <w:color w:val="auto"/>
                      <w:sz w:val="21"/>
                      <w:szCs w:val="21"/>
                    </w:rPr>
                  </w:pPr>
                  <w:r>
                    <w:rPr>
                      <w:rFonts w:hint="eastAsia"/>
                      <w:color w:val="auto"/>
                      <w:highlight w:val="none"/>
                    </w:rPr>
                    <w:t>企业应强化废气污染物治理措施</w:t>
                  </w:r>
                  <w:r>
                    <w:rPr>
                      <w:rFonts w:hint="eastAsia"/>
                      <w:color w:val="auto"/>
                      <w:highlight w:val="none"/>
                      <w:lang w:eastAsia="zh-CN"/>
                    </w:rPr>
                    <w:t>，</w:t>
                  </w:r>
                  <w:r>
                    <w:rPr>
                      <w:rFonts w:hint="eastAsia"/>
                      <w:color w:val="auto"/>
                      <w:highlight w:val="none"/>
                    </w:rPr>
                    <w:t>确保废气排放满足《大气污染物综合排放标准》(GB16279-1996)二级标准或相应行业标准特别排放限值要求。</w:t>
                  </w:r>
                </w:p>
              </w:tc>
              <w:tc>
                <w:tcPr>
                  <w:tcW w:w="2235" w:type="dxa"/>
                  <w:tcBorders>
                    <w:tl2br w:val="nil"/>
                    <w:tr2bl w:val="nil"/>
                  </w:tcBorders>
                  <w:noWrap w:val="0"/>
                  <w:vAlign w:val="center"/>
                </w:tcPr>
                <w:p w14:paraId="57DE138B">
                  <w:pPr>
                    <w:rPr>
                      <w:rFonts w:hint="eastAsia" w:eastAsia="宋体" w:cs="Times New Roman"/>
                      <w:b w:val="0"/>
                      <w:bCs w:val="0"/>
                      <w:color w:val="auto"/>
                      <w:sz w:val="21"/>
                      <w:szCs w:val="21"/>
                      <w:lang w:val="en-US" w:eastAsia="zh-CN"/>
                    </w:rPr>
                  </w:pPr>
                  <w:r>
                    <w:rPr>
                      <w:rFonts w:hint="eastAsia"/>
                      <w:color w:val="auto"/>
                      <w:kern w:val="0"/>
                      <w:szCs w:val="21"/>
                      <w:lang w:val="en-US" w:eastAsia="zh-CN"/>
                    </w:rPr>
                    <w:t>本项目有机废气</w:t>
                  </w:r>
                  <w:r>
                    <w:rPr>
                      <w:rFonts w:hint="default" w:ascii="Times New Roman" w:hAnsi="Times New Roman" w:eastAsia="宋体" w:cs="Times New Roman"/>
                      <w:color w:val="auto"/>
                      <w:kern w:val="2"/>
                      <w:sz w:val="21"/>
                      <w:szCs w:val="21"/>
                      <w:lang w:val="en-US" w:eastAsia="zh-CN" w:bidi="ar-SA"/>
                    </w:rPr>
                    <w:t>经</w:t>
                  </w:r>
                  <w:r>
                    <w:rPr>
                      <w:rFonts w:hint="eastAsia"/>
                      <w:color w:val="auto"/>
                      <w:szCs w:val="21"/>
                    </w:rPr>
                    <w:t>通风橱</w:t>
                  </w:r>
                  <w:r>
                    <w:rPr>
                      <w:rFonts w:hint="eastAsia"/>
                      <w:color w:val="auto"/>
                      <w:szCs w:val="21"/>
                      <w:lang w:val="en-US" w:eastAsia="zh-CN"/>
                    </w:rPr>
                    <w:t>/密闭式管道</w:t>
                  </w:r>
                  <w:r>
                    <w:rPr>
                      <w:rFonts w:hint="eastAsia"/>
                      <w:color w:val="auto"/>
                      <w:szCs w:val="21"/>
                    </w:rPr>
                    <w:t>+二级活性炭吸附</w:t>
                  </w:r>
                  <w:r>
                    <w:rPr>
                      <w:color w:val="auto"/>
                      <w:szCs w:val="21"/>
                    </w:rPr>
                    <w:t>+</w:t>
                  </w:r>
                  <w:r>
                    <w:rPr>
                      <w:rFonts w:hint="eastAsia"/>
                      <w:color w:val="auto"/>
                      <w:szCs w:val="21"/>
                      <w:lang w:val="en-US" w:eastAsia="zh-CN"/>
                    </w:rPr>
                    <w:t>15m</w:t>
                  </w:r>
                  <w:r>
                    <w:rPr>
                      <w:color w:val="auto"/>
                      <w:szCs w:val="21"/>
                    </w:rPr>
                    <w:t>排气筒</w:t>
                  </w:r>
                  <w:r>
                    <w:rPr>
                      <w:rFonts w:hint="eastAsia"/>
                      <w:color w:val="auto"/>
                    </w:rPr>
                    <w:t>（DA001）</w:t>
                  </w:r>
                  <w:r>
                    <w:rPr>
                      <w:rFonts w:hint="eastAsia"/>
                      <w:color w:val="auto"/>
                      <w:szCs w:val="21"/>
                    </w:rPr>
                    <w:t>处理</w:t>
                  </w:r>
                  <w:r>
                    <w:rPr>
                      <w:rFonts w:hint="eastAsia"/>
                      <w:color w:val="auto"/>
                      <w:szCs w:val="21"/>
                      <w:lang w:val="en-US" w:eastAsia="zh-CN"/>
                    </w:rPr>
                    <w:t>后</w:t>
                  </w:r>
                  <w:r>
                    <w:rPr>
                      <w:rFonts w:hint="eastAsia"/>
                      <w:color w:val="auto"/>
                      <w:szCs w:val="21"/>
                    </w:rPr>
                    <w:t>达标排放</w:t>
                  </w:r>
                  <w:r>
                    <w:rPr>
                      <w:rFonts w:hint="eastAsia"/>
                      <w:color w:val="auto"/>
                      <w:szCs w:val="21"/>
                      <w:lang w:eastAsia="zh-CN"/>
                    </w:rPr>
                    <w:t>，</w:t>
                  </w:r>
                  <w:r>
                    <w:rPr>
                      <w:rFonts w:hint="eastAsia"/>
                      <w:color w:val="auto"/>
                      <w:highlight w:val="none"/>
                    </w:rPr>
                    <w:t>废气排放满足《大气污染物综合排放标准》(GB16279-1996)二级标准</w:t>
                  </w:r>
                  <w:r>
                    <w:rPr>
                      <w:rFonts w:hint="eastAsia"/>
                      <w:color w:val="auto"/>
                      <w:highlight w:val="none"/>
                      <w:lang w:eastAsia="zh-CN"/>
                    </w:rPr>
                    <w:t>。</w:t>
                  </w:r>
                </w:p>
              </w:tc>
              <w:tc>
                <w:tcPr>
                  <w:tcW w:w="879" w:type="dxa"/>
                  <w:tcBorders>
                    <w:tl2br w:val="nil"/>
                    <w:tr2bl w:val="nil"/>
                  </w:tcBorders>
                  <w:noWrap w:val="0"/>
                  <w:vAlign w:val="center"/>
                </w:tcPr>
                <w:p w14:paraId="1BCFB7A1">
                  <w:pPr>
                    <w:widowControl/>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符合</w:t>
                  </w:r>
                </w:p>
              </w:tc>
            </w:tr>
            <w:tr w14:paraId="307E8E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61" w:hRule="atLeast"/>
                <w:jc w:val="center"/>
              </w:trPr>
              <w:tc>
                <w:tcPr>
                  <w:tcW w:w="1066" w:type="dxa"/>
                  <w:vMerge w:val="continue"/>
                  <w:tcBorders>
                    <w:tl2br w:val="nil"/>
                    <w:tr2bl w:val="nil"/>
                  </w:tcBorders>
                  <w:noWrap w:val="0"/>
                  <w:vAlign w:val="center"/>
                </w:tcPr>
                <w:p w14:paraId="0D473B54">
                  <w:pPr>
                    <w:widowControl/>
                    <w:jc w:val="left"/>
                    <w:rPr>
                      <w:rFonts w:hint="default" w:ascii="Times New Roman" w:hAnsi="Times New Roman" w:cs="Times New Roman"/>
                      <w:color w:val="auto"/>
                      <w:kern w:val="0"/>
                      <w:szCs w:val="21"/>
                      <w:lang w:bidi="ar"/>
                    </w:rPr>
                  </w:pPr>
                </w:p>
              </w:tc>
              <w:tc>
                <w:tcPr>
                  <w:tcW w:w="2820" w:type="dxa"/>
                  <w:tcBorders>
                    <w:tl2br w:val="nil"/>
                    <w:tr2bl w:val="nil"/>
                  </w:tcBorders>
                  <w:noWrap w:val="0"/>
                  <w:vAlign w:val="center"/>
                </w:tcPr>
                <w:p w14:paraId="788C6045">
                  <w:pPr>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加强运输车辆的管理，如对运输土方、建筑垃圾或散装建材等的车辆，控制其装载量，并要求其采用篷布覆盖或密闭方式等，可减少路面尘源。</w:t>
                  </w:r>
                </w:p>
              </w:tc>
              <w:tc>
                <w:tcPr>
                  <w:tcW w:w="2235" w:type="dxa"/>
                  <w:tcBorders>
                    <w:tl2br w:val="nil"/>
                    <w:tr2bl w:val="nil"/>
                  </w:tcBorders>
                  <w:noWrap w:val="0"/>
                  <w:vAlign w:val="center"/>
                </w:tcPr>
                <w:p w14:paraId="438D93A8">
                  <w:pP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项目</w:t>
                  </w:r>
                  <w:r>
                    <w:rPr>
                      <w:rFonts w:hint="default" w:ascii="Times New Roman" w:hAnsi="Times New Roman" w:cs="Times New Roman"/>
                      <w:b w:val="0"/>
                      <w:bCs w:val="0"/>
                      <w:color w:val="auto"/>
                      <w:sz w:val="21"/>
                      <w:szCs w:val="21"/>
                      <w:lang w:val="en-US" w:eastAsia="zh-CN"/>
                    </w:rPr>
                    <w:t>利用已建成</w:t>
                  </w:r>
                  <w:r>
                    <w:rPr>
                      <w:rFonts w:hint="default" w:ascii="Times New Roman" w:hAnsi="Times New Roman" w:cs="Times New Roman"/>
                      <w:b w:val="0"/>
                      <w:bCs w:val="0"/>
                      <w:color w:val="auto"/>
                      <w:sz w:val="21"/>
                      <w:szCs w:val="21"/>
                    </w:rPr>
                    <w:t>厂房</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lang w:val="en-US" w:eastAsia="zh-CN"/>
                    </w:rPr>
                    <w:t>施工期仅为设备安装</w:t>
                  </w:r>
                  <w:r>
                    <w:rPr>
                      <w:rFonts w:hint="default" w:ascii="Times New Roman" w:hAnsi="Times New Roman" w:cs="Times New Roman"/>
                      <w:b w:val="0"/>
                      <w:bCs w:val="0"/>
                      <w:color w:val="auto"/>
                      <w:sz w:val="21"/>
                      <w:szCs w:val="21"/>
                    </w:rPr>
                    <w:t>，不涉及土方运输</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lang w:val="en-US" w:eastAsia="zh-CN"/>
                    </w:rPr>
                    <w:t>其他运输时严格按施工要求。</w:t>
                  </w:r>
                </w:p>
              </w:tc>
              <w:tc>
                <w:tcPr>
                  <w:tcW w:w="879" w:type="dxa"/>
                  <w:tcBorders>
                    <w:tl2br w:val="nil"/>
                    <w:tr2bl w:val="nil"/>
                  </w:tcBorders>
                  <w:noWrap w:val="0"/>
                  <w:vAlign w:val="center"/>
                </w:tcPr>
                <w:p w14:paraId="0A3C1873">
                  <w:pPr>
                    <w:widowControl/>
                    <w:jc w:val="center"/>
                    <w:rPr>
                      <w:rFonts w:hint="default" w:ascii="Times New Roman" w:hAnsi="Times New Roman" w:cs="Times New Roman"/>
                      <w:color w:val="auto"/>
                      <w:kern w:val="0"/>
                      <w:szCs w:val="21"/>
                      <w:lang w:bidi="ar"/>
                    </w:rPr>
                  </w:pPr>
                  <w:r>
                    <w:rPr>
                      <w:rFonts w:hint="default" w:ascii="Times New Roman" w:hAnsi="Times New Roman" w:cs="Times New Roman"/>
                      <w:color w:val="auto"/>
                      <w:szCs w:val="21"/>
                    </w:rPr>
                    <w:t>符合</w:t>
                  </w:r>
                </w:p>
              </w:tc>
            </w:tr>
            <w:tr w14:paraId="550EFB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6" w:type="dxa"/>
                  <w:vMerge w:val="continue"/>
                  <w:tcBorders>
                    <w:tl2br w:val="nil"/>
                    <w:tr2bl w:val="nil"/>
                  </w:tcBorders>
                  <w:noWrap w:val="0"/>
                  <w:vAlign w:val="center"/>
                </w:tcPr>
                <w:p w14:paraId="60986C27">
                  <w:pPr>
                    <w:widowControl/>
                    <w:jc w:val="left"/>
                    <w:rPr>
                      <w:rFonts w:hint="default" w:ascii="Times New Roman" w:hAnsi="Times New Roman" w:cs="Times New Roman"/>
                      <w:color w:val="auto"/>
                      <w:kern w:val="0"/>
                      <w:szCs w:val="21"/>
                      <w:lang w:bidi="ar"/>
                    </w:rPr>
                  </w:pPr>
                </w:p>
              </w:tc>
              <w:tc>
                <w:tcPr>
                  <w:tcW w:w="2820" w:type="dxa"/>
                  <w:tcBorders>
                    <w:tl2br w:val="nil"/>
                    <w:tr2bl w:val="nil"/>
                  </w:tcBorders>
                  <w:noWrap w:val="0"/>
                  <w:vAlign w:val="center"/>
                </w:tcPr>
                <w:p w14:paraId="64952139">
                  <w:pPr>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规划新增项目产生的一般工业固体废物可以回收利用的，企业直接回收利用，或送厂家进行回收再利用，或外卖其他企业回收利用；无法综合利用的一般工业固体废物按《一般工业固体废物贮存和填埋污染控制标准》（GB18599-2020）要求，进行贮存。对于涉及危险废物的企业应建立危险废物暂存库并严格按照重点防渗区进行防渗处理，防止污染地下水，并定期及时交由有资质单位处置，应与有危险废物处置资质单位建立长期合作关系。</w:t>
                  </w:r>
                </w:p>
              </w:tc>
              <w:tc>
                <w:tcPr>
                  <w:tcW w:w="2235" w:type="dxa"/>
                  <w:tcBorders>
                    <w:tl2br w:val="nil"/>
                    <w:tr2bl w:val="nil"/>
                  </w:tcBorders>
                  <w:noWrap w:val="0"/>
                  <w:vAlign w:val="center"/>
                </w:tcPr>
                <w:p w14:paraId="042EFBF1">
                  <w:pP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本项目产生的一般固废</w:t>
                  </w:r>
                  <w:r>
                    <w:rPr>
                      <w:rFonts w:hint="eastAsia"/>
                      <w:color w:val="auto"/>
                      <w:szCs w:val="21"/>
                      <w:lang w:val="en-US" w:eastAsia="zh-CN"/>
                    </w:rPr>
                    <w:t>废</w:t>
                  </w:r>
                  <w:r>
                    <w:rPr>
                      <w:rFonts w:hint="default"/>
                      <w:color w:val="auto"/>
                      <w:szCs w:val="21"/>
                      <w:lang w:val="en-US" w:eastAsia="zh-CN"/>
                    </w:rPr>
                    <w:t>边角料</w:t>
                  </w:r>
                  <w:r>
                    <w:rPr>
                      <w:rFonts w:hint="eastAsia"/>
                      <w:color w:val="auto"/>
                      <w:szCs w:val="21"/>
                      <w:lang w:val="en-US" w:eastAsia="zh-CN"/>
                    </w:rPr>
                    <w:t>、</w:t>
                  </w:r>
                  <w:r>
                    <w:rPr>
                      <w:rFonts w:hint="default"/>
                      <w:color w:val="auto"/>
                      <w:szCs w:val="21"/>
                      <w:lang w:val="en-US" w:eastAsia="zh-CN"/>
                    </w:rPr>
                    <w:t>废包装</w:t>
                  </w:r>
                  <w:r>
                    <w:rPr>
                      <w:rFonts w:hint="eastAsia"/>
                      <w:color w:val="auto"/>
                      <w:szCs w:val="21"/>
                      <w:lang w:val="en-US" w:eastAsia="zh-CN"/>
                    </w:rPr>
                    <w:t>材料、不合格品</w:t>
                  </w:r>
                  <w:r>
                    <w:rPr>
                      <w:rFonts w:hint="default" w:ascii="Times New Roman" w:hAnsi="Times New Roman"/>
                      <w:color w:val="auto"/>
                      <w:sz w:val="21"/>
                      <w:szCs w:val="21"/>
                      <w:lang w:val="en-US" w:eastAsia="zh-CN"/>
                    </w:rPr>
                    <w:t>集中收集后外售</w:t>
                  </w:r>
                  <w:r>
                    <w:rPr>
                      <w:rFonts w:hint="eastAsia" w:ascii="Times New Roman" w:hAnsi="Times New Roman"/>
                      <w:color w:val="auto"/>
                      <w:sz w:val="21"/>
                      <w:szCs w:val="21"/>
                      <w:lang w:val="en-US" w:eastAsia="zh-CN"/>
                    </w:rPr>
                    <w:t>，</w:t>
                  </w:r>
                  <w:r>
                    <w:rPr>
                      <w:rFonts w:hint="eastAsia"/>
                      <w:color w:val="auto"/>
                      <w:szCs w:val="21"/>
                      <w:lang w:val="en-US" w:eastAsia="zh-CN"/>
                    </w:rPr>
                    <w:t>废反渗透膜和废滤芯</w:t>
                  </w:r>
                  <w:r>
                    <w:rPr>
                      <w:rFonts w:hint="eastAsia"/>
                      <w:color w:val="auto"/>
                      <w:sz w:val="21"/>
                      <w:szCs w:val="21"/>
                      <w:lang w:val="en-US" w:eastAsia="zh-CN"/>
                    </w:rPr>
                    <w:t>交供应商回收利用</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lang w:val="en-US" w:eastAsia="zh-CN"/>
                    </w:rPr>
                    <w:t>危险废物暂存在危废贮存库内，交由有资质单位定期处置。</w:t>
                  </w:r>
                </w:p>
              </w:tc>
              <w:tc>
                <w:tcPr>
                  <w:tcW w:w="879" w:type="dxa"/>
                  <w:tcBorders>
                    <w:tl2br w:val="nil"/>
                    <w:tr2bl w:val="nil"/>
                  </w:tcBorders>
                  <w:noWrap w:val="0"/>
                  <w:vAlign w:val="center"/>
                </w:tcPr>
                <w:p w14:paraId="30A9D66F">
                  <w:pPr>
                    <w:widowControl/>
                    <w:jc w:val="center"/>
                    <w:rPr>
                      <w:rFonts w:hint="default" w:ascii="Times New Roman" w:hAnsi="Times New Roman" w:cs="Times New Roman"/>
                      <w:color w:val="auto"/>
                      <w:kern w:val="0"/>
                      <w:szCs w:val="21"/>
                      <w:lang w:bidi="ar"/>
                    </w:rPr>
                  </w:pPr>
                  <w:r>
                    <w:rPr>
                      <w:rFonts w:hint="default" w:ascii="Times New Roman" w:hAnsi="Times New Roman" w:cs="Times New Roman"/>
                      <w:color w:val="auto"/>
                      <w:szCs w:val="21"/>
                    </w:rPr>
                    <w:t>符合</w:t>
                  </w:r>
                </w:p>
              </w:tc>
            </w:tr>
          </w:tbl>
          <w:p w14:paraId="0C6B2B14">
            <w:pPr>
              <w:pStyle w:val="15"/>
              <w:rPr>
                <w:rFonts w:hint="default" w:ascii="Times New Roman" w:hAnsi="Times New Roman" w:cs="Times New Roman"/>
                <w:color w:val="auto"/>
                <w:lang w:val="en-US" w:eastAsia="zh-CN"/>
              </w:rPr>
            </w:pPr>
          </w:p>
        </w:tc>
      </w:tr>
      <w:tr w14:paraId="0B7357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27" w:type="dxa"/>
            <w:noWrap w:val="0"/>
            <w:vAlign w:val="center"/>
          </w:tcPr>
          <w:p w14:paraId="4E607826">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其他</w:t>
            </w:r>
          </w:p>
          <w:p w14:paraId="23F4FA52">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符合性分析</w:t>
            </w:r>
          </w:p>
        </w:tc>
        <w:tc>
          <w:tcPr>
            <w:tcW w:w="7143" w:type="dxa"/>
            <w:gridSpan w:val="3"/>
            <w:noWrap w:val="0"/>
            <w:vAlign w:val="center"/>
          </w:tcPr>
          <w:p w14:paraId="3EC6224A">
            <w:pPr>
              <w:numPr>
                <w:ilvl w:val="0"/>
                <w:numId w:val="0"/>
              </w:numPr>
              <w:spacing w:line="360" w:lineRule="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kern w:val="2"/>
                <w:sz w:val="24"/>
                <w:szCs w:val="24"/>
                <w:lang w:val="en-US" w:eastAsia="zh-CN" w:bidi="ar-SA"/>
              </w:rPr>
              <w:t>1、</w:t>
            </w:r>
            <w:r>
              <w:rPr>
                <w:rFonts w:hint="default" w:ascii="Times New Roman" w:hAnsi="Times New Roman" w:cs="Times New Roman"/>
                <w:b/>
                <w:bCs/>
                <w:color w:val="auto"/>
                <w:sz w:val="24"/>
                <w:szCs w:val="24"/>
                <w:lang w:val="en-US" w:eastAsia="zh-CN"/>
              </w:rPr>
              <w:t>产业政策符合性分析</w:t>
            </w:r>
          </w:p>
          <w:p w14:paraId="303FE91C">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根据《产业结构调整指导目录（2024年本）》，本项目不属于其中规定的鼓励类，限制类和淘汰类项目；经查阅，本项目不属于《市场准入负面清单（2025年版）》中禁止或许可准入类；不属于《陕西省限制投资类产业指导目录》中限制投资类产业</w:t>
            </w:r>
            <w:bookmarkStart w:id="25" w:name="_GoBack"/>
            <w:bookmarkEnd w:id="25"/>
            <w:r>
              <w:rPr>
                <w:rFonts w:hint="default" w:ascii="Times New Roman" w:hAnsi="Times New Roman" w:cs="Times New Roman"/>
                <w:color w:val="auto"/>
                <w:sz w:val="24"/>
                <w:szCs w:val="24"/>
                <w:lang w:val="en-US" w:eastAsia="zh-CN"/>
              </w:rPr>
              <w:t>。</w:t>
            </w:r>
          </w:p>
          <w:p w14:paraId="3A1D4EFC">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因此，本项目符合相关产业政策。</w:t>
            </w:r>
          </w:p>
          <w:p w14:paraId="1696E001">
            <w:pPr>
              <w:numPr>
                <w:ilvl w:val="0"/>
                <w:numId w:val="2"/>
              </w:numPr>
              <w:spacing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w:t>
            </w:r>
            <w:r>
              <w:rPr>
                <w:rFonts w:hint="default" w:ascii="Times New Roman" w:hAnsi="Times New Roman" w:cs="Times New Roman"/>
                <w:b/>
                <w:bCs/>
                <w:color w:val="auto"/>
                <w:sz w:val="24"/>
                <w:szCs w:val="24"/>
                <w:lang w:val="en-US" w:eastAsia="zh-CN"/>
              </w:rPr>
              <w:t>三线一单</w:t>
            </w:r>
            <w:r>
              <w:rPr>
                <w:rFonts w:hint="eastAsia" w:ascii="Times New Roman" w:hAnsi="Times New Roman" w:cs="Times New Roman"/>
                <w:b/>
                <w:bCs/>
                <w:color w:val="auto"/>
                <w:sz w:val="24"/>
                <w:szCs w:val="24"/>
                <w:lang w:val="en-US" w:eastAsia="zh-CN"/>
              </w:rPr>
              <w:t>”</w:t>
            </w:r>
            <w:r>
              <w:rPr>
                <w:rFonts w:hint="default" w:ascii="Times New Roman" w:hAnsi="Times New Roman" w:cs="Times New Roman"/>
                <w:b/>
                <w:bCs/>
                <w:color w:val="auto"/>
                <w:sz w:val="24"/>
                <w:szCs w:val="24"/>
                <w:lang w:val="en-US" w:eastAsia="zh-CN"/>
              </w:rPr>
              <w:t>符合性分析</w:t>
            </w:r>
          </w:p>
          <w:p w14:paraId="7A98673B">
            <w:pPr>
              <w:snapToGrid/>
              <w:spacing w:line="360" w:lineRule="auto"/>
              <w:ind w:firstLine="480" w:firstLineChars="200"/>
              <w:rPr>
                <w:color w:val="auto"/>
                <w:sz w:val="24"/>
                <w:highlight w:val="none"/>
              </w:rPr>
            </w:pPr>
            <w:r>
              <w:rPr>
                <w:color w:val="auto"/>
                <w:sz w:val="24"/>
                <w:highlight w:val="none"/>
              </w:rPr>
              <w:t>根据</w:t>
            </w:r>
            <w:r>
              <w:rPr>
                <w:rFonts w:hint="eastAsia"/>
                <w:color w:val="auto"/>
                <w:sz w:val="24"/>
                <w:highlight w:val="none"/>
                <w:lang w:eastAsia="zh-CN"/>
              </w:rPr>
              <w:t>《</w:t>
            </w:r>
            <w:r>
              <w:rPr>
                <w:rFonts w:hint="eastAsia"/>
                <w:color w:val="auto"/>
                <w:sz w:val="24"/>
                <w:highlight w:val="none"/>
                <w:lang w:val="en-US" w:eastAsia="zh-CN"/>
              </w:rPr>
              <w:t>陕西省人民政府关于加快实施“三线一单”生态环境分区管控的意见</w:t>
            </w:r>
            <w:r>
              <w:rPr>
                <w:rFonts w:hint="eastAsia"/>
                <w:color w:val="auto"/>
                <w:sz w:val="24"/>
                <w:highlight w:val="none"/>
                <w:lang w:eastAsia="zh-CN"/>
              </w:rPr>
              <w:t>》（</w:t>
            </w:r>
            <w:r>
              <w:rPr>
                <w:rFonts w:hint="eastAsia"/>
                <w:color w:val="auto"/>
                <w:sz w:val="24"/>
                <w:highlight w:val="none"/>
                <w:lang w:val="en-US" w:eastAsia="zh-CN"/>
              </w:rPr>
              <w:t>陕政发〔2020〕11号</w:t>
            </w:r>
            <w:r>
              <w:rPr>
                <w:rFonts w:hint="eastAsia"/>
                <w:color w:val="auto"/>
                <w:sz w:val="24"/>
                <w:highlight w:val="none"/>
                <w:lang w:eastAsia="zh-CN"/>
              </w:rPr>
              <w:t>）、</w:t>
            </w:r>
            <w:r>
              <w:rPr>
                <w:rFonts w:hint="eastAsia"/>
                <w:color w:val="auto"/>
                <w:sz w:val="24"/>
              </w:rPr>
              <w:t>《2023年咸阳市生态环境分区管控调整方案》（咸政办函〔2024〕162号）</w:t>
            </w:r>
            <w:r>
              <w:rPr>
                <w:color w:val="auto"/>
                <w:sz w:val="24"/>
                <w:highlight w:val="none"/>
              </w:rPr>
              <w:t>，落实生态保护红线、环境质量底线、资源利用上线和生态环境准入清单（以下简称</w:t>
            </w:r>
            <w:r>
              <w:rPr>
                <w:rFonts w:hint="eastAsia"/>
                <w:color w:val="auto"/>
                <w:sz w:val="24"/>
                <w:highlight w:val="none"/>
                <w:lang w:eastAsia="zh-CN"/>
              </w:rPr>
              <w:t>“</w:t>
            </w:r>
            <w:r>
              <w:rPr>
                <w:color w:val="auto"/>
                <w:sz w:val="24"/>
                <w:highlight w:val="none"/>
              </w:rPr>
              <w:t>三线一单</w:t>
            </w:r>
            <w:r>
              <w:rPr>
                <w:rFonts w:hint="eastAsia"/>
                <w:color w:val="auto"/>
                <w:sz w:val="24"/>
                <w:highlight w:val="none"/>
                <w:lang w:eastAsia="zh-CN"/>
              </w:rPr>
              <w:t>”</w:t>
            </w:r>
            <w:r>
              <w:rPr>
                <w:color w:val="auto"/>
                <w:sz w:val="24"/>
                <w:highlight w:val="none"/>
              </w:rPr>
              <w:t>），建立健全生态环境分区管控体系。</w:t>
            </w:r>
          </w:p>
          <w:p w14:paraId="340E56D3">
            <w:pPr>
              <w:autoSpaceDE w:val="0"/>
              <w:autoSpaceDN w:val="0"/>
              <w:spacing w:line="360" w:lineRule="auto"/>
              <w:ind w:firstLine="480" w:firstLineChars="200"/>
              <w:contextualSpacing/>
              <w:rPr>
                <w:rFonts w:hint="eastAsia"/>
                <w:color w:val="auto"/>
                <w:sz w:val="24"/>
                <w:szCs w:val="32"/>
                <w:highlight w:val="none"/>
              </w:rPr>
            </w:pPr>
            <w:r>
              <w:rPr>
                <w:rFonts w:hint="eastAsia"/>
                <w:color w:val="auto"/>
                <w:sz w:val="24"/>
                <w:szCs w:val="32"/>
                <w:highlight w:val="none"/>
              </w:rPr>
              <w:t>本项目与“三线一单”符合性分析如下。</w:t>
            </w:r>
          </w:p>
          <w:p w14:paraId="3EC30ECA">
            <w:pPr>
              <w:pStyle w:val="11"/>
            </w:pPr>
          </w:p>
          <w:p w14:paraId="27D87A06">
            <w:pPr>
              <w:autoSpaceDE w:val="0"/>
              <w:autoSpaceDN w:val="0"/>
              <w:ind w:firstLine="482" w:firstLineChars="200"/>
              <w:contextualSpacing/>
              <w:jc w:val="center"/>
              <w:rPr>
                <w:b/>
                <w:color w:val="auto"/>
                <w:kern w:val="0"/>
                <w:sz w:val="24"/>
                <w:highlight w:val="none"/>
              </w:rPr>
            </w:pPr>
            <w:r>
              <w:rPr>
                <w:b/>
                <w:bCs/>
                <w:color w:val="auto"/>
                <w:sz w:val="24"/>
                <w:highlight w:val="none"/>
              </w:rPr>
              <w:t>表1-2</w:t>
            </w:r>
            <w:r>
              <w:rPr>
                <w:rFonts w:hint="eastAsia"/>
                <w:b/>
                <w:bCs/>
                <w:color w:val="auto"/>
                <w:sz w:val="24"/>
                <w:highlight w:val="none"/>
              </w:rPr>
              <w:t xml:space="preserve"> </w:t>
            </w:r>
            <w:r>
              <w:rPr>
                <w:b/>
                <w:bCs/>
                <w:color w:val="auto"/>
                <w:sz w:val="24"/>
                <w:highlight w:val="none"/>
              </w:rPr>
              <w:t xml:space="preserve"> “三线一单”符合性分析</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9"/>
              <w:gridCol w:w="3713"/>
              <w:gridCol w:w="1772"/>
              <w:gridCol w:w="533"/>
            </w:tblGrid>
            <w:tr w14:paraId="640978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6" w:type="pct"/>
                  <w:noWrap w:val="0"/>
                  <w:vAlign w:val="center"/>
                </w:tcPr>
                <w:p w14:paraId="7537FBCE">
                  <w:pPr>
                    <w:autoSpaceDE w:val="0"/>
                    <w:autoSpaceDN w:val="0"/>
                    <w:adjustRightInd/>
                    <w:snapToGrid/>
                    <w:ind w:left="-105" w:leftChars="-50" w:right="-105" w:rightChars="-50"/>
                    <w:contextualSpacing/>
                    <w:jc w:val="center"/>
                    <w:rPr>
                      <w:b/>
                      <w:bCs/>
                      <w:color w:val="auto"/>
                      <w:kern w:val="0"/>
                      <w:szCs w:val="21"/>
                      <w:highlight w:val="none"/>
                    </w:rPr>
                  </w:pPr>
                  <w:r>
                    <w:rPr>
                      <w:b/>
                      <w:bCs/>
                      <w:color w:val="auto"/>
                      <w:kern w:val="0"/>
                      <w:szCs w:val="21"/>
                      <w:highlight w:val="none"/>
                    </w:rPr>
                    <w:t>“三线一单”</w:t>
                  </w:r>
                </w:p>
              </w:tc>
              <w:tc>
                <w:tcPr>
                  <w:tcW w:w="2678" w:type="pct"/>
                  <w:noWrap w:val="0"/>
                  <w:vAlign w:val="center"/>
                </w:tcPr>
                <w:p w14:paraId="175E5DDD">
                  <w:pPr>
                    <w:autoSpaceDE w:val="0"/>
                    <w:autoSpaceDN w:val="0"/>
                    <w:adjustRightInd/>
                    <w:snapToGrid/>
                    <w:ind w:left="-105" w:leftChars="-50" w:right="-105" w:rightChars="-50"/>
                    <w:contextualSpacing/>
                    <w:jc w:val="center"/>
                    <w:rPr>
                      <w:b/>
                      <w:bCs/>
                      <w:color w:val="auto"/>
                      <w:kern w:val="0"/>
                      <w:szCs w:val="21"/>
                      <w:highlight w:val="none"/>
                    </w:rPr>
                  </w:pPr>
                  <w:r>
                    <w:rPr>
                      <w:b/>
                      <w:bCs/>
                      <w:color w:val="auto"/>
                      <w:kern w:val="0"/>
                      <w:szCs w:val="21"/>
                      <w:highlight w:val="none"/>
                    </w:rPr>
                    <w:t>内容</w:t>
                  </w:r>
                </w:p>
              </w:tc>
              <w:tc>
                <w:tcPr>
                  <w:tcW w:w="1278" w:type="pct"/>
                  <w:noWrap w:val="0"/>
                  <w:vAlign w:val="center"/>
                </w:tcPr>
                <w:p w14:paraId="431C7C49">
                  <w:pPr>
                    <w:autoSpaceDE w:val="0"/>
                    <w:autoSpaceDN w:val="0"/>
                    <w:adjustRightInd/>
                    <w:snapToGrid/>
                    <w:ind w:left="-105" w:leftChars="-50" w:right="-105" w:rightChars="-50"/>
                    <w:contextualSpacing/>
                    <w:jc w:val="center"/>
                    <w:rPr>
                      <w:b/>
                      <w:bCs/>
                      <w:color w:val="auto"/>
                      <w:kern w:val="0"/>
                      <w:szCs w:val="21"/>
                      <w:highlight w:val="none"/>
                    </w:rPr>
                  </w:pPr>
                  <w:r>
                    <w:rPr>
                      <w:b/>
                      <w:bCs/>
                      <w:color w:val="auto"/>
                      <w:kern w:val="0"/>
                      <w:szCs w:val="21"/>
                      <w:highlight w:val="none"/>
                    </w:rPr>
                    <w:t>本项目情况</w:t>
                  </w:r>
                </w:p>
              </w:tc>
              <w:tc>
                <w:tcPr>
                  <w:tcW w:w="385" w:type="pct"/>
                  <w:noWrap w:val="0"/>
                  <w:vAlign w:val="center"/>
                </w:tcPr>
                <w:p w14:paraId="5F265BA4">
                  <w:pPr>
                    <w:autoSpaceDE w:val="0"/>
                    <w:autoSpaceDN w:val="0"/>
                    <w:adjustRightInd/>
                    <w:snapToGrid/>
                    <w:ind w:left="-105" w:leftChars="-50" w:right="-105" w:rightChars="-50"/>
                    <w:contextualSpacing/>
                    <w:jc w:val="center"/>
                    <w:rPr>
                      <w:b/>
                      <w:bCs/>
                      <w:color w:val="auto"/>
                      <w:kern w:val="0"/>
                      <w:szCs w:val="21"/>
                      <w:highlight w:val="none"/>
                    </w:rPr>
                  </w:pPr>
                  <w:r>
                    <w:rPr>
                      <w:b/>
                      <w:bCs/>
                      <w:color w:val="auto"/>
                      <w:kern w:val="0"/>
                      <w:szCs w:val="21"/>
                      <w:highlight w:val="none"/>
                    </w:rPr>
                    <w:t>符合性</w:t>
                  </w:r>
                </w:p>
              </w:tc>
            </w:tr>
            <w:tr w14:paraId="23F6A0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6" w:type="pct"/>
                  <w:noWrap w:val="0"/>
                  <w:vAlign w:val="center"/>
                </w:tcPr>
                <w:p w14:paraId="55287A8C">
                  <w:pPr>
                    <w:autoSpaceDE w:val="0"/>
                    <w:autoSpaceDN w:val="0"/>
                    <w:contextualSpacing/>
                    <w:jc w:val="center"/>
                    <w:rPr>
                      <w:color w:val="auto"/>
                      <w:kern w:val="0"/>
                      <w:szCs w:val="21"/>
                      <w:highlight w:val="none"/>
                    </w:rPr>
                  </w:pPr>
                  <w:r>
                    <w:rPr>
                      <w:color w:val="auto"/>
                      <w:kern w:val="0"/>
                      <w:szCs w:val="21"/>
                      <w:highlight w:val="none"/>
                    </w:rPr>
                    <w:t>生态保护红线</w:t>
                  </w:r>
                </w:p>
              </w:tc>
              <w:tc>
                <w:tcPr>
                  <w:tcW w:w="2678" w:type="pct"/>
                  <w:noWrap w:val="0"/>
                  <w:vAlign w:val="center"/>
                </w:tcPr>
                <w:p w14:paraId="49C3C080">
                  <w:pPr>
                    <w:autoSpaceDE w:val="0"/>
                    <w:autoSpaceDN w:val="0"/>
                    <w:contextualSpacing/>
                    <w:jc w:val="both"/>
                    <w:rPr>
                      <w:color w:val="auto"/>
                      <w:kern w:val="0"/>
                      <w:szCs w:val="21"/>
                      <w:highlight w:val="none"/>
                    </w:rPr>
                  </w:pPr>
                  <w:r>
                    <w:rPr>
                      <w:color w:val="auto"/>
                      <w:kern w:val="0"/>
                      <w:szCs w:val="21"/>
                      <w:highlight w:val="none"/>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1278" w:type="pct"/>
                  <w:noWrap w:val="0"/>
                  <w:vAlign w:val="center"/>
                </w:tcPr>
                <w:p w14:paraId="36F63DC5">
                  <w:pPr>
                    <w:autoSpaceDE w:val="0"/>
                    <w:autoSpaceDN w:val="0"/>
                    <w:contextualSpacing/>
                    <w:rPr>
                      <w:color w:val="auto"/>
                      <w:kern w:val="0"/>
                      <w:szCs w:val="21"/>
                      <w:highlight w:val="none"/>
                    </w:rPr>
                  </w:pPr>
                  <w:r>
                    <w:rPr>
                      <w:rFonts w:hint="default" w:ascii="Times New Roman" w:hAnsi="Times New Roman" w:cs="Times New Roman"/>
                      <w:color w:val="auto"/>
                      <w:kern w:val="0"/>
                      <w:szCs w:val="21"/>
                      <w:lang w:bidi="ar"/>
                    </w:rPr>
                    <w:t>本项目</w:t>
                  </w:r>
                  <w:r>
                    <w:rPr>
                      <w:rFonts w:hint="default" w:ascii="Times New Roman" w:hAnsi="Times New Roman" w:cs="Times New Roman"/>
                      <w:color w:val="auto"/>
                      <w:kern w:val="0"/>
                      <w:szCs w:val="21"/>
                      <w:lang w:val="en-US" w:eastAsia="zh-CN" w:bidi="ar"/>
                    </w:rPr>
                    <w:t>位于西咸新区泾河新城永乐镇泾河智造创新产业园</w:t>
                  </w:r>
                  <w:r>
                    <w:rPr>
                      <w:color w:val="auto"/>
                      <w:kern w:val="0"/>
                      <w:szCs w:val="21"/>
                      <w:highlight w:val="none"/>
                    </w:rPr>
                    <w:t>，</w:t>
                  </w:r>
                  <w:r>
                    <w:rPr>
                      <w:rFonts w:hint="eastAsia"/>
                      <w:color w:val="auto"/>
                      <w:kern w:val="0"/>
                      <w:szCs w:val="21"/>
                      <w:highlight w:val="none"/>
                      <w:lang w:val="en-US" w:eastAsia="zh-CN"/>
                    </w:rPr>
                    <w:t>位于生态环境管控单元中的重点管控单元，</w:t>
                  </w:r>
                  <w:r>
                    <w:rPr>
                      <w:color w:val="auto"/>
                      <w:kern w:val="0"/>
                      <w:szCs w:val="21"/>
                      <w:highlight w:val="none"/>
                    </w:rPr>
                    <w:t>不涉及生态保护红线。</w:t>
                  </w:r>
                </w:p>
              </w:tc>
              <w:tc>
                <w:tcPr>
                  <w:tcW w:w="385" w:type="pct"/>
                  <w:noWrap w:val="0"/>
                  <w:vAlign w:val="center"/>
                </w:tcPr>
                <w:p w14:paraId="46BCBC46">
                  <w:pPr>
                    <w:autoSpaceDE w:val="0"/>
                    <w:autoSpaceDN w:val="0"/>
                    <w:contextualSpacing/>
                    <w:jc w:val="center"/>
                    <w:rPr>
                      <w:color w:val="auto"/>
                      <w:kern w:val="0"/>
                      <w:szCs w:val="21"/>
                      <w:highlight w:val="none"/>
                    </w:rPr>
                  </w:pPr>
                  <w:r>
                    <w:rPr>
                      <w:color w:val="auto"/>
                      <w:kern w:val="0"/>
                      <w:szCs w:val="21"/>
                      <w:highlight w:val="none"/>
                    </w:rPr>
                    <w:t>符合</w:t>
                  </w:r>
                </w:p>
              </w:tc>
            </w:tr>
            <w:tr w14:paraId="692283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6" w:type="pct"/>
                  <w:noWrap w:val="0"/>
                  <w:vAlign w:val="center"/>
                </w:tcPr>
                <w:p w14:paraId="2AC4F3F6">
                  <w:pPr>
                    <w:autoSpaceDE w:val="0"/>
                    <w:autoSpaceDN w:val="0"/>
                    <w:contextualSpacing/>
                    <w:jc w:val="center"/>
                    <w:rPr>
                      <w:color w:val="auto"/>
                      <w:kern w:val="0"/>
                      <w:szCs w:val="21"/>
                      <w:highlight w:val="none"/>
                    </w:rPr>
                  </w:pPr>
                  <w:r>
                    <w:rPr>
                      <w:color w:val="auto"/>
                      <w:kern w:val="0"/>
                      <w:szCs w:val="21"/>
                      <w:highlight w:val="none"/>
                    </w:rPr>
                    <w:t>环境质量底线</w:t>
                  </w:r>
                </w:p>
              </w:tc>
              <w:tc>
                <w:tcPr>
                  <w:tcW w:w="2678" w:type="pct"/>
                  <w:noWrap w:val="0"/>
                  <w:vAlign w:val="center"/>
                </w:tcPr>
                <w:p w14:paraId="2A4E1B9D">
                  <w:pPr>
                    <w:autoSpaceDE w:val="0"/>
                    <w:autoSpaceDN w:val="0"/>
                    <w:contextualSpacing/>
                    <w:jc w:val="center"/>
                    <w:rPr>
                      <w:color w:val="auto"/>
                      <w:kern w:val="0"/>
                      <w:szCs w:val="21"/>
                      <w:highlight w:val="none"/>
                    </w:rPr>
                  </w:pPr>
                  <w:r>
                    <w:rPr>
                      <w:color w:val="auto"/>
                      <w:kern w:val="0"/>
                      <w:szCs w:val="21"/>
                      <w:highlight w:val="none"/>
                    </w:rPr>
                    <w:t>项目环评应对照区域环境质量目标，深入分析预测项目建设对环境质量的影响，强化污染防治措施和污染物排放控制要求。</w:t>
                  </w:r>
                </w:p>
              </w:tc>
              <w:tc>
                <w:tcPr>
                  <w:tcW w:w="1278" w:type="pct"/>
                  <w:noWrap w:val="0"/>
                  <w:vAlign w:val="center"/>
                </w:tcPr>
                <w:p w14:paraId="72729DEF">
                  <w:pPr>
                    <w:autoSpaceDE w:val="0"/>
                    <w:autoSpaceDN w:val="0"/>
                    <w:contextualSpacing/>
                    <w:rPr>
                      <w:rFonts w:hint="eastAsia"/>
                      <w:color w:val="auto"/>
                      <w:kern w:val="0"/>
                      <w:szCs w:val="21"/>
                      <w:highlight w:val="none"/>
                    </w:rPr>
                  </w:pPr>
                  <w:r>
                    <w:rPr>
                      <w:rFonts w:hint="eastAsia"/>
                      <w:color w:val="auto"/>
                      <w:kern w:val="0"/>
                      <w:szCs w:val="21"/>
                      <w:highlight w:val="none"/>
                    </w:rPr>
                    <w:t>本</w:t>
                  </w:r>
                  <w:r>
                    <w:rPr>
                      <w:color w:val="auto"/>
                      <w:kern w:val="0"/>
                      <w:szCs w:val="21"/>
                      <w:highlight w:val="none"/>
                    </w:rPr>
                    <w:t>项目通过采取报告中提出的各项污染防治措施后，不会导致项目所在区域大气、水、声等环境质量现状发生明显变化</w:t>
                  </w:r>
                  <w:r>
                    <w:rPr>
                      <w:rFonts w:hint="eastAsia"/>
                      <w:color w:val="auto"/>
                      <w:kern w:val="0"/>
                      <w:szCs w:val="21"/>
                      <w:highlight w:val="none"/>
                    </w:rPr>
                    <w:t>。</w:t>
                  </w:r>
                </w:p>
              </w:tc>
              <w:tc>
                <w:tcPr>
                  <w:tcW w:w="385" w:type="pct"/>
                  <w:noWrap w:val="0"/>
                  <w:vAlign w:val="center"/>
                </w:tcPr>
                <w:p w14:paraId="51B92845">
                  <w:pPr>
                    <w:autoSpaceDE w:val="0"/>
                    <w:autoSpaceDN w:val="0"/>
                    <w:contextualSpacing/>
                    <w:jc w:val="center"/>
                    <w:rPr>
                      <w:color w:val="auto"/>
                      <w:kern w:val="0"/>
                      <w:szCs w:val="21"/>
                      <w:highlight w:val="none"/>
                    </w:rPr>
                  </w:pPr>
                  <w:r>
                    <w:rPr>
                      <w:color w:val="auto"/>
                      <w:kern w:val="0"/>
                      <w:szCs w:val="21"/>
                      <w:highlight w:val="none"/>
                    </w:rPr>
                    <w:t>符合</w:t>
                  </w:r>
                </w:p>
              </w:tc>
            </w:tr>
            <w:tr w14:paraId="7EDA4A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6" w:type="pct"/>
                  <w:noWrap w:val="0"/>
                  <w:vAlign w:val="center"/>
                </w:tcPr>
                <w:p w14:paraId="2F92DE63">
                  <w:pPr>
                    <w:autoSpaceDE w:val="0"/>
                    <w:autoSpaceDN w:val="0"/>
                    <w:contextualSpacing/>
                    <w:jc w:val="center"/>
                    <w:rPr>
                      <w:color w:val="auto"/>
                      <w:kern w:val="0"/>
                      <w:szCs w:val="21"/>
                      <w:highlight w:val="none"/>
                    </w:rPr>
                  </w:pPr>
                  <w:r>
                    <w:rPr>
                      <w:color w:val="auto"/>
                      <w:kern w:val="0"/>
                      <w:szCs w:val="21"/>
                      <w:highlight w:val="none"/>
                    </w:rPr>
                    <w:t>资源利用上线</w:t>
                  </w:r>
                </w:p>
              </w:tc>
              <w:tc>
                <w:tcPr>
                  <w:tcW w:w="2678" w:type="pct"/>
                  <w:noWrap w:val="0"/>
                  <w:vAlign w:val="center"/>
                </w:tcPr>
                <w:p w14:paraId="7E4EDE2F">
                  <w:pPr>
                    <w:autoSpaceDE w:val="0"/>
                    <w:autoSpaceDN w:val="0"/>
                    <w:jc w:val="center"/>
                    <w:rPr>
                      <w:color w:val="auto"/>
                      <w:kern w:val="0"/>
                      <w:szCs w:val="21"/>
                      <w:highlight w:val="none"/>
                    </w:rPr>
                  </w:pPr>
                  <w:r>
                    <w:rPr>
                      <w:color w:val="auto"/>
                      <w:kern w:val="0"/>
                      <w:szCs w:val="21"/>
                      <w:highlight w:val="none"/>
                    </w:rP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1278" w:type="pct"/>
                  <w:noWrap w:val="0"/>
                  <w:vAlign w:val="center"/>
                </w:tcPr>
                <w:p w14:paraId="666493A3">
                  <w:pPr>
                    <w:autoSpaceDE w:val="0"/>
                    <w:autoSpaceDN w:val="0"/>
                    <w:contextualSpacing/>
                    <w:rPr>
                      <w:color w:val="auto"/>
                      <w:kern w:val="0"/>
                      <w:szCs w:val="21"/>
                      <w:highlight w:val="none"/>
                    </w:rPr>
                  </w:pPr>
                  <w:r>
                    <w:rPr>
                      <w:rFonts w:hint="eastAsia"/>
                      <w:color w:val="auto"/>
                      <w:kern w:val="0"/>
                      <w:szCs w:val="21"/>
                      <w:highlight w:val="none"/>
                    </w:rPr>
                    <w:t>本项目</w:t>
                  </w:r>
                  <w:r>
                    <w:rPr>
                      <w:rFonts w:hint="eastAsia"/>
                      <w:color w:val="auto"/>
                      <w:kern w:val="0"/>
                      <w:szCs w:val="21"/>
                      <w:highlight w:val="none"/>
                      <w:lang w:val="en-US" w:eastAsia="zh-CN"/>
                    </w:rPr>
                    <w:t>采用电能</w:t>
                  </w:r>
                  <w:r>
                    <w:rPr>
                      <w:rFonts w:hint="eastAsia"/>
                      <w:color w:val="auto"/>
                      <w:kern w:val="0"/>
                      <w:szCs w:val="21"/>
                      <w:highlight w:val="none"/>
                    </w:rPr>
                    <w:t>，属于清洁能源，不触及资源利用上线。</w:t>
                  </w:r>
                </w:p>
              </w:tc>
              <w:tc>
                <w:tcPr>
                  <w:tcW w:w="385" w:type="pct"/>
                  <w:noWrap w:val="0"/>
                  <w:vAlign w:val="center"/>
                </w:tcPr>
                <w:p w14:paraId="451AFECD">
                  <w:pPr>
                    <w:autoSpaceDE w:val="0"/>
                    <w:autoSpaceDN w:val="0"/>
                    <w:contextualSpacing/>
                    <w:jc w:val="center"/>
                    <w:rPr>
                      <w:color w:val="auto"/>
                      <w:kern w:val="0"/>
                      <w:szCs w:val="21"/>
                      <w:highlight w:val="none"/>
                    </w:rPr>
                  </w:pPr>
                  <w:r>
                    <w:rPr>
                      <w:color w:val="auto"/>
                      <w:kern w:val="0"/>
                      <w:szCs w:val="21"/>
                      <w:highlight w:val="none"/>
                    </w:rPr>
                    <w:t>符合</w:t>
                  </w:r>
                </w:p>
              </w:tc>
            </w:tr>
            <w:tr w14:paraId="445BB9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6" w:type="pct"/>
                  <w:noWrap w:val="0"/>
                  <w:vAlign w:val="center"/>
                </w:tcPr>
                <w:p w14:paraId="5BE608EA">
                  <w:pPr>
                    <w:autoSpaceDE w:val="0"/>
                    <w:autoSpaceDN w:val="0"/>
                    <w:contextualSpacing/>
                    <w:jc w:val="center"/>
                    <w:rPr>
                      <w:color w:val="auto"/>
                      <w:kern w:val="0"/>
                      <w:szCs w:val="21"/>
                      <w:highlight w:val="none"/>
                    </w:rPr>
                  </w:pPr>
                  <w:r>
                    <w:rPr>
                      <w:color w:val="auto"/>
                      <w:kern w:val="0"/>
                      <w:szCs w:val="21"/>
                      <w:highlight w:val="none"/>
                    </w:rPr>
                    <w:t>环境准入负面清单</w:t>
                  </w:r>
                </w:p>
              </w:tc>
              <w:tc>
                <w:tcPr>
                  <w:tcW w:w="2678" w:type="pct"/>
                  <w:noWrap w:val="0"/>
                  <w:vAlign w:val="center"/>
                </w:tcPr>
                <w:p w14:paraId="4FB7A0D7">
                  <w:pPr>
                    <w:autoSpaceDE w:val="0"/>
                    <w:autoSpaceDN w:val="0"/>
                    <w:contextualSpacing/>
                    <w:jc w:val="both"/>
                    <w:rPr>
                      <w:color w:val="auto"/>
                      <w:kern w:val="0"/>
                      <w:szCs w:val="21"/>
                      <w:highlight w:val="none"/>
                    </w:rPr>
                  </w:pPr>
                  <w:r>
                    <w:rPr>
                      <w:color w:val="auto"/>
                      <w:kern w:val="0"/>
                      <w:szCs w:val="21"/>
                      <w:highlight w:val="none"/>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1278" w:type="pct"/>
                  <w:noWrap w:val="0"/>
                  <w:vAlign w:val="center"/>
                </w:tcPr>
                <w:p w14:paraId="3B50C1A6">
                  <w:pPr>
                    <w:autoSpaceDE w:val="0"/>
                    <w:autoSpaceDN w:val="0"/>
                    <w:contextualSpacing/>
                    <w:rPr>
                      <w:color w:val="auto"/>
                      <w:kern w:val="0"/>
                      <w:szCs w:val="21"/>
                      <w:highlight w:val="none"/>
                    </w:rPr>
                  </w:pPr>
                  <w:r>
                    <w:rPr>
                      <w:rFonts w:hint="eastAsia"/>
                      <w:color w:val="auto"/>
                      <w:kern w:val="0"/>
                      <w:szCs w:val="21"/>
                      <w:highlight w:val="none"/>
                    </w:rPr>
                    <w:t>本</w:t>
                  </w:r>
                  <w:r>
                    <w:rPr>
                      <w:color w:val="auto"/>
                      <w:kern w:val="0"/>
                      <w:szCs w:val="21"/>
                      <w:highlight w:val="none"/>
                    </w:rPr>
                    <w:t>项</w:t>
                  </w:r>
                  <w:r>
                    <w:rPr>
                      <w:rFonts w:hint="eastAsia"/>
                      <w:color w:val="auto"/>
                      <w:kern w:val="0"/>
                      <w:szCs w:val="21"/>
                      <w:highlight w:val="none"/>
                    </w:rPr>
                    <w:t>目不涉及陕西省国家重点生态功能区；本项目不在规划环评或生态分区管控中的准入</w:t>
                  </w:r>
                  <w:r>
                    <w:rPr>
                      <w:rFonts w:hint="eastAsia"/>
                      <w:color w:val="auto"/>
                      <w:kern w:val="0"/>
                      <w:szCs w:val="21"/>
                      <w:highlight w:val="none"/>
                      <w:lang w:val="en-US" w:eastAsia="zh-CN"/>
                    </w:rPr>
                    <w:t>负面</w:t>
                  </w:r>
                  <w:r>
                    <w:rPr>
                      <w:rFonts w:hint="eastAsia"/>
                      <w:color w:val="auto"/>
                      <w:kern w:val="0"/>
                      <w:szCs w:val="21"/>
                      <w:highlight w:val="none"/>
                    </w:rPr>
                    <w:t>清单内。</w:t>
                  </w:r>
                </w:p>
              </w:tc>
              <w:tc>
                <w:tcPr>
                  <w:tcW w:w="385" w:type="pct"/>
                  <w:noWrap w:val="0"/>
                  <w:vAlign w:val="center"/>
                </w:tcPr>
                <w:p w14:paraId="6B865B6D">
                  <w:pPr>
                    <w:autoSpaceDE w:val="0"/>
                    <w:autoSpaceDN w:val="0"/>
                    <w:contextualSpacing/>
                    <w:jc w:val="center"/>
                    <w:rPr>
                      <w:color w:val="auto"/>
                      <w:kern w:val="0"/>
                      <w:szCs w:val="21"/>
                      <w:highlight w:val="none"/>
                    </w:rPr>
                  </w:pPr>
                  <w:r>
                    <w:rPr>
                      <w:color w:val="auto"/>
                      <w:kern w:val="0"/>
                      <w:szCs w:val="21"/>
                      <w:highlight w:val="none"/>
                    </w:rPr>
                    <w:t>符合</w:t>
                  </w:r>
                </w:p>
              </w:tc>
            </w:tr>
          </w:tbl>
          <w:p w14:paraId="1FCF5E03">
            <w:pPr>
              <w:numPr>
                <w:ilvl w:val="0"/>
                <w:numId w:val="0"/>
              </w:numPr>
              <w:spacing w:line="360" w:lineRule="auto"/>
              <w:ind w:firstLine="480" w:firstLineChars="200"/>
              <w:rPr>
                <w:rFonts w:hint="default" w:ascii="Times New Roman" w:hAnsi="Times New Roman" w:cs="Times New Roman"/>
                <w:b/>
                <w:bCs/>
                <w:color w:val="auto"/>
                <w:sz w:val="24"/>
                <w:szCs w:val="24"/>
                <w:lang w:val="en-US" w:eastAsia="zh-CN"/>
              </w:rPr>
            </w:pPr>
            <w:r>
              <w:rPr>
                <w:rFonts w:hint="eastAsia"/>
                <w:color w:val="auto"/>
                <w:sz w:val="24"/>
                <w:highlight w:val="none"/>
              </w:rPr>
              <w:t>根据《陕西省“三线一单”生态环境分区管控应用技术指南：环境影响评价（试行）》，环评文件涉及“三线一单”生态环境分区管控符合性分析应采取“一图一表一说明”的表达方式，本项目“三线一单”生态环境分区管控方案符合性分析如下：</w:t>
            </w:r>
          </w:p>
          <w:p w14:paraId="4391214A">
            <w:pPr>
              <w:numPr>
                <w:ilvl w:val="0"/>
                <w:numId w:val="0"/>
              </w:num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（1）一图</w:t>
            </w:r>
          </w:p>
          <w:p w14:paraId="0AAACF83">
            <w:pPr>
              <w:numPr>
                <w:ilvl w:val="0"/>
                <w:numId w:val="0"/>
              </w:numPr>
              <w:spacing w:line="360" w:lineRule="auto"/>
              <w:ind w:firstLine="480" w:firstLineChars="200"/>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根据</w:t>
            </w:r>
            <w:r>
              <w:rPr>
                <w:rFonts w:hint="eastAsia"/>
                <w:color w:val="auto"/>
                <w:sz w:val="24"/>
                <w:lang w:eastAsia="zh-CN"/>
              </w:rPr>
              <w:t>《</w:t>
            </w:r>
            <w:r>
              <w:rPr>
                <w:rFonts w:hint="eastAsia"/>
                <w:color w:val="auto"/>
                <w:sz w:val="24"/>
                <w:lang w:val="en-US" w:eastAsia="zh-CN"/>
              </w:rPr>
              <w:t>2023年咸阳市生态环境分区管控调整方案</w:t>
            </w:r>
            <w:r>
              <w:rPr>
                <w:rFonts w:hint="eastAsia"/>
                <w:color w:val="auto"/>
                <w:sz w:val="24"/>
                <w:lang w:eastAsia="zh-CN"/>
              </w:rPr>
              <w:t>》（咸政办函〔2024〕162号）</w:t>
            </w:r>
            <w:r>
              <w:rPr>
                <w:rFonts w:hint="default" w:ascii="Times New Roman" w:hAnsi="Times New Roman" w:cs="Times New Roman"/>
                <w:b w:val="0"/>
                <w:bCs w:val="0"/>
                <w:color w:val="auto"/>
                <w:sz w:val="24"/>
                <w:szCs w:val="24"/>
                <w:lang w:val="en-US" w:eastAsia="zh-CN"/>
              </w:rPr>
              <w:t>，本</w:t>
            </w:r>
            <w:r>
              <w:rPr>
                <w:rFonts w:hint="default" w:ascii="Times New Roman" w:hAnsi="Times New Roman" w:cs="Times New Roman"/>
                <w:b w:val="0"/>
                <w:bCs w:val="0"/>
                <w:color w:val="auto"/>
                <w:sz w:val="24"/>
                <w:szCs w:val="24"/>
                <w:highlight w:val="none"/>
                <w:lang w:val="en-US" w:eastAsia="zh-CN"/>
              </w:rPr>
              <w:t>项目位于重点管控单元，本项目与</w:t>
            </w:r>
            <w:r>
              <w:rPr>
                <w:rFonts w:hint="eastAsia" w:ascii="Times New Roman" w:hAnsi="Times New Roman" w:cs="Times New Roman"/>
                <w:b w:val="0"/>
                <w:bCs w:val="0"/>
                <w:color w:val="auto"/>
                <w:sz w:val="24"/>
                <w:szCs w:val="24"/>
                <w:highlight w:val="none"/>
                <w:lang w:val="en-US" w:eastAsia="zh-CN"/>
              </w:rPr>
              <w:t>咸阳</w:t>
            </w:r>
            <w:r>
              <w:rPr>
                <w:rFonts w:hint="default" w:ascii="Times New Roman" w:hAnsi="Times New Roman" w:cs="Times New Roman"/>
                <w:b w:val="0"/>
                <w:bCs w:val="0"/>
                <w:color w:val="auto"/>
                <w:sz w:val="24"/>
                <w:szCs w:val="24"/>
                <w:highlight w:val="none"/>
                <w:lang w:val="en-US" w:eastAsia="zh-CN"/>
              </w:rPr>
              <w:t>市生态环境分区管控的位置关系见图1-1</w:t>
            </w:r>
            <w:r>
              <w:rPr>
                <w:rFonts w:hint="eastAsia" w:cs="Times New Roman"/>
                <w:b w:val="0"/>
                <w:bCs w:val="0"/>
                <w:color w:val="auto"/>
                <w:sz w:val="24"/>
                <w:szCs w:val="24"/>
                <w:highlight w:val="none"/>
                <w:lang w:val="en-US" w:eastAsia="zh-CN"/>
              </w:rPr>
              <w:t>及附图5</w:t>
            </w:r>
            <w:r>
              <w:rPr>
                <w:rFonts w:hint="default" w:ascii="Times New Roman" w:hAnsi="Times New Roman" w:cs="Times New Roman"/>
                <w:b w:val="0"/>
                <w:bCs w:val="0"/>
                <w:color w:val="auto"/>
                <w:sz w:val="24"/>
                <w:szCs w:val="24"/>
                <w:highlight w:val="none"/>
                <w:lang w:val="en-US" w:eastAsia="zh-CN"/>
              </w:rPr>
              <w:t>。</w:t>
            </w:r>
          </w:p>
          <w:p w14:paraId="656D29C3">
            <w:pPr>
              <w:pStyle w:val="15"/>
              <w:spacing w:line="240" w:lineRule="auto"/>
              <w:ind w:left="420" w:leftChars="0" w:hanging="420" w:hangingChars="200"/>
              <w:jc w:val="center"/>
              <w:rPr>
                <w:rFonts w:hint="default" w:ascii="Times New Roman" w:hAnsi="Times New Roman" w:cs="Times New Roman"/>
                <w:color w:val="auto"/>
              </w:rPr>
            </w:pPr>
            <w:r>
              <w:rPr>
                <w:color w:val="auto"/>
              </w:rPr>
              <w:drawing>
                <wp:inline distT="0" distB="0" distL="114300" distR="114300">
                  <wp:extent cx="3263900" cy="5497830"/>
                  <wp:effectExtent l="0" t="0" r="1270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3263900" cy="5497830"/>
                          </a:xfrm>
                          <a:prstGeom prst="rect">
                            <a:avLst/>
                          </a:prstGeom>
                          <a:noFill/>
                          <a:ln>
                            <a:noFill/>
                          </a:ln>
                        </pic:spPr>
                      </pic:pic>
                    </a:graphicData>
                  </a:graphic>
                </wp:inline>
              </w:drawing>
            </w:r>
          </w:p>
          <w:p w14:paraId="30FC63D9">
            <w:pPr>
              <w:spacing w:line="240" w:lineRule="auto"/>
              <w:jc w:val="center"/>
              <w:rPr>
                <w:rFonts w:hint="default" w:ascii="Times New Roman" w:hAnsi="Times New Roman" w:eastAsia="宋体" w:cs="Times New Roman"/>
                <w:color w:val="auto"/>
                <w:sz w:val="24"/>
                <w:szCs w:val="32"/>
                <w:lang w:val="en-US" w:eastAsia="zh-CN"/>
              </w:rPr>
            </w:pPr>
            <w:r>
              <w:rPr>
                <w:rFonts w:hint="default" w:ascii="Times New Roman" w:hAnsi="Times New Roman" w:cs="Times New Roman"/>
                <w:b/>
                <w:bCs/>
                <w:color w:val="auto"/>
                <w:sz w:val="24"/>
                <w:szCs w:val="32"/>
                <w:lang w:val="en-US" w:eastAsia="zh-CN"/>
              </w:rPr>
              <w:t>图1-</w:t>
            </w:r>
            <w:r>
              <w:rPr>
                <w:rFonts w:hint="eastAsia" w:ascii="Times New Roman" w:hAnsi="Times New Roman" w:cs="Times New Roman"/>
                <w:b/>
                <w:bCs/>
                <w:color w:val="auto"/>
                <w:sz w:val="24"/>
                <w:szCs w:val="32"/>
                <w:lang w:val="en-US" w:eastAsia="zh-CN"/>
              </w:rPr>
              <w:t>1</w:t>
            </w:r>
            <w:r>
              <w:rPr>
                <w:rFonts w:hint="default" w:ascii="Times New Roman" w:hAnsi="Times New Roman" w:cs="Times New Roman"/>
                <w:b/>
                <w:bCs/>
                <w:color w:val="auto"/>
                <w:sz w:val="24"/>
                <w:szCs w:val="32"/>
                <w:lang w:val="en-US" w:eastAsia="zh-CN"/>
              </w:rPr>
              <w:t xml:space="preserve"> 空间冲突分布图</w:t>
            </w:r>
          </w:p>
          <w:p w14:paraId="0FA1912B">
            <w:pPr>
              <w:rPr>
                <w:rFonts w:hint="default" w:ascii="Times New Roman" w:hAnsi="Times New Roman" w:cs="Times New Roman"/>
                <w:color w:val="auto"/>
                <w:lang w:val="en-US" w:eastAsia="zh-CN"/>
              </w:rPr>
            </w:pPr>
          </w:p>
          <w:p w14:paraId="049E9523">
            <w:pPr>
              <w:numPr>
                <w:ilvl w:val="0"/>
                <w:numId w:val="3"/>
              </w:num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一表</w:t>
            </w:r>
          </w:p>
          <w:p w14:paraId="0AADC3C4">
            <w:pPr>
              <w:pStyle w:val="15"/>
              <w:numPr>
                <w:ilvl w:val="0"/>
                <w:numId w:val="0"/>
              </w:numPr>
              <w:spacing w:line="360" w:lineRule="auto"/>
              <w:ind w:firstLine="480" w:firstLineChars="200"/>
              <w:rPr>
                <w:rFonts w:hint="default" w:ascii="Times New Roman" w:hAnsi="Times New Roman" w:cs="Times New Roman"/>
                <w:color w:val="auto"/>
                <w:lang w:val="en-US" w:eastAsia="zh-CN"/>
              </w:rPr>
            </w:pPr>
            <w:r>
              <w:rPr>
                <w:rFonts w:hint="eastAsia"/>
                <w:color w:val="auto"/>
                <w:sz w:val="24"/>
                <w:highlight w:val="none"/>
                <w:lang w:val="en-US" w:eastAsia="zh-CN"/>
              </w:rPr>
              <w:t>本</w:t>
            </w:r>
            <w:r>
              <w:rPr>
                <w:rFonts w:hint="eastAsia"/>
                <w:color w:val="auto"/>
                <w:sz w:val="24"/>
                <w:highlight w:val="none"/>
              </w:rPr>
              <w:t>项目所涉及的生态环境分区管控准入清单</w:t>
            </w:r>
            <w:r>
              <w:rPr>
                <w:rFonts w:hint="eastAsia"/>
                <w:color w:val="auto"/>
                <w:sz w:val="24"/>
                <w:highlight w:val="none"/>
                <w:lang w:val="en-US" w:eastAsia="zh-CN"/>
              </w:rPr>
              <w:t>见下表。</w:t>
            </w:r>
          </w:p>
        </w:tc>
      </w:tr>
    </w:tbl>
    <w:p w14:paraId="45F4724A">
      <w:pPr>
        <w:spacing w:line="360" w:lineRule="auto"/>
        <w:outlineLvl w:val="0"/>
        <w:rPr>
          <w:rFonts w:hint="default" w:ascii="Times New Roman" w:hAnsi="Times New Roman" w:eastAsia="黑体" w:cs="Times New Roman"/>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6"/>
        <w:gridCol w:w="12406"/>
      </w:tblGrid>
      <w:tr w14:paraId="1C546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46" w:type="dxa"/>
          </w:tcPr>
          <w:p w14:paraId="3A8C5230">
            <w:pPr>
              <w:spacing w:line="360" w:lineRule="auto"/>
              <w:outlineLvl w:val="0"/>
              <w:rPr>
                <w:rFonts w:hint="default" w:eastAsia="黑体" w:cs="Times New Roman"/>
                <w:sz w:val="30"/>
                <w:vertAlign w:val="baseline"/>
                <w:lang w:val="en-US" w:eastAsia="zh-CN"/>
              </w:rPr>
            </w:pPr>
          </w:p>
        </w:tc>
        <w:tc>
          <w:tcPr>
            <w:tcW w:w="12406" w:type="dxa"/>
          </w:tcPr>
          <w:p w14:paraId="45FF721C">
            <w:pPr>
              <w:pStyle w:val="5"/>
              <w:spacing w:line="240" w:lineRule="auto"/>
              <w:jc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4"/>
                <w:szCs w:val="24"/>
                <w:lang w:val="en-US" w:eastAsia="zh-CN" w:bidi="ar"/>
              </w:rPr>
              <w:t>表1-</w:t>
            </w:r>
            <w:r>
              <w:rPr>
                <w:rFonts w:hint="eastAsia" w:cs="Times New Roman"/>
                <w:b/>
                <w:bCs/>
                <w:color w:val="auto"/>
                <w:kern w:val="0"/>
                <w:sz w:val="24"/>
                <w:szCs w:val="24"/>
                <w:lang w:val="en-US" w:eastAsia="zh-CN" w:bidi="ar"/>
              </w:rPr>
              <w:t>3</w:t>
            </w:r>
            <w:r>
              <w:rPr>
                <w:rFonts w:hint="default" w:ascii="Times New Roman" w:hAnsi="Times New Roman" w:eastAsia="宋体" w:cs="Times New Roman"/>
                <w:b/>
                <w:bCs/>
                <w:color w:val="auto"/>
                <w:kern w:val="0"/>
                <w:sz w:val="24"/>
                <w:szCs w:val="24"/>
                <w:lang w:val="en-US" w:eastAsia="zh-CN" w:bidi="ar"/>
              </w:rPr>
              <w:t xml:space="preserve"> 与环境管控单元管控要求符合性分析一览表</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1"/>
              <w:gridCol w:w="548"/>
              <w:gridCol w:w="810"/>
              <w:gridCol w:w="915"/>
              <w:gridCol w:w="915"/>
              <w:gridCol w:w="4650"/>
              <w:gridCol w:w="840"/>
              <w:gridCol w:w="1946"/>
              <w:gridCol w:w="628"/>
            </w:tblGrid>
            <w:tr w14:paraId="176052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tcBorders>
                    <w:tl2br w:val="nil"/>
                    <w:tr2bl w:val="nil"/>
                  </w:tcBorders>
                  <w:noWrap w:val="0"/>
                  <w:vAlign w:val="center"/>
                </w:tcPr>
                <w:p w14:paraId="159336D4">
                  <w:pPr>
                    <w:pStyle w:val="55"/>
                    <w:spacing w:before="0" w:beforeLines="0" w:line="240" w:lineRule="auto"/>
                    <w:ind w:left="0" w:leftChars="0" w:firstLine="0" w:firstLineChars="0"/>
                    <w:jc w:val="both"/>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环境管控单元名称</w:t>
                  </w:r>
                </w:p>
              </w:tc>
              <w:tc>
                <w:tcPr>
                  <w:tcW w:w="224" w:type="pct"/>
                  <w:tcBorders>
                    <w:tl2br w:val="nil"/>
                    <w:tr2bl w:val="nil"/>
                  </w:tcBorders>
                  <w:noWrap w:val="0"/>
                  <w:vAlign w:val="center"/>
                </w:tcPr>
                <w:p w14:paraId="2F08BD5B">
                  <w:pPr>
                    <w:pStyle w:val="55"/>
                    <w:spacing w:before="0" w:beforeLines="0" w:line="240" w:lineRule="auto"/>
                    <w:ind w:left="0" w:leftChars="0" w:firstLine="0" w:firstLineChars="0"/>
                    <w:jc w:val="both"/>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区县</w:t>
                  </w:r>
                </w:p>
              </w:tc>
              <w:tc>
                <w:tcPr>
                  <w:tcW w:w="332" w:type="pct"/>
                  <w:tcBorders>
                    <w:tl2br w:val="nil"/>
                    <w:tr2bl w:val="nil"/>
                  </w:tcBorders>
                  <w:noWrap w:val="0"/>
                  <w:vAlign w:val="center"/>
                </w:tcPr>
                <w:p w14:paraId="72A6B764">
                  <w:pPr>
                    <w:pStyle w:val="55"/>
                    <w:spacing w:before="0" w:beforeLines="0" w:line="240" w:lineRule="auto"/>
                    <w:ind w:left="0" w:leftChars="0" w:firstLine="0" w:firstLineChars="0"/>
                    <w:jc w:val="both"/>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市（区）</w:t>
                  </w:r>
                </w:p>
              </w:tc>
              <w:tc>
                <w:tcPr>
                  <w:tcW w:w="375" w:type="pct"/>
                  <w:tcBorders>
                    <w:tl2br w:val="nil"/>
                    <w:tr2bl w:val="nil"/>
                  </w:tcBorders>
                  <w:noWrap w:val="0"/>
                  <w:vAlign w:val="center"/>
                </w:tcPr>
                <w:p w14:paraId="0C47671C">
                  <w:pPr>
                    <w:pStyle w:val="55"/>
                    <w:spacing w:before="0" w:beforeLines="0" w:line="240" w:lineRule="auto"/>
                    <w:ind w:left="0" w:leftChars="0" w:firstLine="0" w:firstLineChars="0"/>
                    <w:jc w:val="center"/>
                    <w:rPr>
                      <w:rFonts w:hint="default" w:ascii="Times New Roman" w:hAnsi="Times New Roman" w:eastAsia="宋体" w:cs="Times New Roman"/>
                      <w:b/>
                      <w:bCs/>
                      <w:color w:val="auto"/>
                      <w:sz w:val="21"/>
                      <w:szCs w:val="21"/>
                      <w:lang w:val="en-US"/>
                    </w:rPr>
                  </w:pPr>
                  <w:r>
                    <w:rPr>
                      <w:rFonts w:hint="eastAsia" w:ascii="Times New Roman" w:hAnsi="Times New Roman" w:eastAsia="宋体" w:cs="Times New Roman"/>
                      <w:b/>
                      <w:bCs/>
                      <w:color w:val="auto"/>
                      <w:sz w:val="21"/>
                      <w:szCs w:val="21"/>
                      <w:lang w:val="en-US" w:eastAsia="zh-CN"/>
                    </w:rPr>
                    <w:t>单元要素属性</w:t>
                  </w:r>
                </w:p>
              </w:tc>
              <w:tc>
                <w:tcPr>
                  <w:tcW w:w="375" w:type="pct"/>
                  <w:tcBorders>
                    <w:tl2br w:val="nil"/>
                    <w:tr2bl w:val="nil"/>
                  </w:tcBorders>
                  <w:noWrap w:val="0"/>
                  <w:vAlign w:val="center"/>
                </w:tcPr>
                <w:p w14:paraId="75102E16">
                  <w:pPr>
                    <w:pStyle w:val="55"/>
                    <w:spacing w:before="0" w:beforeLines="0"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管控要求分类</w:t>
                  </w:r>
                </w:p>
              </w:tc>
              <w:tc>
                <w:tcPr>
                  <w:tcW w:w="1908" w:type="pct"/>
                  <w:tcBorders>
                    <w:tl2br w:val="nil"/>
                    <w:tr2bl w:val="nil"/>
                  </w:tcBorders>
                  <w:noWrap w:val="0"/>
                  <w:vAlign w:val="center"/>
                </w:tcPr>
                <w:p w14:paraId="1FEB9525">
                  <w:pPr>
                    <w:pStyle w:val="55"/>
                    <w:spacing w:before="0" w:beforeLines="0" w:line="240" w:lineRule="auto"/>
                    <w:ind w:left="0" w:leftChars="0" w:firstLine="0" w:firstLine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管控要求</w:t>
                  </w:r>
                </w:p>
              </w:tc>
              <w:tc>
                <w:tcPr>
                  <w:tcW w:w="344" w:type="pct"/>
                  <w:tcBorders>
                    <w:tl2br w:val="nil"/>
                    <w:tr2bl w:val="nil"/>
                  </w:tcBorders>
                  <w:noWrap w:val="0"/>
                  <w:vAlign w:val="center"/>
                </w:tcPr>
                <w:p w14:paraId="256CBEA1">
                  <w:pPr>
                    <w:pStyle w:val="55"/>
                    <w:spacing w:before="0" w:beforeLines="0"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面积</w:t>
                  </w:r>
                </w:p>
                <w:p w14:paraId="18943887">
                  <w:pPr>
                    <w:pStyle w:val="55"/>
                    <w:spacing w:before="0" w:beforeLines="0"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/长度</w:t>
                  </w:r>
                </w:p>
              </w:tc>
              <w:tc>
                <w:tcPr>
                  <w:tcW w:w="798" w:type="pct"/>
                  <w:tcBorders>
                    <w:tl2br w:val="nil"/>
                    <w:tr2bl w:val="nil"/>
                  </w:tcBorders>
                  <w:noWrap w:val="0"/>
                  <w:vAlign w:val="center"/>
                </w:tcPr>
                <w:p w14:paraId="351B95D8">
                  <w:pPr>
                    <w:pStyle w:val="55"/>
                    <w:spacing w:before="0" w:beforeLines="0" w:line="240" w:lineRule="auto"/>
                    <w:ind w:left="0" w:leftChars="0"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本</w:t>
                  </w:r>
                  <w:r>
                    <w:rPr>
                      <w:rFonts w:hint="default" w:ascii="Times New Roman" w:hAnsi="Times New Roman" w:eastAsia="宋体" w:cs="Times New Roman"/>
                      <w:b/>
                      <w:bCs/>
                      <w:color w:val="auto"/>
                      <w:sz w:val="21"/>
                      <w:szCs w:val="21"/>
                      <w:lang w:eastAsia="zh-CN"/>
                    </w:rPr>
                    <w:t>项目</w:t>
                  </w:r>
                </w:p>
                <w:p w14:paraId="3F7F42D3">
                  <w:pPr>
                    <w:pStyle w:val="55"/>
                    <w:spacing w:before="0" w:beforeLines="0" w:line="240" w:lineRule="auto"/>
                    <w:ind w:left="0" w:leftChars="0"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情况</w:t>
                  </w:r>
                </w:p>
              </w:tc>
              <w:tc>
                <w:tcPr>
                  <w:tcW w:w="257" w:type="pct"/>
                  <w:tcBorders>
                    <w:tl2br w:val="nil"/>
                    <w:tr2bl w:val="nil"/>
                  </w:tcBorders>
                  <w:noWrap w:val="0"/>
                  <w:vAlign w:val="center"/>
                </w:tcPr>
                <w:p w14:paraId="4849175B">
                  <w:pPr>
                    <w:pStyle w:val="55"/>
                    <w:spacing w:before="0" w:beforeLines="0" w:line="240" w:lineRule="auto"/>
                    <w:ind w:left="0" w:leftChars="0"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符合性</w:t>
                  </w:r>
                </w:p>
              </w:tc>
            </w:tr>
            <w:tr w14:paraId="389FA6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restart"/>
                  <w:tcBorders>
                    <w:tl2br w:val="nil"/>
                    <w:tr2bl w:val="nil"/>
                  </w:tcBorders>
                  <w:noWrap w:val="0"/>
                  <w:vAlign w:val="center"/>
                </w:tcPr>
                <w:p w14:paraId="520041CE">
                  <w:pPr>
                    <w:pStyle w:val="55"/>
                    <w:spacing w:before="0" w:beforeLines="0" w:line="240" w:lineRule="auto"/>
                    <w:ind w:left="0" w:leftChars="0" w:firstLine="0" w:firstLineChars="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陕西省咸阳市泾阳县重点管控单元11（西咸新区）</w:t>
                  </w:r>
                </w:p>
                <w:p w14:paraId="5AB019A3">
                  <w:pPr>
                    <w:pStyle w:val="55"/>
                    <w:spacing w:before="0" w:beforeLines="0" w:line="240" w:lineRule="auto"/>
                    <w:ind w:left="0" w:leftChars="0" w:firstLine="0" w:firstLineChars="0"/>
                    <w:jc w:val="both"/>
                    <w:rPr>
                      <w:rFonts w:hint="default" w:ascii="Times New Roman" w:hAnsi="Times New Roman" w:eastAsia="宋体" w:cs="Times New Roman"/>
                      <w:color w:val="auto"/>
                      <w:kern w:val="2"/>
                      <w:sz w:val="21"/>
                      <w:szCs w:val="21"/>
                      <w:lang w:val="en-US" w:eastAsia="zh-CN" w:bidi="ar-SA"/>
                    </w:rPr>
                  </w:pPr>
                </w:p>
              </w:tc>
              <w:tc>
                <w:tcPr>
                  <w:tcW w:w="224" w:type="pct"/>
                  <w:vMerge w:val="restart"/>
                  <w:tcBorders>
                    <w:tl2br w:val="nil"/>
                    <w:tr2bl w:val="nil"/>
                  </w:tcBorders>
                  <w:noWrap w:val="0"/>
                  <w:vAlign w:val="center"/>
                </w:tcPr>
                <w:p w14:paraId="7A66F1DA">
                  <w:pPr>
                    <w:pStyle w:val="55"/>
                    <w:spacing w:before="0" w:beforeLines="0" w:line="240" w:lineRule="auto"/>
                    <w:ind w:left="0" w:leftChars="0" w:firstLine="0" w:firstLineChars="0"/>
                    <w:jc w:val="both"/>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咸阳市</w:t>
                  </w:r>
                </w:p>
              </w:tc>
              <w:tc>
                <w:tcPr>
                  <w:tcW w:w="332" w:type="pct"/>
                  <w:vMerge w:val="restart"/>
                  <w:tcBorders>
                    <w:tl2br w:val="nil"/>
                    <w:tr2bl w:val="nil"/>
                  </w:tcBorders>
                  <w:noWrap w:val="0"/>
                  <w:vAlign w:val="center"/>
                </w:tcPr>
                <w:p w14:paraId="673521DC">
                  <w:pPr>
                    <w:pStyle w:val="55"/>
                    <w:spacing w:before="0" w:beforeLines="0" w:line="240" w:lineRule="auto"/>
                    <w:ind w:left="0" w:leftChars="0" w:firstLine="0" w:firstLineChars="0"/>
                    <w:jc w:val="both"/>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泾阳县</w:t>
                  </w:r>
                </w:p>
              </w:tc>
              <w:tc>
                <w:tcPr>
                  <w:tcW w:w="375" w:type="pct"/>
                  <w:vMerge w:val="restart"/>
                  <w:tcBorders>
                    <w:tl2br w:val="nil"/>
                    <w:tr2bl w:val="nil"/>
                  </w:tcBorders>
                  <w:noWrap w:val="0"/>
                  <w:vAlign w:val="center"/>
                </w:tcPr>
                <w:p w14:paraId="565C3D19">
                  <w:pPr>
                    <w:pStyle w:val="55"/>
                    <w:spacing w:before="0" w:beforeLines="0" w:line="240" w:lineRule="auto"/>
                    <w:ind w:left="0" w:leftChars="0" w:firstLine="0" w:firstLineChars="0"/>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大气环境受体敏感重点管控区、</w:t>
                  </w:r>
                  <w:r>
                    <w:rPr>
                      <w:rFonts w:hint="default" w:ascii="Times New Roman" w:hAnsi="Times New Roman" w:eastAsia="宋体" w:cs="Times New Roman"/>
                      <w:color w:val="auto"/>
                      <w:sz w:val="21"/>
                      <w:szCs w:val="21"/>
                    </w:rPr>
                    <w:t>水环境城镇生活污染重点管控区</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高污染燃料禁燃重点</w:t>
                  </w:r>
                  <w:r>
                    <w:rPr>
                      <w:rFonts w:hint="default" w:ascii="Times New Roman" w:hAnsi="Times New Roman" w:eastAsia="宋体" w:cs="Times New Roman"/>
                      <w:color w:val="auto"/>
                      <w:sz w:val="21"/>
                      <w:szCs w:val="21"/>
                      <w:lang w:val="en-US" w:eastAsia="zh-CN"/>
                    </w:rPr>
                    <w:t>管</w:t>
                  </w:r>
                  <w:r>
                    <w:rPr>
                      <w:rFonts w:hint="default" w:ascii="Times New Roman" w:hAnsi="Times New Roman" w:eastAsia="宋体" w:cs="Times New Roman"/>
                      <w:color w:val="auto"/>
                      <w:sz w:val="21"/>
                      <w:szCs w:val="21"/>
                    </w:rPr>
                    <w:t>控区</w:t>
                  </w:r>
                </w:p>
              </w:tc>
              <w:tc>
                <w:tcPr>
                  <w:tcW w:w="375" w:type="pct"/>
                  <w:tcBorders>
                    <w:tl2br w:val="nil"/>
                    <w:tr2bl w:val="nil"/>
                  </w:tcBorders>
                  <w:noWrap w:val="0"/>
                  <w:vAlign w:val="center"/>
                </w:tcPr>
                <w:p w14:paraId="68078BC1">
                  <w:pP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空间</w:t>
                  </w:r>
                  <w:r>
                    <w:rPr>
                      <w:rFonts w:hint="eastAsia" w:ascii="Times New Roman" w:hAnsi="Times New Roman" w:eastAsia="宋体" w:cs="Times New Roman"/>
                      <w:color w:val="auto"/>
                      <w:sz w:val="21"/>
                      <w:szCs w:val="21"/>
                      <w:lang w:val="en-US" w:eastAsia="zh-CN"/>
                    </w:rPr>
                    <w:t>布局约束</w:t>
                  </w:r>
                </w:p>
              </w:tc>
              <w:tc>
                <w:tcPr>
                  <w:tcW w:w="1908" w:type="pct"/>
                  <w:tcBorders>
                    <w:tl2br w:val="nil"/>
                    <w:tr2bl w:val="nil"/>
                  </w:tcBorders>
                  <w:noWrap w:val="0"/>
                  <w:vAlign w:val="center"/>
                </w:tcPr>
                <w:p w14:paraId="0B3F46DB">
                  <w:pPr>
                    <w:autoSpaceDE w:val="0"/>
                    <w:autoSpaceDN w:val="0"/>
                    <w:jc w:val="left"/>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大气环境受体敏感重点管控区：</w:t>
                  </w:r>
                </w:p>
                <w:p w14:paraId="071FFBB9">
                  <w:pPr>
                    <w:autoSpaceDE w:val="0"/>
                    <w:autoSpaceDN w:val="0"/>
                    <w:jc w:val="left"/>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1.严格控制新增《陕西省“两高”项目管理暂行目录》行业项目（民生等项目除外，后续对“两高”范围国家如有新规定的，从其规定）。</w:t>
                  </w:r>
                </w:p>
                <w:p w14:paraId="11C85E35">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Cs w:val="21"/>
                      <w:lang w:val="en-US" w:eastAsia="zh-CN"/>
                    </w:rPr>
                    <w:t>2.推动重污染企业搬迁入园或依法关闭。</w:t>
                  </w:r>
                </w:p>
              </w:tc>
              <w:tc>
                <w:tcPr>
                  <w:tcW w:w="344" w:type="pct"/>
                  <w:vMerge w:val="restart"/>
                  <w:tcBorders>
                    <w:tl2br w:val="nil"/>
                    <w:tr2bl w:val="nil"/>
                  </w:tcBorders>
                  <w:noWrap w:val="0"/>
                  <w:vAlign w:val="center"/>
                </w:tcPr>
                <w:p w14:paraId="6A9D8C89">
                  <w:pPr>
                    <w:pStyle w:val="55"/>
                    <w:spacing w:before="0" w:beforeLines="0" w:line="240" w:lineRule="auto"/>
                    <w:ind w:left="0" w:leftChars="0" w:firstLine="0" w:firstLineChars="0"/>
                    <w:jc w:val="both"/>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690</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2</w:t>
                  </w:r>
                </w:p>
              </w:tc>
              <w:tc>
                <w:tcPr>
                  <w:tcW w:w="798" w:type="pct"/>
                  <w:tcBorders>
                    <w:tl2br w:val="nil"/>
                    <w:tr2bl w:val="nil"/>
                  </w:tcBorders>
                  <w:noWrap w:val="0"/>
                  <w:vAlign w:val="center"/>
                </w:tcPr>
                <w:p w14:paraId="52E06A27">
                  <w:pPr>
                    <w:numPr>
                      <w:ilvl w:val="0"/>
                      <w:numId w:val="0"/>
                    </w:numPr>
                    <w:autoSpaceDE w:val="0"/>
                    <w:autoSpaceDN w:val="0"/>
                    <w:jc w:val="both"/>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val="en-US" w:eastAsia="zh-CN"/>
                    </w:rPr>
                    <w:t>1.</w:t>
                  </w:r>
                  <w:r>
                    <w:rPr>
                      <w:rFonts w:hint="default" w:ascii="Times New Roman" w:hAnsi="Times New Roman" w:eastAsia="宋体" w:cs="Times New Roman"/>
                      <w:color w:val="auto"/>
                      <w:kern w:val="0"/>
                      <w:szCs w:val="21"/>
                    </w:rPr>
                    <w:t>本项目为</w:t>
                  </w:r>
                  <w:r>
                    <w:rPr>
                      <w:rFonts w:hint="default" w:ascii="Times New Roman" w:hAnsi="Times New Roman" w:eastAsia="宋体" w:cs="Times New Roman"/>
                      <w:color w:val="auto"/>
                      <w:kern w:val="0"/>
                      <w:szCs w:val="21"/>
                      <w:lang w:val="en-US" w:eastAsia="zh-CN"/>
                    </w:rPr>
                    <w:t>高效氢燃料电池膜电极产业化项目</w:t>
                  </w:r>
                  <w:r>
                    <w:rPr>
                      <w:rFonts w:hint="default" w:ascii="Times New Roman" w:hAnsi="Times New Roman" w:eastAsia="宋体" w:cs="Times New Roman"/>
                      <w:color w:val="auto"/>
                      <w:kern w:val="0"/>
                      <w:szCs w:val="21"/>
                    </w:rPr>
                    <w:t>，不属于</w:t>
                  </w:r>
                  <w:r>
                    <w:rPr>
                      <w:rFonts w:hint="eastAsia"/>
                      <w:color w:val="auto"/>
                      <w:kern w:val="0"/>
                      <w:szCs w:val="21"/>
                    </w:rPr>
                    <w:t>“两高”项目</w:t>
                  </w:r>
                  <w:r>
                    <w:rPr>
                      <w:rFonts w:hint="default" w:ascii="Times New Roman" w:hAnsi="Times New Roman" w:eastAsia="宋体" w:cs="Times New Roman"/>
                      <w:color w:val="auto"/>
                      <w:kern w:val="0"/>
                      <w:szCs w:val="21"/>
                      <w:lang w:eastAsia="zh-CN"/>
                    </w:rPr>
                    <w:t>；</w:t>
                  </w:r>
                </w:p>
                <w:p w14:paraId="6264AC71">
                  <w:pPr>
                    <w:autoSpaceDE w:val="0"/>
                    <w:autoSpaceDN w:val="0"/>
                    <w:adjustRightInd w:val="0"/>
                    <w:snapToGrid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Cs w:val="21"/>
                      <w:lang w:val="en-US" w:eastAsia="zh-CN"/>
                    </w:rPr>
                    <w:t>2.</w:t>
                  </w:r>
                  <w:r>
                    <w:rPr>
                      <w:rFonts w:hint="default" w:ascii="Times New Roman" w:hAnsi="Times New Roman" w:eastAsia="宋体" w:cs="Times New Roman"/>
                      <w:color w:val="auto"/>
                      <w:kern w:val="0"/>
                      <w:szCs w:val="21"/>
                    </w:rPr>
                    <w:t>本项目不属于</w:t>
                  </w:r>
                  <w:r>
                    <w:rPr>
                      <w:rFonts w:hint="default" w:ascii="Times New Roman" w:hAnsi="Times New Roman" w:eastAsia="宋体" w:cs="Times New Roman"/>
                      <w:color w:val="auto"/>
                      <w:kern w:val="0"/>
                      <w:szCs w:val="21"/>
                      <w:lang w:val="en-US" w:eastAsia="zh-CN"/>
                    </w:rPr>
                    <w:t>重污染企业。</w:t>
                  </w:r>
                </w:p>
              </w:tc>
              <w:tc>
                <w:tcPr>
                  <w:tcW w:w="257" w:type="pct"/>
                  <w:tcBorders>
                    <w:tl2br w:val="nil"/>
                    <w:tr2bl w:val="nil"/>
                  </w:tcBorders>
                  <w:noWrap w:val="0"/>
                  <w:vAlign w:val="center"/>
                </w:tcPr>
                <w:p w14:paraId="3261FB54">
                  <w:pPr>
                    <w:autoSpaceDE w:val="0"/>
                    <w:autoSpaceDN w:val="0"/>
                    <w:adjustRightInd w:val="0"/>
                    <w:snapToGrid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3D7CFB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18" w:hRule="atLeast"/>
                <w:jc w:val="center"/>
              </w:trPr>
              <w:tc>
                <w:tcPr>
                  <w:tcW w:w="382" w:type="pct"/>
                  <w:vMerge w:val="continue"/>
                  <w:tcBorders>
                    <w:tl2br w:val="nil"/>
                    <w:tr2bl w:val="nil"/>
                  </w:tcBorders>
                  <w:noWrap w:val="0"/>
                  <w:vAlign w:val="center"/>
                </w:tcPr>
                <w:p w14:paraId="186A77A1">
                  <w:pPr>
                    <w:pStyle w:val="55"/>
                    <w:spacing w:before="0" w:beforeLines="0" w:line="240" w:lineRule="auto"/>
                    <w:rPr>
                      <w:rFonts w:hint="default" w:ascii="Times New Roman" w:hAnsi="Times New Roman" w:eastAsia="宋体" w:cs="Times New Roman"/>
                      <w:color w:val="auto"/>
                      <w:sz w:val="21"/>
                      <w:szCs w:val="21"/>
                    </w:rPr>
                  </w:pPr>
                </w:p>
              </w:tc>
              <w:tc>
                <w:tcPr>
                  <w:tcW w:w="224" w:type="pct"/>
                  <w:vMerge w:val="continue"/>
                  <w:tcBorders>
                    <w:tl2br w:val="nil"/>
                    <w:tr2bl w:val="nil"/>
                  </w:tcBorders>
                  <w:noWrap w:val="0"/>
                  <w:vAlign w:val="center"/>
                </w:tcPr>
                <w:p w14:paraId="12EDA7EB">
                  <w:pPr>
                    <w:pStyle w:val="55"/>
                    <w:tabs>
                      <w:tab w:val="left" w:pos="265"/>
                    </w:tabs>
                    <w:autoSpaceDE w:val="0"/>
                    <w:autoSpaceDN w:val="0"/>
                    <w:spacing w:before="0" w:beforeLines="0" w:line="240" w:lineRule="auto"/>
                    <w:jc w:val="both"/>
                    <w:rPr>
                      <w:rFonts w:hint="default" w:ascii="Times New Roman" w:hAnsi="Times New Roman" w:eastAsia="宋体" w:cs="Times New Roman"/>
                      <w:color w:val="auto"/>
                      <w:sz w:val="21"/>
                      <w:szCs w:val="21"/>
                    </w:rPr>
                  </w:pPr>
                </w:p>
              </w:tc>
              <w:tc>
                <w:tcPr>
                  <w:tcW w:w="332" w:type="pct"/>
                  <w:vMerge w:val="continue"/>
                  <w:tcBorders>
                    <w:tl2br w:val="nil"/>
                    <w:tr2bl w:val="nil"/>
                  </w:tcBorders>
                  <w:noWrap w:val="0"/>
                  <w:vAlign w:val="center"/>
                </w:tcPr>
                <w:p w14:paraId="567DE935">
                  <w:pPr>
                    <w:pStyle w:val="55"/>
                    <w:tabs>
                      <w:tab w:val="left" w:pos="265"/>
                    </w:tabs>
                    <w:autoSpaceDE w:val="0"/>
                    <w:autoSpaceDN w:val="0"/>
                    <w:spacing w:before="0" w:beforeLines="0" w:line="240" w:lineRule="auto"/>
                    <w:jc w:val="both"/>
                    <w:rPr>
                      <w:rFonts w:hint="default" w:ascii="Times New Roman" w:hAnsi="Times New Roman" w:eastAsia="宋体" w:cs="Times New Roman"/>
                      <w:color w:val="auto"/>
                      <w:sz w:val="21"/>
                      <w:szCs w:val="21"/>
                    </w:rPr>
                  </w:pPr>
                </w:p>
              </w:tc>
              <w:tc>
                <w:tcPr>
                  <w:tcW w:w="375" w:type="pct"/>
                  <w:vMerge w:val="continue"/>
                  <w:tcBorders>
                    <w:tl2br w:val="nil"/>
                    <w:tr2bl w:val="nil"/>
                  </w:tcBorders>
                  <w:noWrap w:val="0"/>
                  <w:vAlign w:val="center"/>
                </w:tcPr>
                <w:p w14:paraId="45917FF6">
                  <w:pPr>
                    <w:pStyle w:val="55"/>
                    <w:tabs>
                      <w:tab w:val="left" w:pos="265"/>
                    </w:tabs>
                    <w:autoSpaceDE w:val="0"/>
                    <w:autoSpaceDN w:val="0"/>
                    <w:spacing w:before="0" w:beforeLines="0" w:line="240" w:lineRule="auto"/>
                    <w:jc w:val="both"/>
                    <w:rPr>
                      <w:rFonts w:hint="default" w:ascii="Times New Roman" w:hAnsi="Times New Roman" w:eastAsia="宋体" w:cs="Times New Roman"/>
                      <w:color w:val="auto"/>
                      <w:sz w:val="21"/>
                      <w:szCs w:val="21"/>
                    </w:rPr>
                  </w:pPr>
                </w:p>
              </w:tc>
              <w:tc>
                <w:tcPr>
                  <w:tcW w:w="375" w:type="pct"/>
                  <w:vMerge w:val="restart"/>
                  <w:tcBorders>
                    <w:tl2br w:val="nil"/>
                    <w:tr2bl w:val="nil"/>
                  </w:tcBorders>
                  <w:noWrap w:val="0"/>
                  <w:vAlign w:val="center"/>
                </w:tcPr>
                <w:p w14:paraId="3CF01D96">
                  <w:pPr>
                    <w:tabs>
                      <w:tab w:val="left" w:pos="265"/>
                    </w:tabs>
                    <w:autoSpaceDE w:val="0"/>
                    <w:autoSpaceDN w:val="0"/>
                    <w:spacing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污染物排放管控</w:t>
                  </w:r>
                </w:p>
              </w:tc>
              <w:tc>
                <w:tcPr>
                  <w:tcW w:w="1908" w:type="pct"/>
                  <w:tcBorders>
                    <w:tl2br w:val="nil"/>
                    <w:tr2bl w:val="nil"/>
                  </w:tcBorders>
                  <w:noWrap w:val="0"/>
                  <w:vAlign w:val="center"/>
                </w:tcPr>
                <w:p w14:paraId="1CDCD0FE">
                  <w:pPr>
                    <w:autoSpaceDE w:val="0"/>
                    <w:autoSpaceDN w:val="0"/>
                    <w:jc w:val="left"/>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大气环境受体敏感重点管控区：</w:t>
                  </w:r>
                </w:p>
                <w:p w14:paraId="72348751">
                  <w:pPr>
                    <w:keepNext w:val="0"/>
                    <w:keepLines w:val="0"/>
                    <w:widowControl/>
                    <w:suppressLineNumbers w:val="0"/>
                    <w:autoSpaceDE w:val="0"/>
                    <w:autoSpaceDN w:val="0"/>
                    <w:jc w:val="left"/>
                    <w:rPr>
                      <w:rFonts w:ascii="Times New Roman" w:hAnsi="Times New Roman" w:eastAsia="宋体" w:cs="Times New Roman"/>
                      <w:color w:val="auto"/>
                      <w:kern w:val="0"/>
                      <w:szCs w:val="21"/>
                    </w:rPr>
                  </w:pPr>
                  <w:r>
                    <w:rPr>
                      <w:rFonts w:ascii="Times New Roman" w:hAnsi="Times New Roman" w:eastAsia="宋体" w:cs="Times New Roman"/>
                      <w:color w:val="auto"/>
                      <w:kern w:val="0"/>
                      <w:sz w:val="21"/>
                      <w:szCs w:val="21"/>
                      <w:lang w:val="en-US" w:eastAsia="zh-CN" w:bidi="ar"/>
                    </w:rPr>
                    <w:t>1.</w:t>
                  </w:r>
                  <w:r>
                    <w:rPr>
                      <w:rFonts w:hint="default" w:ascii="Times New Roman" w:hAnsi="Times New Roman" w:eastAsia="宋体" w:cs="Times New Roman"/>
                      <w:color w:val="auto"/>
                      <w:kern w:val="0"/>
                      <w:sz w:val="21"/>
                      <w:szCs w:val="21"/>
                      <w:lang w:val="en-US" w:eastAsia="zh-CN" w:bidi="ar"/>
                    </w:rPr>
                    <w:t>城市建成区产生油烟的餐饮服务单位全部安装油烟净化装置并保持正常运行和定期维护。</w:t>
                  </w:r>
                </w:p>
                <w:p w14:paraId="25E9AE23">
                  <w:pPr>
                    <w:autoSpaceDE w:val="0"/>
                    <w:autoSpaceDN w:val="0"/>
                    <w:jc w:val="left"/>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2.持续因地制宜实施“煤改气”“油改气”、电能、地热、生物质等清洁能源取暖措施。</w:t>
                  </w:r>
                </w:p>
                <w:p w14:paraId="356427E3">
                  <w:pPr>
                    <w:autoSpaceDE w:val="0"/>
                    <w:autoSpaceDN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Cs w:val="21"/>
                      <w:lang w:val="en-US" w:eastAsia="zh-CN"/>
                    </w:rPr>
                    <w:t>3.鼓励将老旧车辆和非道路移动机械替换为清洁能源车辆。推进新能源或清洁能源汽车使用。</w:t>
                  </w:r>
                </w:p>
              </w:tc>
              <w:tc>
                <w:tcPr>
                  <w:tcW w:w="344" w:type="pct"/>
                  <w:vMerge w:val="continue"/>
                  <w:tcBorders>
                    <w:tl2br w:val="nil"/>
                    <w:tr2bl w:val="nil"/>
                  </w:tcBorders>
                  <w:noWrap w:val="0"/>
                  <w:vAlign w:val="center"/>
                </w:tcPr>
                <w:p w14:paraId="18918B7F">
                  <w:pPr>
                    <w:pStyle w:val="55"/>
                    <w:spacing w:before="0" w:beforeLines="0" w:line="240" w:lineRule="auto"/>
                    <w:rPr>
                      <w:rFonts w:hint="default" w:ascii="Times New Roman" w:hAnsi="Times New Roman" w:eastAsia="宋体" w:cs="Times New Roman"/>
                      <w:color w:val="auto"/>
                      <w:sz w:val="21"/>
                      <w:szCs w:val="21"/>
                    </w:rPr>
                  </w:pPr>
                </w:p>
              </w:tc>
              <w:tc>
                <w:tcPr>
                  <w:tcW w:w="798" w:type="pct"/>
                  <w:tcBorders>
                    <w:tl2br w:val="nil"/>
                    <w:tr2bl w:val="nil"/>
                  </w:tcBorders>
                  <w:noWrap w:val="0"/>
                  <w:vAlign w:val="center"/>
                </w:tcPr>
                <w:p w14:paraId="09A461D5">
                  <w:pPr>
                    <w:numPr>
                      <w:ilvl w:val="0"/>
                      <w:numId w:val="0"/>
                    </w:numPr>
                    <w:autoSpaceDE w:val="0"/>
                    <w:autoSpaceDN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Cs w:val="21"/>
                      <w:lang w:val="en-US" w:eastAsia="zh-CN"/>
                    </w:rPr>
                    <w:t>1.</w:t>
                  </w:r>
                  <w:r>
                    <w:rPr>
                      <w:rFonts w:hint="default" w:ascii="Times New Roman" w:hAnsi="Times New Roman" w:eastAsia="宋体" w:cs="Times New Roman"/>
                      <w:color w:val="auto"/>
                      <w:kern w:val="0"/>
                      <w:szCs w:val="21"/>
                    </w:rPr>
                    <w:t>本项目</w:t>
                  </w:r>
                  <w:r>
                    <w:rPr>
                      <w:rFonts w:hint="eastAsia" w:ascii="Times New Roman" w:hAnsi="Times New Roman" w:eastAsia="宋体" w:cs="Times New Roman"/>
                      <w:color w:val="auto"/>
                      <w:kern w:val="0"/>
                      <w:szCs w:val="21"/>
                      <w:lang w:val="en-US" w:eastAsia="zh-CN"/>
                    </w:rPr>
                    <w:t>不涉及；</w:t>
                  </w:r>
                  <w:r>
                    <w:rPr>
                      <w:rFonts w:hint="eastAsia" w:ascii="Times New Roman" w:hAnsi="Times New Roman" w:eastAsia="宋体" w:cs="Times New Roman"/>
                      <w:color w:val="auto"/>
                      <w:kern w:val="0"/>
                      <w:sz w:val="21"/>
                      <w:szCs w:val="21"/>
                      <w:lang w:val="en-US" w:eastAsia="zh-CN"/>
                    </w:rPr>
                    <w:t>2.</w:t>
                  </w:r>
                  <w:r>
                    <w:rPr>
                      <w:rFonts w:hint="default" w:ascii="Times New Roman" w:hAnsi="Times New Roman" w:eastAsia="宋体" w:cs="Times New Roman"/>
                      <w:color w:val="auto"/>
                      <w:kern w:val="0"/>
                      <w:sz w:val="21"/>
                      <w:szCs w:val="21"/>
                      <w:lang w:val="en-US" w:eastAsia="zh-CN"/>
                    </w:rPr>
                    <w:t>本项目采用电能源</w:t>
                  </w:r>
                  <w:r>
                    <w:rPr>
                      <w:rFonts w:hint="default"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lang w:val="en-US" w:eastAsia="zh-CN"/>
                    </w:rPr>
                    <w:t>3.</w:t>
                  </w:r>
                  <w:r>
                    <w:rPr>
                      <w:rFonts w:hint="default" w:ascii="Times New Roman" w:hAnsi="Times New Roman" w:eastAsia="宋体" w:cs="Times New Roman"/>
                      <w:color w:val="auto"/>
                      <w:kern w:val="0"/>
                      <w:sz w:val="21"/>
                      <w:szCs w:val="21"/>
                      <w:lang w:val="en-US" w:eastAsia="zh-CN"/>
                    </w:rPr>
                    <w:t>本项目厂区内不涉及</w:t>
                  </w:r>
                  <w:r>
                    <w:rPr>
                      <w:rFonts w:hint="default" w:ascii="Times New Roman" w:hAnsi="Times New Roman" w:eastAsia="宋体" w:cs="Times New Roman"/>
                      <w:color w:val="auto"/>
                      <w:kern w:val="0"/>
                      <w:sz w:val="21"/>
                      <w:szCs w:val="21"/>
                    </w:rPr>
                    <w:t>非道路移动机械</w:t>
                  </w:r>
                  <w:r>
                    <w:rPr>
                      <w:rFonts w:hint="eastAsia" w:ascii="Times New Roman" w:hAnsi="Times New Roman" w:eastAsia="宋体" w:cs="Times New Roman"/>
                      <w:color w:val="auto"/>
                      <w:kern w:val="0"/>
                      <w:sz w:val="21"/>
                      <w:szCs w:val="21"/>
                      <w:lang w:eastAsia="zh-CN"/>
                    </w:rPr>
                    <w:t>。</w:t>
                  </w:r>
                </w:p>
              </w:tc>
              <w:tc>
                <w:tcPr>
                  <w:tcW w:w="257" w:type="pct"/>
                  <w:tcBorders>
                    <w:tl2br w:val="nil"/>
                    <w:tr2bl w:val="nil"/>
                  </w:tcBorders>
                  <w:noWrap w:val="0"/>
                  <w:vAlign w:val="center"/>
                </w:tcPr>
                <w:p w14:paraId="02C0DEA0">
                  <w:pPr>
                    <w:pStyle w:val="55"/>
                    <w:spacing w:before="0" w:beforeLines="0" w:line="240" w:lineRule="auto"/>
                    <w:ind w:left="0" w:leftChars="0" w:firstLine="0" w:firstLineChars="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134D39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8" w:hRule="atLeast"/>
                <w:jc w:val="center"/>
              </w:trPr>
              <w:tc>
                <w:tcPr>
                  <w:tcW w:w="382" w:type="pct"/>
                  <w:vMerge w:val="continue"/>
                  <w:tcBorders>
                    <w:tl2br w:val="nil"/>
                    <w:tr2bl w:val="nil"/>
                  </w:tcBorders>
                  <w:noWrap w:val="0"/>
                  <w:vAlign w:val="center"/>
                </w:tcPr>
                <w:p w14:paraId="4AF300AB">
                  <w:pPr>
                    <w:autoSpaceDE w:val="0"/>
                    <w:autoSpaceDN w:val="0"/>
                    <w:jc w:val="left"/>
                    <w:rPr>
                      <w:color w:val="auto"/>
                    </w:rPr>
                  </w:pPr>
                </w:p>
              </w:tc>
              <w:tc>
                <w:tcPr>
                  <w:tcW w:w="224" w:type="pct"/>
                  <w:vMerge w:val="continue"/>
                  <w:tcBorders>
                    <w:tl2br w:val="nil"/>
                    <w:tr2bl w:val="nil"/>
                  </w:tcBorders>
                  <w:noWrap w:val="0"/>
                  <w:vAlign w:val="center"/>
                </w:tcPr>
                <w:p w14:paraId="48137EB8">
                  <w:pPr>
                    <w:autoSpaceDE w:val="0"/>
                    <w:autoSpaceDN w:val="0"/>
                    <w:jc w:val="left"/>
                    <w:rPr>
                      <w:color w:val="auto"/>
                    </w:rPr>
                  </w:pPr>
                </w:p>
              </w:tc>
              <w:tc>
                <w:tcPr>
                  <w:tcW w:w="332" w:type="pct"/>
                  <w:vMerge w:val="continue"/>
                  <w:tcBorders>
                    <w:tl2br w:val="nil"/>
                    <w:tr2bl w:val="nil"/>
                  </w:tcBorders>
                  <w:noWrap w:val="0"/>
                  <w:vAlign w:val="center"/>
                </w:tcPr>
                <w:p w14:paraId="1A1C7FC3">
                  <w:pPr>
                    <w:autoSpaceDE w:val="0"/>
                    <w:autoSpaceDN w:val="0"/>
                    <w:jc w:val="left"/>
                    <w:rPr>
                      <w:color w:val="auto"/>
                    </w:rPr>
                  </w:pPr>
                </w:p>
              </w:tc>
              <w:tc>
                <w:tcPr>
                  <w:tcW w:w="375" w:type="pct"/>
                  <w:vMerge w:val="continue"/>
                  <w:tcBorders>
                    <w:tl2br w:val="nil"/>
                    <w:tr2bl w:val="nil"/>
                  </w:tcBorders>
                  <w:noWrap w:val="0"/>
                  <w:vAlign w:val="center"/>
                </w:tcPr>
                <w:p w14:paraId="69678891">
                  <w:pPr>
                    <w:autoSpaceDE w:val="0"/>
                    <w:autoSpaceDN w:val="0"/>
                    <w:jc w:val="left"/>
                    <w:rPr>
                      <w:color w:val="auto"/>
                    </w:rPr>
                  </w:pPr>
                </w:p>
              </w:tc>
              <w:tc>
                <w:tcPr>
                  <w:tcW w:w="375" w:type="pct"/>
                  <w:vMerge w:val="continue"/>
                  <w:tcBorders>
                    <w:tl2br w:val="nil"/>
                    <w:tr2bl w:val="nil"/>
                  </w:tcBorders>
                  <w:noWrap w:val="0"/>
                  <w:vAlign w:val="center"/>
                </w:tcPr>
                <w:p w14:paraId="2D6566B1">
                  <w:pPr>
                    <w:autoSpaceDE w:val="0"/>
                    <w:autoSpaceDN w:val="0"/>
                    <w:jc w:val="left"/>
                    <w:rPr>
                      <w:color w:val="auto"/>
                    </w:rPr>
                  </w:pPr>
                </w:p>
              </w:tc>
              <w:tc>
                <w:tcPr>
                  <w:tcW w:w="1908" w:type="pct"/>
                  <w:tcBorders>
                    <w:tl2br w:val="nil"/>
                    <w:tr2bl w:val="nil"/>
                  </w:tcBorders>
                  <w:noWrap w:val="0"/>
                  <w:vAlign w:val="center"/>
                </w:tcPr>
                <w:p w14:paraId="0B372504">
                  <w:pPr>
                    <w:autoSpaceDE w:val="0"/>
                    <w:autoSpaceDN w:val="0"/>
                    <w:jc w:val="left"/>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水环境城镇生活污染重点管控区：</w:t>
                  </w:r>
                </w:p>
                <w:p w14:paraId="7ADB75E2">
                  <w:pPr>
                    <w:autoSpaceDE w:val="0"/>
                    <w:autoSpaceDN w:val="0"/>
                    <w:jc w:val="left"/>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1.加强城镇污水收集处理设施建设与提标改造。全省黄河流域城镇生活污水处理达到《陕西省黄河流域污水综合排放标准》（DB61/224-2018） 排放限值要求。</w:t>
                  </w:r>
                </w:p>
                <w:p w14:paraId="385E066B">
                  <w:pPr>
                    <w:autoSpaceDE w:val="0"/>
                    <w:autoSpaceDN w:val="0"/>
                    <w:jc w:val="left"/>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2.城镇新区管网建设及老旧城区管网升级改造中实行雨污分流，鼓励推进初期雨水收集、处理和资源化利用，建设人工湿地水质净化工程，对处理达标后的尾水进一步净化。</w:t>
                  </w:r>
                </w:p>
              </w:tc>
              <w:tc>
                <w:tcPr>
                  <w:tcW w:w="344" w:type="pct"/>
                  <w:vMerge w:val="continue"/>
                  <w:tcBorders>
                    <w:tl2br w:val="nil"/>
                    <w:tr2bl w:val="nil"/>
                  </w:tcBorders>
                  <w:noWrap w:val="0"/>
                  <w:vAlign w:val="center"/>
                </w:tcPr>
                <w:p w14:paraId="68A39999">
                  <w:pPr>
                    <w:autoSpaceDE w:val="0"/>
                    <w:autoSpaceDN w:val="0"/>
                    <w:jc w:val="left"/>
                    <w:rPr>
                      <w:rFonts w:hint="default" w:ascii="Times New Roman" w:hAnsi="Times New Roman" w:eastAsia="宋体" w:cs="Times New Roman"/>
                      <w:color w:val="auto"/>
                      <w:kern w:val="0"/>
                      <w:szCs w:val="21"/>
                      <w:lang w:val="en-US" w:eastAsia="zh-CN"/>
                    </w:rPr>
                  </w:pPr>
                </w:p>
              </w:tc>
              <w:tc>
                <w:tcPr>
                  <w:tcW w:w="798" w:type="pct"/>
                  <w:tcBorders>
                    <w:tl2br w:val="nil"/>
                    <w:tr2bl w:val="nil"/>
                  </w:tcBorders>
                  <w:noWrap w:val="0"/>
                  <w:vAlign w:val="center"/>
                </w:tcPr>
                <w:p w14:paraId="0C158E87">
                  <w:pPr>
                    <w:autoSpaceDE w:val="0"/>
                    <w:autoSpaceDN w:val="0"/>
                    <w:jc w:val="left"/>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 w:val="21"/>
                      <w:szCs w:val="21"/>
                      <w:lang w:val="en-US" w:eastAsia="zh-CN"/>
                    </w:rPr>
                    <w:t>1.</w:t>
                  </w:r>
                  <w:r>
                    <w:rPr>
                      <w:rFonts w:hint="default" w:ascii="Times New Roman" w:hAnsi="Times New Roman" w:eastAsia="宋体" w:cs="Times New Roman"/>
                      <w:color w:val="auto"/>
                      <w:kern w:val="0"/>
                      <w:sz w:val="21"/>
                      <w:szCs w:val="21"/>
                    </w:rPr>
                    <w:t>本项目</w:t>
                  </w:r>
                  <w:r>
                    <w:rPr>
                      <w:color w:val="auto"/>
                      <w:szCs w:val="21"/>
                    </w:rPr>
                    <w:t>生活污水</w:t>
                  </w:r>
                  <w:r>
                    <w:rPr>
                      <w:rFonts w:hint="eastAsia"/>
                      <w:color w:val="auto"/>
                      <w:szCs w:val="21"/>
                      <w:lang w:eastAsia="zh-CN"/>
                    </w:rPr>
                    <w:t>、</w:t>
                  </w:r>
                  <w:r>
                    <w:rPr>
                      <w:rFonts w:hint="eastAsia"/>
                      <w:color w:val="auto"/>
                      <w:szCs w:val="21"/>
                      <w:lang w:val="en-US" w:eastAsia="zh-CN"/>
                    </w:rPr>
                    <w:t>纯水机浓水、</w:t>
                  </w:r>
                  <w:r>
                    <w:rPr>
                      <w:rFonts w:hint="eastAsia"/>
                      <w:color w:val="auto"/>
                      <w:szCs w:val="21"/>
                    </w:rPr>
                    <w:t>器皿清洗废水</w:t>
                  </w:r>
                  <w:r>
                    <w:rPr>
                      <w:color w:val="auto"/>
                      <w:szCs w:val="21"/>
                    </w:rPr>
                    <w:t>进入化粪池处理达标后排入市政污水管网</w:t>
                  </w:r>
                  <w:r>
                    <w:rPr>
                      <w:rFonts w:hint="eastAsia" w:ascii="Times New Roman" w:hAnsi="Times New Roman" w:eastAsia="宋体" w:cs="Times New Roman"/>
                      <w:color w:val="auto"/>
                      <w:kern w:val="0"/>
                      <w:sz w:val="21"/>
                      <w:szCs w:val="21"/>
                      <w:lang w:val="en-US" w:eastAsia="zh-CN"/>
                    </w:rPr>
                    <w:t>；2.本项目所在园区雨污分流。</w:t>
                  </w:r>
                </w:p>
              </w:tc>
              <w:tc>
                <w:tcPr>
                  <w:tcW w:w="257" w:type="pct"/>
                  <w:tcBorders>
                    <w:tl2br w:val="nil"/>
                    <w:tr2bl w:val="nil"/>
                  </w:tcBorders>
                  <w:noWrap w:val="0"/>
                  <w:vAlign w:val="center"/>
                </w:tcPr>
                <w:p w14:paraId="32458EF0">
                  <w:pPr>
                    <w:autoSpaceDE w:val="0"/>
                    <w:autoSpaceDN w:val="0"/>
                    <w:jc w:val="left"/>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符合</w:t>
                  </w:r>
                </w:p>
              </w:tc>
            </w:tr>
            <w:tr w14:paraId="57B478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continue"/>
                  <w:tcBorders>
                    <w:tl2br w:val="nil"/>
                    <w:tr2bl w:val="nil"/>
                  </w:tcBorders>
                  <w:noWrap w:val="0"/>
                  <w:vAlign w:val="center"/>
                </w:tcPr>
                <w:p w14:paraId="42A12B84">
                  <w:pPr>
                    <w:pStyle w:val="55"/>
                    <w:spacing w:before="0" w:beforeLines="0" w:line="240" w:lineRule="auto"/>
                    <w:rPr>
                      <w:rFonts w:hint="default" w:ascii="Times New Roman" w:hAnsi="Times New Roman" w:eastAsia="宋体" w:cs="Times New Roman"/>
                      <w:color w:val="auto"/>
                      <w:sz w:val="21"/>
                      <w:szCs w:val="21"/>
                    </w:rPr>
                  </w:pPr>
                </w:p>
              </w:tc>
              <w:tc>
                <w:tcPr>
                  <w:tcW w:w="224" w:type="pct"/>
                  <w:vMerge w:val="continue"/>
                  <w:tcBorders>
                    <w:tl2br w:val="nil"/>
                    <w:tr2bl w:val="nil"/>
                  </w:tcBorders>
                  <w:noWrap w:val="0"/>
                  <w:vAlign w:val="center"/>
                </w:tcPr>
                <w:p w14:paraId="5133EEF4">
                  <w:pPr>
                    <w:pStyle w:val="55"/>
                    <w:tabs>
                      <w:tab w:val="left" w:pos="265"/>
                    </w:tabs>
                    <w:autoSpaceDE w:val="0"/>
                    <w:autoSpaceDN w:val="0"/>
                    <w:spacing w:before="0" w:beforeLines="0" w:line="240" w:lineRule="auto"/>
                    <w:jc w:val="both"/>
                    <w:rPr>
                      <w:rFonts w:hint="default" w:ascii="Times New Roman" w:hAnsi="Times New Roman" w:eastAsia="宋体" w:cs="Times New Roman"/>
                      <w:color w:val="auto"/>
                      <w:sz w:val="21"/>
                      <w:szCs w:val="21"/>
                    </w:rPr>
                  </w:pPr>
                </w:p>
              </w:tc>
              <w:tc>
                <w:tcPr>
                  <w:tcW w:w="332" w:type="pct"/>
                  <w:vMerge w:val="continue"/>
                  <w:tcBorders>
                    <w:tl2br w:val="nil"/>
                    <w:tr2bl w:val="nil"/>
                  </w:tcBorders>
                  <w:noWrap w:val="0"/>
                  <w:vAlign w:val="center"/>
                </w:tcPr>
                <w:p w14:paraId="66F27561">
                  <w:pPr>
                    <w:pStyle w:val="55"/>
                    <w:tabs>
                      <w:tab w:val="left" w:pos="265"/>
                    </w:tabs>
                    <w:autoSpaceDE w:val="0"/>
                    <w:autoSpaceDN w:val="0"/>
                    <w:spacing w:before="0" w:beforeLines="0" w:line="240" w:lineRule="auto"/>
                    <w:jc w:val="both"/>
                    <w:rPr>
                      <w:rFonts w:hint="default" w:ascii="Times New Roman" w:hAnsi="Times New Roman" w:eastAsia="宋体" w:cs="Times New Roman"/>
                      <w:color w:val="auto"/>
                      <w:sz w:val="21"/>
                      <w:szCs w:val="21"/>
                    </w:rPr>
                  </w:pPr>
                </w:p>
              </w:tc>
              <w:tc>
                <w:tcPr>
                  <w:tcW w:w="375" w:type="pct"/>
                  <w:vMerge w:val="continue"/>
                  <w:tcBorders>
                    <w:tl2br w:val="nil"/>
                    <w:tr2bl w:val="nil"/>
                  </w:tcBorders>
                  <w:noWrap w:val="0"/>
                  <w:vAlign w:val="center"/>
                </w:tcPr>
                <w:p w14:paraId="48CED5FB">
                  <w:pPr>
                    <w:pStyle w:val="55"/>
                    <w:tabs>
                      <w:tab w:val="left" w:pos="265"/>
                    </w:tabs>
                    <w:autoSpaceDE w:val="0"/>
                    <w:autoSpaceDN w:val="0"/>
                    <w:spacing w:before="0" w:beforeLines="0" w:line="240" w:lineRule="auto"/>
                    <w:jc w:val="both"/>
                    <w:rPr>
                      <w:rFonts w:hint="default" w:ascii="Times New Roman" w:hAnsi="Times New Roman" w:eastAsia="宋体" w:cs="Times New Roman"/>
                      <w:color w:val="auto"/>
                      <w:sz w:val="21"/>
                      <w:szCs w:val="21"/>
                    </w:rPr>
                  </w:pPr>
                </w:p>
              </w:tc>
              <w:tc>
                <w:tcPr>
                  <w:tcW w:w="375" w:type="pct"/>
                  <w:tcBorders>
                    <w:tl2br w:val="nil"/>
                    <w:tr2bl w:val="nil"/>
                  </w:tcBorders>
                  <w:noWrap w:val="0"/>
                  <w:vAlign w:val="center"/>
                </w:tcPr>
                <w:p w14:paraId="11E73FCB">
                  <w:pPr>
                    <w:tabs>
                      <w:tab w:val="left" w:pos="265"/>
                    </w:tabs>
                    <w:autoSpaceDE w:val="0"/>
                    <w:autoSpaceDN w:val="0"/>
                    <w:spacing w:line="320" w:lineRule="exac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资源开发效率要求</w:t>
                  </w:r>
                </w:p>
              </w:tc>
              <w:tc>
                <w:tcPr>
                  <w:tcW w:w="1908" w:type="pct"/>
                  <w:tcBorders>
                    <w:tl2br w:val="nil"/>
                    <w:tr2bl w:val="nil"/>
                  </w:tcBorders>
                  <w:noWrap w:val="0"/>
                  <w:vAlign w:val="center"/>
                </w:tcPr>
                <w:p w14:paraId="20A59DC5">
                  <w:pPr>
                    <w:autoSpaceDE w:val="0"/>
                    <w:autoSpaceDN w:val="0"/>
                    <w:jc w:val="left"/>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高污染燃料禁燃区：严格禁燃区管控。市区和南六县市全域及北五县市城镇周边划定为高污染燃料禁燃区，禁止销售、使用煤炭及其制品等高污染燃料（35蒸吨及以上燃煤锅炉、火力发电企业、机组及水泥、砖瓦等原料煤使用企业除外）；各县市区全面退出禁燃区内洁净煤加工中心及配送网点，对配送网点及群众存量煤炭全部有偿回收。北五县市非禁燃区内可采用洁净煤或“生物质成型燃料+专用炉具”兜底。加强对直送、网络等方式销售散煤的监管，严厉打击违法销售行为，同时倒查上游企业责任，从源头杜绝散煤销售。</w:t>
                  </w:r>
                </w:p>
              </w:tc>
              <w:tc>
                <w:tcPr>
                  <w:tcW w:w="344" w:type="pct"/>
                  <w:vMerge w:val="continue"/>
                  <w:tcBorders>
                    <w:tl2br w:val="nil"/>
                    <w:tr2bl w:val="nil"/>
                  </w:tcBorders>
                  <w:noWrap w:val="0"/>
                  <w:vAlign w:val="center"/>
                </w:tcPr>
                <w:p w14:paraId="6AEFF03F">
                  <w:pPr>
                    <w:pStyle w:val="55"/>
                    <w:spacing w:before="0" w:beforeLines="0" w:line="240" w:lineRule="auto"/>
                    <w:rPr>
                      <w:rFonts w:hint="default" w:ascii="Times New Roman" w:hAnsi="Times New Roman" w:eastAsia="宋体" w:cs="Times New Roman"/>
                      <w:color w:val="auto"/>
                      <w:sz w:val="21"/>
                      <w:szCs w:val="21"/>
                    </w:rPr>
                  </w:pPr>
                </w:p>
              </w:tc>
              <w:tc>
                <w:tcPr>
                  <w:tcW w:w="798" w:type="pct"/>
                  <w:tcBorders>
                    <w:tl2br w:val="nil"/>
                    <w:tr2bl w:val="nil"/>
                  </w:tcBorders>
                  <w:noWrap w:val="0"/>
                  <w:vAlign w:val="center"/>
                </w:tcPr>
                <w:p w14:paraId="3C43A567">
                  <w:pPr>
                    <w:pStyle w:val="55"/>
                    <w:spacing w:before="0" w:beforeLines="0" w:line="240" w:lineRule="auto"/>
                    <w:ind w:left="0" w:leftChars="0" w:firstLine="0" w:firstLineChars="0"/>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本项目</w:t>
                  </w:r>
                  <w:r>
                    <w:rPr>
                      <w:rFonts w:hint="default" w:ascii="Times New Roman" w:hAnsi="Times New Roman" w:eastAsia="宋体" w:cs="Times New Roman"/>
                      <w:color w:val="auto"/>
                      <w:kern w:val="0"/>
                      <w:sz w:val="21"/>
                      <w:szCs w:val="21"/>
                      <w:lang w:val="en-US" w:eastAsia="zh-CN"/>
                    </w:rPr>
                    <w:t>采用电能源，不涉及燃煤等使用。</w:t>
                  </w:r>
                </w:p>
              </w:tc>
              <w:tc>
                <w:tcPr>
                  <w:tcW w:w="257" w:type="pct"/>
                  <w:tcBorders>
                    <w:tl2br w:val="nil"/>
                    <w:tr2bl w:val="nil"/>
                  </w:tcBorders>
                  <w:noWrap w:val="0"/>
                  <w:vAlign w:val="center"/>
                </w:tcPr>
                <w:p w14:paraId="17967598">
                  <w:pPr>
                    <w:pStyle w:val="55"/>
                    <w:spacing w:before="0" w:beforeLines="0" w:line="240" w:lineRule="auto"/>
                    <w:ind w:left="0" w:leftChars="0" w:firstLine="0" w:firstLineChars="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bl>
          <w:p w14:paraId="00B0EF9B">
            <w:pPr>
              <w:pStyle w:val="5"/>
              <w:spacing w:line="240" w:lineRule="auto"/>
              <w:jc w:val="center"/>
              <w:rPr>
                <w:rFonts w:hint="default" w:ascii="Times New Roman" w:hAnsi="Times New Roman" w:eastAsia="宋体" w:cs="Times New Roman"/>
                <w:b/>
                <w:bCs/>
                <w:color w:val="auto"/>
                <w:kern w:val="0"/>
                <w:sz w:val="21"/>
                <w:szCs w:val="21"/>
                <w:lang w:val="en-US" w:eastAsia="zh-CN" w:bidi="ar"/>
              </w:rPr>
            </w:pPr>
            <w:bookmarkStart w:id="5" w:name="_Toc28423"/>
            <w:r>
              <w:rPr>
                <w:rFonts w:hint="default" w:ascii="Times New Roman" w:hAnsi="Times New Roman" w:eastAsia="宋体" w:cs="Times New Roman"/>
                <w:b/>
                <w:bCs/>
                <w:color w:val="auto"/>
                <w:kern w:val="0"/>
                <w:sz w:val="24"/>
                <w:szCs w:val="24"/>
                <w:lang w:val="en-US" w:eastAsia="zh-CN" w:bidi="ar"/>
              </w:rPr>
              <w:t>表1-</w:t>
            </w:r>
            <w:r>
              <w:rPr>
                <w:rFonts w:hint="eastAsia" w:cs="Times New Roman"/>
                <w:b/>
                <w:bCs/>
                <w:color w:val="auto"/>
                <w:kern w:val="0"/>
                <w:sz w:val="24"/>
                <w:szCs w:val="24"/>
                <w:lang w:val="en-US" w:eastAsia="zh-CN" w:bidi="ar"/>
              </w:rPr>
              <w:t>4</w:t>
            </w:r>
            <w:r>
              <w:rPr>
                <w:rFonts w:hint="default" w:ascii="Times New Roman" w:hAnsi="Times New Roman" w:eastAsia="宋体" w:cs="Times New Roman"/>
                <w:b/>
                <w:bCs/>
                <w:color w:val="auto"/>
                <w:kern w:val="0"/>
                <w:sz w:val="24"/>
                <w:szCs w:val="24"/>
                <w:lang w:val="en-US" w:eastAsia="zh-CN" w:bidi="ar"/>
              </w:rPr>
              <w:t xml:space="preserve"> </w:t>
            </w:r>
            <w:bookmarkEnd w:id="5"/>
            <w:r>
              <w:rPr>
                <w:rFonts w:hint="default" w:ascii="Times New Roman" w:hAnsi="Times New Roman" w:eastAsia="宋体" w:cs="Times New Roman"/>
                <w:b/>
                <w:bCs/>
                <w:color w:val="auto"/>
                <w:kern w:val="0"/>
                <w:sz w:val="24"/>
                <w:szCs w:val="24"/>
                <w:lang w:val="en-US" w:eastAsia="zh-CN" w:bidi="ar"/>
              </w:rPr>
              <w:t>与</w:t>
            </w:r>
            <w:r>
              <w:rPr>
                <w:rFonts w:hint="eastAsia" w:ascii="Times New Roman" w:hAnsi="Times New Roman" w:eastAsia="宋体" w:cs="Times New Roman"/>
                <w:b/>
                <w:bCs/>
                <w:color w:val="auto"/>
                <w:kern w:val="0"/>
                <w:sz w:val="24"/>
                <w:szCs w:val="24"/>
                <w:lang w:val="en-US" w:eastAsia="zh-CN" w:bidi="ar"/>
              </w:rPr>
              <w:t>区域环境管控</w:t>
            </w:r>
            <w:r>
              <w:rPr>
                <w:rFonts w:hint="default" w:ascii="Times New Roman" w:hAnsi="Times New Roman" w:eastAsia="宋体" w:cs="Times New Roman"/>
                <w:b/>
                <w:bCs/>
                <w:color w:val="auto"/>
                <w:kern w:val="0"/>
                <w:sz w:val="24"/>
                <w:szCs w:val="24"/>
                <w:lang w:val="en-US" w:eastAsia="zh-CN" w:bidi="ar"/>
              </w:rPr>
              <w:t>要求符合性分析一览表</w:t>
            </w:r>
          </w:p>
          <w:tbl>
            <w:tblPr>
              <w:tblStyle w:val="26"/>
              <w:tblW w:w="505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11"/>
              <w:gridCol w:w="672"/>
              <w:gridCol w:w="672"/>
              <w:gridCol w:w="405"/>
              <w:gridCol w:w="946"/>
              <w:gridCol w:w="4372"/>
              <w:gridCol w:w="4182"/>
              <w:gridCol w:w="452"/>
            </w:tblGrid>
            <w:tr w14:paraId="059AE4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48" w:type="pct"/>
                  <w:noWrap w:val="0"/>
                  <w:vAlign w:val="center"/>
                </w:tcPr>
                <w:p w14:paraId="4E230311">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273" w:type="pct"/>
                  <w:noWrap w:val="0"/>
                  <w:vAlign w:val="center"/>
                </w:tcPr>
                <w:p w14:paraId="34EC6D24">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涉及的管控单元编码</w:t>
                  </w:r>
                </w:p>
              </w:tc>
              <w:tc>
                <w:tcPr>
                  <w:tcW w:w="273" w:type="pct"/>
                  <w:noWrap w:val="0"/>
                  <w:vAlign w:val="center"/>
                </w:tcPr>
                <w:p w14:paraId="51594E40">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区域名称</w:t>
                  </w:r>
                </w:p>
              </w:tc>
              <w:tc>
                <w:tcPr>
                  <w:tcW w:w="164" w:type="pct"/>
                  <w:noWrap w:val="0"/>
                  <w:vAlign w:val="center"/>
                </w:tcPr>
                <w:p w14:paraId="3F9DF131">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省份</w:t>
                  </w:r>
                </w:p>
              </w:tc>
              <w:tc>
                <w:tcPr>
                  <w:tcW w:w="384" w:type="pct"/>
                  <w:noWrap w:val="0"/>
                  <w:vAlign w:val="center"/>
                </w:tcPr>
                <w:p w14:paraId="35CE7063">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管控类别</w:t>
                  </w:r>
                </w:p>
              </w:tc>
              <w:tc>
                <w:tcPr>
                  <w:tcW w:w="1774" w:type="pct"/>
                  <w:noWrap w:val="0"/>
                  <w:vAlign w:val="center"/>
                </w:tcPr>
                <w:p w14:paraId="7B4243CB">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管控要求</w:t>
                  </w:r>
                </w:p>
              </w:tc>
              <w:tc>
                <w:tcPr>
                  <w:tcW w:w="1697" w:type="pct"/>
                  <w:noWrap w:val="0"/>
                  <w:vAlign w:val="center"/>
                </w:tcPr>
                <w:p w14:paraId="7A19F796">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本项目情况</w:t>
                  </w:r>
                </w:p>
              </w:tc>
              <w:tc>
                <w:tcPr>
                  <w:tcW w:w="183" w:type="pct"/>
                  <w:noWrap w:val="0"/>
                  <w:vAlign w:val="center"/>
                </w:tcPr>
                <w:p w14:paraId="0892263C">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相符性</w:t>
                  </w:r>
                </w:p>
              </w:tc>
            </w:tr>
            <w:tr w14:paraId="786B5B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48" w:type="pct"/>
                  <w:vMerge w:val="restart"/>
                  <w:noWrap w:val="0"/>
                  <w:vAlign w:val="center"/>
                </w:tcPr>
                <w:p w14:paraId="06D53CC6">
                  <w:pPr>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273" w:type="pct"/>
                  <w:vMerge w:val="restart"/>
                  <w:noWrap w:val="0"/>
                  <w:vAlign w:val="center"/>
                </w:tcPr>
                <w:p w14:paraId="1E2E650E">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273" w:type="pct"/>
                  <w:vMerge w:val="restart"/>
                  <w:noWrap w:val="0"/>
                  <w:vAlign w:val="center"/>
                </w:tcPr>
                <w:p w14:paraId="65A69648">
                  <w:pPr>
                    <w:jc w:val="center"/>
                    <w:rPr>
                      <w:rFonts w:hint="default" w:ascii="Times New Roman" w:hAnsi="Times New Roman" w:cs="Times New Roman"/>
                      <w:color w:val="auto"/>
                      <w:szCs w:val="21"/>
                    </w:rPr>
                  </w:pPr>
                  <w:r>
                    <w:rPr>
                      <w:rFonts w:hint="default" w:ascii="Times New Roman" w:hAnsi="Times New Roman" w:cs="Times New Roman"/>
                      <w:color w:val="auto"/>
                      <w:szCs w:val="21"/>
                    </w:rPr>
                    <w:t>省域</w:t>
                  </w:r>
                </w:p>
              </w:tc>
              <w:tc>
                <w:tcPr>
                  <w:tcW w:w="164" w:type="pct"/>
                  <w:vMerge w:val="restart"/>
                  <w:noWrap w:val="0"/>
                  <w:vAlign w:val="center"/>
                </w:tcPr>
                <w:p w14:paraId="6C198072">
                  <w:pPr>
                    <w:jc w:val="center"/>
                    <w:rPr>
                      <w:rFonts w:hint="default" w:ascii="Times New Roman" w:hAnsi="Times New Roman" w:cs="Times New Roman"/>
                      <w:color w:val="auto"/>
                      <w:szCs w:val="21"/>
                    </w:rPr>
                  </w:pPr>
                  <w:r>
                    <w:rPr>
                      <w:rFonts w:hint="default" w:ascii="Times New Roman" w:hAnsi="Times New Roman" w:cs="Times New Roman"/>
                      <w:color w:val="auto"/>
                      <w:szCs w:val="21"/>
                    </w:rPr>
                    <w:t>陕西省</w:t>
                  </w:r>
                </w:p>
              </w:tc>
              <w:tc>
                <w:tcPr>
                  <w:tcW w:w="384" w:type="pct"/>
                  <w:noWrap w:val="0"/>
                  <w:vAlign w:val="center"/>
                </w:tcPr>
                <w:p w14:paraId="41064138">
                  <w:pPr>
                    <w:jc w:val="center"/>
                    <w:rPr>
                      <w:rFonts w:hint="default" w:ascii="Times New Roman" w:hAnsi="Times New Roman" w:cs="Times New Roman"/>
                      <w:color w:val="auto"/>
                      <w:szCs w:val="21"/>
                    </w:rPr>
                  </w:pPr>
                  <w:r>
                    <w:rPr>
                      <w:rFonts w:hint="default" w:ascii="Times New Roman" w:hAnsi="Times New Roman" w:cs="Times New Roman"/>
                      <w:color w:val="auto"/>
                      <w:szCs w:val="21"/>
                    </w:rPr>
                    <w:t>空间布局约束</w:t>
                  </w:r>
                </w:p>
              </w:tc>
              <w:tc>
                <w:tcPr>
                  <w:tcW w:w="1774" w:type="pct"/>
                  <w:noWrap w:val="0"/>
                  <w:vAlign w:val="center"/>
                </w:tcPr>
                <w:p w14:paraId="31BFE1E6">
                  <w:pPr>
                    <w:rPr>
                      <w:rFonts w:hint="default" w:ascii="Times New Roman" w:hAnsi="Times New Roman" w:cs="Times New Roman"/>
                      <w:color w:val="auto"/>
                      <w:szCs w:val="21"/>
                    </w:rPr>
                  </w:pPr>
                  <w:r>
                    <w:rPr>
                      <w:rFonts w:hint="default" w:ascii="Times New Roman" w:hAnsi="Times New Roman" w:cs="Times New Roman"/>
                      <w:color w:val="auto"/>
                      <w:szCs w:val="21"/>
                    </w:rPr>
                    <w:t>1</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rPr>
                    <w:t>执行国家及地方法律法规、规章对国家公园、自然保护区、风景名胜区、世界自然和文化遗产、饮用水水源保护区、生态保护红线、自然公园（森林公园、湿地公园、地质公园、沙漠公园等）、水产种质资源保护区、重要湿地、国家级公益林等保护区域的禁止性和限制性要求。</w:t>
                  </w:r>
                </w:p>
                <w:p w14:paraId="23B241B0">
                  <w:pPr>
                    <w:rPr>
                      <w:rFonts w:hint="default" w:ascii="Times New Roman" w:hAnsi="Times New Roman" w:cs="Times New Roman"/>
                      <w:color w:val="auto"/>
                      <w:szCs w:val="21"/>
                    </w:rPr>
                  </w:pPr>
                  <w:r>
                    <w:rPr>
                      <w:rFonts w:hint="default" w:ascii="Times New Roman" w:hAnsi="Times New Roman" w:cs="Times New Roman"/>
                      <w:color w:val="auto"/>
                      <w:szCs w:val="21"/>
                    </w:rPr>
                    <w:t>2</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rPr>
                    <w:t>执行《市场准入负面清单（2022年版）》《产业结构调整指导目录（2024年本）》的规定。</w:t>
                  </w:r>
                </w:p>
                <w:p w14:paraId="037A1A1E">
                  <w:pPr>
                    <w:rPr>
                      <w:rFonts w:hint="default" w:ascii="Times New Roman" w:hAnsi="Times New Roman" w:cs="Times New Roman"/>
                      <w:color w:val="auto"/>
                      <w:szCs w:val="21"/>
                    </w:rPr>
                  </w:pPr>
                  <w:r>
                    <w:rPr>
                      <w:rFonts w:hint="default" w:ascii="Times New Roman" w:hAnsi="Times New Roman" w:cs="Times New Roman"/>
                      <w:color w:val="auto"/>
                      <w:szCs w:val="21"/>
                    </w:rPr>
                    <w:t>3</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rPr>
                    <w:t>执行《矿产资源节约与综合利用鼓励、限制和淘汰技术目录》。</w:t>
                  </w:r>
                </w:p>
                <w:p w14:paraId="218F790E">
                  <w:pPr>
                    <w:rPr>
                      <w:rFonts w:hint="default" w:ascii="Times New Roman" w:hAnsi="Times New Roman" w:cs="Times New Roman"/>
                      <w:color w:val="auto"/>
                      <w:szCs w:val="21"/>
                    </w:rPr>
                  </w:pPr>
                  <w:r>
                    <w:rPr>
                      <w:rFonts w:hint="default" w:ascii="Times New Roman" w:hAnsi="Times New Roman" w:cs="Times New Roman"/>
                      <w:color w:val="auto"/>
                      <w:szCs w:val="21"/>
                    </w:rPr>
                    <w:t>4</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rPr>
                    <w:t>严把</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两高</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项目环境准入关。坚决遏制高耗能、高排放项目盲目发展。</w:t>
                  </w:r>
                </w:p>
                <w:p w14:paraId="2A20D1D5">
                  <w:pPr>
                    <w:rPr>
                      <w:rFonts w:hint="default" w:ascii="Times New Roman" w:hAnsi="Times New Roman" w:cs="Times New Roman"/>
                      <w:color w:val="auto"/>
                      <w:szCs w:val="21"/>
                    </w:rPr>
                  </w:pPr>
                  <w:r>
                    <w:rPr>
                      <w:rFonts w:hint="default" w:ascii="Times New Roman" w:hAnsi="Times New Roman" w:cs="Times New Roman"/>
                      <w:color w:val="auto"/>
                      <w:szCs w:val="21"/>
                    </w:rPr>
                    <w:t>5</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rPr>
                    <w:t>不再新建燃煤集中供热站。各市（区）建成区禁止新建燃煤锅炉。</w:t>
                  </w:r>
                </w:p>
              </w:tc>
              <w:tc>
                <w:tcPr>
                  <w:tcW w:w="1697" w:type="pct"/>
                  <w:noWrap w:val="0"/>
                  <w:vAlign w:val="center"/>
                </w:tcPr>
                <w:p w14:paraId="23F7D222">
                  <w:pP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1、</w:t>
                  </w:r>
                  <w:r>
                    <w:rPr>
                      <w:rFonts w:hint="default" w:ascii="Times New Roman" w:hAnsi="Times New Roman" w:cs="Times New Roman"/>
                      <w:color w:val="auto"/>
                      <w:kern w:val="0"/>
                      <w:szCs w:val="21"/>
                      <w:lang w:bidi="ar"/>
                    </w:rPr>
                    <w:t>本项目</w:t>
                  </w:r>
                  <w:r>
                    <w:rPr>
                      <w:rFonts w:hint="default" w:ascii="Times New Roman" w:hAnsi="Times New Roman" w:cs="Times New Roman"/>
                      <w:color w:val="auto"/>
                      <w:kern w:val="0"/>
                      <w:szCs w:val="21"/>
                      <w:lang w:val="en-US" w:eastAsia="zh-CN" w:bidi="ar"/>
                    </w:rPr>
                    <w:t>位于西咸新区泾河新城永乐镇泾河智造创新产业园</w:t>
                  </w:r>
                  <w:r>
                    <w:rPr>
                      <w:rFonts w:hint="default" w:ascii="Times New Roman" w:hAnsi="Times New Roman" w:cs="Times New Roman"/>
                      <w:color w:val="auto"/>
                      <w:szCs w:val="21"/>
                    </w:rPr>
                    <w:t>，不涉及自然保护区、风景名胜区、世界自然和文化遗产、饮用水水源保护区、生态红线等国家保护区域。</w:t>
                  </w:r>
                </w:p>
                <w:p w14:paraId="72BF0A3C">
                  <w:pPr>
                    <w:rPr>
                      <w:rFonts w:hint="default" w:ascii="Times New Roman" w:hAnsi="Times New Roman" w:cs="Times New Roman"/>
                      <w:color w:val="auto"/>
                      <w:szCs w:val="21"/>
                    </w:rPr>
                  </w:pPr>
                  <w:r>
                    <w:rPr>
                      <w:rFonts w:hint="default" w:ascii="Times New Roman" w:hAnsi="Times New Roman" w:cs="Times New Roman"/>
                      <w:color w:val="auto"/>
                      <w:szCs w:val="21"/>
                    </w:rPr>
                    <w:t>2、本项目不属于《市场准入负面清单（202</w:t>
                  </w:r>
                  <w:r>
                    <w:rPr>
                      <w:rFonts w:hint="eastAsia" w:ascii="Times New Roman" w:hAnsi="Times New Roman" w:cs="Times New Roman"/>
                      <w:color w:val="auto"/>
                      <w:szCs w:val="21"/>
                      <w:lang w:val="en-US" w:eastAsia="zh-CN"/>
                    </w:rPr>
                    <w:t>5</w:t>
                  </w:r>
                  <w:r>
                    <w:rPr>
                      <w:rFonts w:hint="default" w:ascii="Times New Roman" w:hAnsi="Times New Roman" w:cs="Times New Roman"/>
                      <w:color w:val="auto"/>
                      <w:szCs w:val="21"/>
                    </w:rPr>
                    <w:t>年版）》中的禁止准入类、许可准入类，不属于《产业结构调整指导目录（2024年本）》中的鼓励类、限制类和淘汰类，因此本项目为允许类。</w:t>
                  </w:r>
                </w:p>
                <w:p w14:paraId="4CDBE74C">
                  <w:pPr>
                    <w:rPr>
                      <w:rFonts w:hint="default" w:ascii="Times New Roman" w:hAnsi="Times New Roman" w:cs="Times New Roman"/>
                      <w:color w:val="auto"/>
                      <w:szCs w:val="21"/>
                    </w:rPr>
                  </w:pPr>
                  <w:r>
                    <w:rPr>
                      <w:rFonts w:hint="default" w:ascii="Times New Roman" w:hAnsi="Times New Roman" w:cs="Times New Roman"/>
                      <w:color w:val="auto"/>
                      <w:szCs w:val="21"/>
                    </w:rPr>
                    <w:t>3、本项目不涉及矿产资源的开采及利用；</w:t>
                  </w:r>
                </w:p>
                <w:p w14:paraId="1E9ED04C">
                  <w:pPr>
                    <w:pStyle w:val="11"/>
                    <w:spacing w:before="0" w:after="0" w:line="240" w:lineRule="auto"/>
                    <w:ind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4、本项目不属于</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两高</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项目；</w:t>
                  </w:r>
                </w:p>
                <w:p w14:paraId="67055E72">
                  <w:pPr>
                    <w:pStyle w:val="11"/>
                    <w:spacing w:before="0" w:after="0" w:line="240" w:lineRule="auto"/>
                    <w:ind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5、本项目不涉及</w:t>
                  </w:r>
                  <w:r>
                    <w:rPr>
                      <w:rFonts w:hint="eastAsia" w:ascii="Times New Roman" w:hAnsi="Times New Roman" w:cs="Times New Roman"/>
                      <w:color w:val="auto"/>
                      <w:sz w:val="21"/>
                      <w:szCs w:val="21"/>
                      <w:lang w:val="en-US" w:eastAsia="zh-CN"/>
                    </w:rPr>
                    <w:t>新建燃煤集中供热站</w:t>
                  </w:r>
                  <w:r>
                    <w:rPr>
                      <w:rFonts w:hint="default" w:ascii="Times New Roman" w:hAnsi="Times New Roman" w:cs="Times New Roman"/>
                      <w:color w:val="auto"/>
                      <w:sz w:val="21"/>
                      <w:szCs w:val="21"/>
                    </w:rPr>
                    <w:t>。</w:t>
                  </w:r>
                </w:p>
              </w:tc>
              <w:tc>
                <w:tcPr>
                  <w:tcW w:w="183" w:type="pct"/>
                  <w:noWrap w:val="0"/>
                  <w:vAlign w:val="center"/>
                </w:tcPr>
                <w:p w14:paraId="32ACFC03">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相符</w:t>
                  </w:r>
                </w:p>
              </w:tc>
            </w:tr>
            <w:tr w14:paraId="7785D3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48" w:type="pct"/>
                  <w:vMerge w:val="continue"/>
                  <w:noWrap w:val="0"/>
                  <w:vAlign w:val="center"/>
                </w:tcPr>
                <w:p w14:paraId="0B854BFF">
                  <w:pPr>
                    <w:widowControl/>
                    <w:jc w:val="left"/>
                    <w:rPr>
                      <w:rFonts w:hint="default" w:ascii="Times New Roman" w:hAnsi="Times New Roman" w:cs="Times New Roman"/>
                      <w:color w:val="auto"/>
                      <w:szCs w:val="21"/>
                    </w:rPr>
                  </w:pPr>
                </w:p>
              </w:tc>
              <w:tc>
                <w:tcPr>
                  <w:tcW w:w="273" w:type="pct"/>
                  <w:vMerge w:val="continue"/>
                  <w:noWrap w:val="0"/>
                  <w:vAlign w:val="center"/>
                </w:tcPr>
                <w:p w14:paraId="3A6922BB">
                  <w:pPr>
                    <w:widowControl/>
                    <w:jc w:val="left"/>
                    <w:rPr>
                      <w:rFonts w:hint="default" w:ascii="Times New Roman" w:hAnsi="Times New Roman" w:cs="Times New Roman"/>
                      <w:color w:val="auto"/>
                      <w:szCs w:val="21"/>
                    </w:rPr>
                  </w:pPr>
                </w:p>
              </w:tc>
              <w:tc>
                <w:tcPr>
                  <w:tcW w:w="273" w:type="pct"/>
                  <w:vMerge w:val="continue"/>
                  <w:noWrap w:val="0"/>
                  <w:vAlign w:val="center"/>
                </w:tcPr>
                <w:p w14:paraId="20C8B68A">
                  <w:pPr>
                    <w:widowControl/>
                    <w:jc w:val="left"/>
                    <w:rPr>
                      <w:rFonts w:hint="default" w:ascii="Times New Roman" w:hAnsi="Times New Roman" w:cs="Times New Roman"/>
                      <w:color w:val="auto"/>
                      <w:szCs w:val="21"/>
                    </w:rPr>
                  </w:pPr>
                </w:p>
              </w:tc>
              <w:tc>
                <w:tcPr>
                  <w:tcW w:w="164" w:type="pct"/>
                  <w:vMerge w:val="continue"/>
                  <w:noWrap w:val="0"/>
                  <w:vAlign w:val="center"/>
                </w:tcPr>
                <w:p w14:paraId="0911553A">
                  <w:pPr>
                    <w:widowControl/>
                    <w:jc w:val="left"/>
                    <w:rPr>
                      <w:rFonts w:hint="default" w:ascii="Times New Roman" w:hAnsi="Times New Roman" w:cs="Times New Roman"/>
                      <w:color w:val="auto"/>
                      <w:szCs w:val="21"/>
                    </w:rPr>
                  </w:pPr>
                </w:p>
              </w:tc>
              <w:tc>
                <w:tcPr>
                  <w:tcW w:w="384" w:type="pct"/>
                  <w:noWrap w:val="0"/>
                  <w:vAlign w:val="center"/>
                </w:tcPr>
                <w:p w14:paraId="3B8CF7B2">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污染物排放管控</w:t>
                  </w:r>
                </w:p>
              </w:tc>
              <w:tc>
                <w:tcPr>
                  <w:tcW w:w="1774" w:type="pct"/>
                  <w:noWrap w:val="0"/>
                  <w:vAlign w:val="center"/>
                </w:tcPr>
                <w:p w14:paraId="3EAB680B">
                  <w:pPr>
                    <w:rPr>
                      <w:rFonts w:hint="default" w:ascii="Times New Roman" w:hAnsi="Times New Roman" w:cs="Times New Roman"/>
                      <w:color w:val="auto"/>
                      <w:szCs w:val="21"/>
                    </w:rPr>
                  </w:pPr>
                  <w:r>
                    <w:rPr>
                      <w:rFonts w:hint="default" w:ascii="Times New Roman" w:hAnsi="Times New Roman" w:cs="Times New Roman"/>
                      <w:color w:val="auto"/>
                      <w:szCs w:val="21"/>
                    </w:rPr>
                    <w:t>1</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rPr>
                    <w:t>按照煤炭集中使用、清洁利用原则，重点削减小型燃煤锅炉、民用散煤与农业用煤消费量，对以煤、石焦、渣油、重油等为燃料的锅炉和工业炉窑，加快使用清洁低碳能源以及工厂余热、电力热力等进行替代。</w:t>
                  </w:r>
                </w:p>
                <w:p w14:paraId="6C6DE4DE">
                  <w:pPr>
                    <w:rPr>
                      <w:rFonts w:hint="default" w:ascii="Times New Roman" w:hAnsi="Times New Roman" w:cs="Times New Roman"/>
                      <w:color w:val="auto"/>
                      <w:szCs w:val="21"/>
                    </w:rPr>
                  </w:pPr>
                  <w:r>
                    <w:rPr>
                      <w:rFonts w:hint="default" w:ascii="Times New Roman" w:hAnsi="Times New Roman" w:cs="Times New Roman"/>
                      <w:color w:val="auto"/>
                      <w:szCs w:val="21"/>
                    </w:rPr>
                    <w:t>2</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rPr>
                    <w:t xml:space="preserve"> 2023年底前，关中地区钢铁企业完成超低排放改造，其他地区钢铁企业于2025年底前完成改造。2025年底前，80%左右水泥熟料产能和60%左右独立粉磨站完成超低排放改造，西安市、咸阳市、渭南市全面完成改造，其他地区2027年底前全部完成。2025年底前，焦化行业独立焦化企业100%产能全面完成超低排放改造；2027年底前，半焦生产基本完成改造。推动燃气锅炉实施低氮燃烧深度改造，鼓励企业将氮氧化物浓度控制在30毫克/立方米。</w:t>
                  </w:r>
                </w:p>
                <w:p w14:paraId="7E912B42">
                  <w:pPr>
                    <w:rPr>
                      <w:rFonts w:hint="default" w:ascii="Times New Roman" w:hAnsi="Times New Roman" w:cs="Times New Roman"/>
                      <w:color w:val="auto"/>
                      <w:szCs w:val="21"/>
                    </w:rPr>
                  </w:pPr>
                  <w:r>
                    <w:rPr>
                      <w:rFonts w:hint="default" w:ascii="Times New Roman" w:hAnsi="Times New Roman" w:cs="Times New Roman"/>
                      <w:color w:val="auto"/>
                      <w:szCs w:val="21"/>
                    </w:rPr>
                    <w:t>3</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rPr>
                    <w:t>全省黄河流域城镇生活污水处理达到《陕西省黄河流域污水综合排放标准》（DB61/224-2018）排放限值要求。汉江、丹江流域城镇污水处理设施执行《汉丹江流域（陕西段）重点行业水污染物排放限值》。</w:t>
                  </w:r>
                </w:p>
              </w:tc>
              <w:tc>
                <w:tcPr>
                  <w:tcW w:w="1697" w:type="pct"/>
                  <w:noWrap w:val="0"/>
                  <w:vAlign w:val="center"/>
                </w:tcPr>
                <w:p w14:paraId="7AA1F710">
                  <w:pPr>
                    <w:rPr>
                      <w:rFonts w:hint="default" w:ascii="Times New Roman" w:hAnsi="Times New Roman" w:cs="Times New Roman"/>
                      <w:color w:val="auto"/>
                      <w:szCs w:val="21"/>
                    </w:rPr>
                  </w:pPr>
                  <w:r>
                    <w:rPr>
                      <w:rFonts w:hint="default" w:ascii="Times New Roman" w:hAnsi="Times New Roman" w:cs="Times New Roman"/>
                      <w:color w:val="auto"/>
                      <w:szCs w:val="21"/>
                    </w:rPr>
                    <w:t>1、</w:t>
                  </w:r>
                  <w:r>
                    <w:rPr>
                      <w:rFonts w:hint="eastAsia"/>
                      <w:color w:val="auto"/>
                      <w:kern w:val="0"/>
                      <w:szCs w:val="21"/>
                    </w:rPr>
                    <w:t>本项目</w:t>
                  </w:r>
                  <w:r>
                    <w:rPr>
                      <w:rFonts w:hint="eastAsia"/>
                      <w:color w:val="auto"/>
                      <w:kern w:val="0"/>
                      <w:szCs w:val="21"/>
                      <w:lang w:val="en-US" w:eastAsia="zh-CN"/>
                    </w:rPr>
                    <w:t>运行过程中使用能源主要为电能，属于清洁能源</w:t>
                  </w:r>
                  <w:r>
                    <w:rPr>
                      <w:rFonts w:hint="default" w:ascii="Times New Roman" w:hAnsi="Times New Roman" w:cs="Times New Roman"/>
                      <w:color w:val="auto"/>
                      <w:szCs w:val="21"/>
                    </w:rPr>
                    <w:t>；</w:t>
                  </w:r>
                </w:p>
                <w:p w14:paraId="43E21147">
                  <w:pPr>
                    <w:pStyle w:val="11"/>
                    <w:spacing w:before="0" w:after="0"/>
                    <w:ind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2、本项目</w:t>
                  </w:r>
                  <w:r>
                    <w:rPr>
                      <w:rFonts w:hint="eastAsia" w:ascii="Times New Roman" w:hAnsi="Times New Roman" w:cs="Times New Roman"/>
                      <w:color w:val="auto"/>
                      <w:sz w:val="21"/>
                      <w:szCs w:val="21"/>
                      <w:lang w:val="en-US" w:eastAsia="zh-CN"/>
                    </w:rPr>
                    <w:t>不属于钢铁、水泥熟料生产、焦化行业等，</w:t>
                  </w:r>
                  <w:r>
                    <w:rPr>
                      <w:rFonts w:hint="default" w:ascii="Times New Roman" w:hAnsi="Times New Roman" w:cs="Times New Roman"/>
                      <w:color w:val="auto"/>
                      <w:sz w:val="21"/>
                      <w:szCs w:val="21"/>
                    </w:rPr>
                    <w:t>产生的废气经处理后达标排放，对周围环境影响较小，不会改变区域环境空气质量。</w:t>
                  </w:r>
                </w:p>
                <w:p w14:paraId="4D103EDA">
                  <w:pPr>
                    <w:pStyle w:val="11"/>
                    <w:spacing w:before="0" w:after="0"/>
                    <w:ind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r>
                    <w:rPr>
                      <w:rFonts w:hint="eastAsia" w:cs="Times New Roman"/>
                      <w:b w:val="0"/>
                      <w:bCs w:val="0"/>
                      <w:color w:val="auto"/>
                      <w:sz w:val="21"/>
                      <w:szCs w:val="21"/>
                      <w:lang w:val="en-US" w:eastAsia="zh-CN"/>
                    </w:rPr>
                    <w:t>本项目</w:t>
                  </w:r>
                  <w:r>
                    <w:rPr>
                      <w:rFonts w:hint="eastAsia" w:cs="Times New Roman"/>
                      <w:b w:val="0"/>
                      <w:bCs w:val="0"/>
                      <w:color w:val="auto"/>
                      <w:sz w:val="21"/>
                      <w:szCs w:val="21"/>
                      <w:lang w:eastAsia="zh-CN"/>
                    </w:rPr>
                    <w:t>生活污水、纯水机浓水、器皿清洗废水进入化粪池处理达标后排入市政污水管网</w:t>
                  </w:r>
                  <w:r>
                    <w:rPr>
                      <w:rFonts w:hint="default" w:ascii="Times New Roman" w:hAnsi="Times New Roman" w:cs="Times New Roman"/>
                      <w:color w:val="auto"/>
                      <w:sz w:val="21"/>
                      <w:szCs w:val="21"/>
                    </w:rPr>
                    <w:t>。</w:t>
                  </w:r>
                </w:p>
              </w:tc>
              <w:tc>
                <w:tcPr>
                  <w:tcW w:w="183" w:type="pct"/>
                  <w:noWrap w:val="0"/>
                  <w:vAlign w:val="center"/>
                </w:tcPr>
                <w:p w14:paraId="49FF4376">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相符</w:t>
                  </w:r>
                </w:p>
              </w:tc>
            </w:tr>
            <w:tr w14:paraId="7C196D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48" w:type="pct"/>
                  <w:vMerge w:val="continue"/>
                  <w:noWrap w:val="0"/>
                  <w:vAlign w:val="center"/>
                </w:tcPr>
                <w:p w14:paraId="0D7B7E89">
                  <w:pPr>
                    <w:widowControl/>
                    <w:jc w:val="left"/>
                    <w:rPr>
                      <w:rFonts w:hint="default" w:ascii="Times New Roman" w:hAnsi="Times New Roman" w:cs="Times New Roman"/>
                      <w:color w:val="auto"/>
                      <w:szCs w:val="21"/>
                    </w:rPr>
                  </w:pPr>
                </w:p>
              </w:tc>
              <w:tc>
                <w:tcPr>
                  <w:tcW w:w="273" w:type="pct"/>
                  <w:vMerge w:val="continue"/>
                  <w:noWrap w:val="0"/>
                  <w:vAlign w:val="center"/>
                </w:tcPr>
                <w:p w14:paraId="754348AC">
                  <w:pPr>
                    <w:widowControl/>
                    <w:jc w:val="left"/>
                    <w:rPr>
                      <w:rFonts w:hint="default" w:ascii="Times New Roman" w:hAnsi="Times New Roman" w:cs="Times New Roman"/>
                      <w:color w:val="auto"/>
                      <w:szCs w:val="21"/>
                    </w:rPr>
                  </w:pPr>
                </w:p>
              </w:tc>
              <w:tc>
                <w:tcPr>
                  <w:tcW w:w="273" w:type="pct"/>
                  <w:vMerge w:val="continue"/>
                  <w:noWrap w:val="0"/>
                  <w:vAlign w:val="center"/>
                </w:tcPr>
                <w:p w14:paraId="6C2863B9">
                  <w:pPr>
                    <w:widowControl/>
                    <w:jc w:val="left"/>
                    <w:rPr>
                      <w:rFonts w:hint="default" w:ascii="Times New Roman" w:hAnsi="Times New Roman" w:cs="Times New Roman"/>
                      <w:color w:val="auto"/>
                      <w:szCs w:val="21"/>
                    </w:rPr>
                  </w:pPr>
                </w:p>
              </w:tc>
              <w:tc>
                <w:tcPr>
                  <w:tcW w:w="164" w:type="pct"/>
                  <w:vMerge w:val="continue"/>
                  <w:noWrap w:val="0"/>
                  <w:vAlign w:val="center"/>
                </w:tcPr>
                <w:p w14:paraId="12484293">
                  <w:pPr>
                    <w:widowControl/>
                    <w:jc w:val="left"/>
                    <w:rPr>
                      <w:rFonts w:hint="default" w:ascii="Times New Roman" w:hAnsi="Times New Roman" w:cs="Times New Roman"/>
                      <w:color w:val="auto"/>
                      <w:szCs w:val="21"/>
                    </w:rPr>
                  </w:pPr>
                </w:p>
              </w:tc>
              <w:tc>
                <w:tcPr>
                  <w:tcW w:w="384" w:type="pct"/>
                  <w:noWrap w:val="0"/>
                  <w:vAlign w:val="center"/>
                </w:tcPr>
                <w:p w14:paraId="7E195CB7">
                  <w:pPr>
                    <w:jc w:val="center"/>
                    <w:rPr>
                      <w:rFonts w:hint="default" w:ascii="Times New Roman" w:hAnsi="Times New Roman" w:cs="Times New Roman"/>
                      <w:color w:val="auto"/>
                      <w:szCs w:val="21"/>
                    </w:rPr>
                  </w:pPr>
                  <w:r>
                    <w:rPr>
                      <w:rFonts w:hint="default" w:ascii="Times New Roman" w:hAnsi="Times New Roman" w:cs="Times New Roman"/>
                      <w:color w:val="auto"/>
                      <w:szCs w:val="21"/>
                    </w:rPr>
                    <w:t>环境风险防控</w:t>
                  </w:r>
                </w:p>
              </w:tc>
              <w:tc>
                <w:tcPr>
                  <w:tcW w:w="1774" w:type="pct"/>
                  <w:noWrap w:val="0"/>
                  <w:vAlign w:val="center"/>
                </w:tcPr>
                <w:p w14:paraId="59B63D4A">
                  <w:pPr>
                    <w:rPr>
                      <w:rFonts w:hint="default" w:ascii="Times New Roman" w:hAnsi="Times New Roman" w:cs="Times New Roman"/>
                      <w:color w:val="auto"/>
                      <w:szCs w:val="21"/>
                    </w:rPr>
                  </w:pPr>
                  <w:r>
                    <w:rPr>
                      <w:rFonts w:hint="default" w:ascii="Times New Roman" w:hAnsi="Times New Roman" w:cs="Times New Roman"/>
                      <w:color w:val="auto"/>
                      <w:szCs w:val="21"/>
                    </w:rPr>
                    <w:t>1</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rPr>
                    <w:t>加强重点饮用水水源地河流、重要跨界河流以及其他敏感水体风险防控，编制</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一河一策一图</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应急处置方案。</w:t>
                  </w:r>
                </w:p>
                <w:p w14:paraId="66281FCE">
                  <w:pPr>
                    <w:rPr>
                      <w:rFonts w:hint="default" w:ascii="Times New Roman" w:hAnsi="Times New Roman" w:cs="Times New Roman"/>
                      <w:color w:val="auto"/>
                      <w:szCs w:val="21"/>
                    </w:rPr>
                  </w:pPr>
                  <w:r>
                    <w:rPr>
                      <w:rFonts w:hint="default" w:ascii="Times New Roman" w:hAnsi="Times New Roman" w:cs="Times New Roman"/>
                      <w:color w:val="auto"/>
                      <w:szCs w:val="21"/>
                    </w:rPr>
                    <w:t>2</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rPr>
                    <w:t>将环境风险纳入常态化管理，推进危险废物、重金属及尾矿环境、核与辐射等重点领域环境风险防控，加强新污染物治理，健全环境应急体系，推动环境风险防控由应急管理向全过程管理转变，提升生态环境安全保障水平。</w:t>
                  </w:r>
                </w:p>
                <w:p w14:paraId="43581AC6">
                  <w:pPr>
                    <w:rPr>
                      <w:rFonts w:hint="default" w:ascii="Times New Roman" w:hAnsi="Times New Roman" w:cs="Times New Roman"/>
                      <w:color w:val="auto"/>
                      <w:szCs w:val="21"/>
                    </w:rPr>
                  </w:pPr>
                  <w:r>
                    <w:rPr>
                      <w:rFonts w:hint="default" w:ascii="Times New Roman" w:hAnsi="Times New Roman" w:cs="Times New Roman"/>
                      <w:color w:val="auto"/>
                      <w:szCs w:val="21"/>
                    </w:rPr>
                    <w:t>3</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rPr>
                    <w:t>对使用有毒有害化学物质或在生产过程中排放国家认定的新污染物的企业，全面实施强制性清洁生产审核。加强石化、涂料、纺织印染、橡胶、医药等行业新污染物环境风险管控。</w:t>
                  </w:r>
                </w:p>
                <w:p w14:paraId="2475AB75">
                  <w:pPr>
                    <w:rPr>
                      <w:rFonts w:hint="default" w:ascii="Times New Roman" w:hAnsi="Times New Roman" w:cs="Times New Roman"/>
                      <w:color w:val="auto"/>
                      <w:szCs w:val="21"/>
                    </w:rPr>
                  </w:pPr>
                  <w:r>
                    <w:rPr>
                      <w:rFonts w:hint="default" w:ascii="Times New Roman" w:hAnsi="Times New Roman" w:cs="Times New Roman"/>
                      <w:color w:val="auto"/>
                      <w:szCs w:val="21"/>
                    </w:rPr>
                    <w:t>4</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rPr>
                    <w:t>落实工业企业环境风险防范主体责任。以石油加工、煤化工、化学原料和化学制品制造、涉重金属企业为重点，合理布设企业生产设施，强化工业企业应急导流槽、事故调蓄池、雨污总排口应急闸坝等事故排水收集截留设施，以及传输泵、配套管线、应急发电等事故水输送设施等建设，合理设置消防处置用事故水池和雨水监测池。</w:t>
                  </w:r>
                </w:p>
                <w:p w14:paraId="3EB7266D">
                  <w:pPr>
                    <w:pStyle w:val="11"/>
                    <w:spacing w:before="0" w:after="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排放《有毒有害水污染物名录》中所列有毒有害水污染物的企事业单位和其他生产经营者，应当对排污口和周边环境进行监测，评估环境风险，排查环境安全隐患，并公开有毒有害水污染物信息，采取有效措施防范环境风险。</w:t>
                  </w:r>
                </w:p>
              </w:tc>
              <w:tc>
                <w:tcPr>
                  <w:tcW w:w="1697" w:type="pct"/>
                  <w:noWrap w:val="0"/>
                  <w:vAlign w:val="center"/>
                </w:tcPr>
                <w:p w14:paraId="1322ED54">
                  <w:pPr>
                    <w:rPr>
                      <w:rFonts w:hint="default" w:ascii="Times New Roman" w:hAnsi="Times New Roman" w:cs="Times New Roman"/>
                      <w:color w:val="auto"/>
                      <w:szCs w:val="21"/>
                    </w:rPr>
                  </w:pPr>
                  <w:r>
                    <w:rPr>
                      <w:rFonts w:hint="default" w:ascii="Times New Roman" w:hAnsi="Times New Roman" w:cs="Times New Roman"/>
                      <w:color w:val="auto"/>
                      <w:szCs w:val="21"/>
                    </w:rPr>
                    <w:t>1、本项目</w:t>
                  </w:r>
                  <w:r>
                    <w:rPr>
                      <w:rFonts w:hint="eastAsia" w:cs="Times New Roman"/>
                      <w:b w:val="0"/>
                      <w:bCs w:val="0"/>
                      <w:color w:val="auto"/>
                      <w:sz w:val="21"/>
                      <w:szCs w:val="21"/>
                      <w:lang w:eastAsia="zh-CN"/>
                    </w:rPr>
                    <w:t>生活污水、纯水机浓水、器皿清洗废水进入化粪池处理达标后排入市政污水管网</w:t>
                  </w:r>
                  <w:r>
                    <w:rPr>
                      <w:rFonts w:hint="eastAsia" w:ascii="Times New Roman" w:hAnsi="Times New Roman" w:cs="Times New Roman"/>
                      <w:color w:val="auto"/>
                      <w:szCs w:val="21"/>
                      <w:lang w:val="en-US" w:eastAsia="zh-CN"/>
                    </w:rPr>
                    <w:t>，不</w:t>
                  </w:r>
                  <w:r>
                    <w:rPr>
                      <w:rFonts w:hint="default" w:ascii="Times New Roman" w:hAnsi="Times New Roman" w:cs="Times New Roman"/>
                      <w:color w:val="auto"/>
                      <w:szCs w:val="21"/>
                    </w:rPr>
                    <w:t>直接向周边河流排放污染物。</w:t>
                  </w:r>
                </w:p>
                <w:p w14:paraId="28A00D3C">
                  <w:pPr>
                    <w:pStyle w:val="11"/>
                    <w:spacing w:before="0" w:after="0"/>
                    <w:ind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2、本项目所产生的危险废物暂存于危废贮存库，定期委托</w:t>
                  </w:r>
                  <w:r>
                    <w:rPr>
                      <w:rFonts w:hint="eastAsia" w:ascii="Times New Roman" w:hAnsi="Times New Roman" w:cs="Times New Roman"/>
                      <w:color w:val="auto"/>
                      <w:sz w:val="21"/>
                      <w:szCs w:val="21"/>
                      <w:lang w:val="en-US" w:eastAsia="zh-CN"/>
                    </w:rPr>
                    <w:t>有资质单位进行</w:t>
                  </w:r>
                  <w:r>
                    <w:rPr>
                      <w:rFonts w:hint="default" w:ascii="Times New Roman" w:hAnsi="Times New Roman" w:cs="Times New Roman"/>
                      <w:color w:val="auto"/>
                      <w:sz w:val="21"/>
                      <w:szCs w:val="21"/>
                    </w:rPr>
                    <w:t>处置。本项目建成后，企业</w:t>
                  </w:r>
                  <w:r>
                    <w:rPr>
                      <w:rFonts w:hint="eastAsia" w:ascii="Times New Roman" w:hAnsi="Times New Roman" w:cs="Times New Roman"/>
                      <w:color w:val="auto"/>
                      <w:sz w:val="21"/>
                      <w:szCs w:val="21"/>
                      <w:lang w:val="en-US" w:eastAsia="zh-CN"/>
                    </w:rPr>
                    <w:t>应</w:t>
                  </w:r>
                  <w:r>
                    <w:rPr>
                      <w:rFonts w:hint="default" w:ascii="Times New Roman" w:hAnsi="Times New Roman" w:cs="Times New Roman"/>
                      <w:color w:val="auto"/>
                      <w:sz w:val="21"/>
                      <w:szCs w:val="21"/>
                    </w:rPr>
                    <w:t>重新</w:t>
                  </w:r>
                  <w:r>
                    <w:rPr>
                      <w:rFonts w:hint="eastAsia" w:ascii="Times New Roman" w:hAnsi="Times New Roman" w:cs="Times New Roman"/>
                      <w:color w:val="auto"/>
                      <w:sz w:val="21"/>
                      <w:szCs w:val="21"/>
                      <w:lang w:val="en-US" w:eastAsia="zh-CN"/>
                    </w:rPr>
                    <w:t>编制</w:t>
                  </w:r>
                  <w:r>
                    <w:rPr>
                      <w:rFonts w:hint="default" w:ascii="Times New Roman" w:hAnsi="Times New Roman" w:cs="Times New Roman"/>
                      <w:color w:val="auto"/>
                      <w:sz w:val="21"/>
                      <w:szCs w:val="21"/>
                    </w:rPr>
                    <w:t>应急预案，将环境风险纳入常态化管理。</w:t>
                  </w:r>
                </w:p>
                <w:p w14:paraId="76C23850">
                  <w:pPr>
                    <w:pStyle w:val="11"/>
                    <w:spacing w:before="0" w:after="0"/>
                    <w:ind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3、本项目</w:t>
                  </w:r>
                  <w:r>
                    <w:rPr>
                      <w:rFonts w:hint="eastAsia" w:ascii="Times New Roman" w:hAnsi="Times New Roman" w:cs="Times New Roman"/>
                      <w:color w:val="auto"/>
                      <w:sz w:val="21"/>
                      <w:szCs w:val="21"/>
                      <w:lang w:val="en-US" w:eastAsia="zh-CN"/>
                    </w:rPr>
                    <w:t>不属于</w:t>
                  </w:r>
                  <w:r>
                    <w:rPr>
                      <w:rFonts w:hint="default" w:ascii="Times New Roman" w:hAnsi="Times New Roman" w:cs="Times New Roman"/>
                      <w:color w:val="auto"/>
                      <w:sz w:val="21"/>
                      <w:szCs w:val="21"/>
                    </w:rPr>
                    <w:t>石化、涂料、纺织印染、橡胶、医药等行业。</w:t>
                  </w:r>
                </w:p>
                <w:p w14:paraId="7C0F8E74">
                  <w:pPr>
                    <w:pStyle w:val="11"/>
                    <w:spacing w:before="0" w:after="0"/>
                    <w:ind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r>
                    <w:rPr>
                      <w:rFonts w:hint="eastAsia" w:cs="Times New Roman"/>
                      <w:b w:val="0"/>
                      <w:bCs w:val="0"/>
                      <w:color w:val="auto"/>
                      <w:sz w:val="21"/>
                      <w:szCs w:val="21"/>
                      <w:lang w:val="en-US" w:eastAsia="zh-CN"/>
                    </w:rPr>
                    <w:t>本项目</w:t>
                  </w:r>
                  <w:r>
                    <w:rPr>
                      <w:rFonts w:hint="eastAsia" w:cs="Times New Roman"/>
                      <w:b w:val="0"/>
                      <w:bCs w:val="0"/>
                      <w:color w:val="auto"/>
                      <w:sz w:val="21"/>
                      <w:szCs w:val="21"/>
                      <w:lang w:eastAsia="zh-CN"/>
                    </w:rPr>
                    <w:t>生活污水、纯水机浓水、器皿清洗废水进入化粪池处理达标后排入市政污水管网</w:t>
                  </w:r>
                  <w:r>
                    <w:rPr>
                      <w:rFonts w:hint="default" w:ascii="Times New Roman" w:hAnsi="Times New Roman" w:cs="Times New Roman"/>
                      <w:color w:val="auto"/>
                      <w:sz w:val="21"/>
                      <w:szCs w:val="21"/>
                    </w:rPr>
                    <w:t>。</w:t>
                  </w:r>
                </w:p>
                <w:p w14:paraId="5F1EEFB1">
                  <w:pPr>
                    <w:pStyle w:val="11"/>
                    <w:spacing w:before="0" w:after="0"/>
                    <w:ind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5、本项目不涉及有毒有害污染物的排放。</w:t>
                  </w:r>
                </w:p>
              </w:tc>
              <w:tc>
                <w:tcPr>
                  <w:tcW w:w="183" w:type="pct"/>
                  <w:noWrap w:val="0"/>
                  <w:vAlign w:val="center"/>
                </w:tcPr>
                <w:p w14:paraId="6BED7543">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相符</w:t>
                  </w:r>
                </w:p>
              </w:tc>
            </w:tr>
            <w:tr w14:paraId="366446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48" w:type="pct"/>
                  <w:vMerge w:val="continue"/>
                  <w:noWrap w:val="0"/>
                  <w:vAlign w:val="center"/>
                </w:tcPr>
                <w:p w14:paraId="41507B02">
                  <w:pPr>
                    <w:widowControl/>
                    <w:jc w:val="left"/>
                    <w:rPr>
                      <w:rFonts w:hint="default" w:ascii="Times New Roman" w:hAnsi="Times New Roman" w:cs="Times New Roman"/>
                      <w:color w:val="auto"/>
                      <w:szCs w:val="21"/>
                    </w:rPr>
                  </w:pPr>
                </w:p>
              </w:tc>
              <w:tc>
                <w:tcPr>
                  <w:tcW w:w="273" w:type="pct"/>
                  <w:vMerge w:val="continue"/>
                  <w:noWrap w:val="0"/>
                  <w:vAlign w:val="center"/>
                </w:tcPr>
                <w:p w14:paraId="504365D3">
                  <w:pPr>
                    <w:widowControl/>
                    <w:jc w:val="left"/>
                    <w:rPr>
                      <w:rFonts w:hint="default" w:ascii="Times New Roman" w:hAnsi="Times New Roman" w:cs="Times New Roman"/>
                      <w:color w:val="auto"/>
                      <w:szCs w:val="21"/>
                    </w:rPr>
                  </w:pPr>
                </w:p>
              </w:tc>
              <w:tc>
                <w:tcPr>
                  <w:tcW w:w="273" w:type="pct"/>
                  <w:vMerge w:val="continue"/>
                  <w:noWrap w:val="0"/>
                  <w:vAlign w:val="center"/>
                </w:tcPr>
                <w:p w14:paraId="1195BFDD">
                  <w:pPr>
                    <w:widowControl/>
                    <w:jc w:val="left"/>
                    <w:rPr>
                      <w:rFonts w:hint="default" w:ascii="Times New Roman" w:hAnsi="Times New Roman" w:cs="Times New Roman"/>
                      <w:color w:val="auto"/>
                      <w:szCs w:val="21"/>
                    </w:rPr>
                  </w:pPr>
                </w:p>
              </w:tc>
              <w:tc>
                <w:tcPr>
                  <w:tcW w:w="164" w:type="pct"/>
                  <w:vMerge w:val="continue"/>
                  <w:noWrap w:val="0"/>
                  <w:vAlign w:val="center"/>
                </w:tcPr>
                <w:p w14:paraId="05DEF6FD">
                  <w:pPr>
                    <w:widowControl/>
                    <w:jc w:val="left"/>
                    <w:rPr>
                      <w:rFonts w:hint="default" w:ascii="Times New Roman" w:hAnsi="Times New Roman" w:cs="Times New Roman"/>
                      <w:color w:val="auto"/>
                      <w:szCs w:val="21"/>
                    </w:rPr>
                  </w:pPr>
                </w:p>
              </w:tc>
              <w:tc>
                <w:tcPr>
                  <w:tcW w:w="384" w:type="pct"/>
                  <w:noWrap w:val="0"/>
                  <w:vAlign w:val="center"/>
                </w:tcPr>
                <w:p w14:paraId="02943F44">
                  <w:pPr>
                    <w:jc w:val="center"/>
                    <w:rPr>
                      <w:rFonts w:hint="default" w:ascii="Times New Roman" w:hAnsi="Times New Roman" w:cs="Times New Roman"/>
                      <w:color w:val="auto"/>
                      <w:szCs w:val="21"/>
                    </w:rPr>
                  </w:pPr>
                  <w:r>
                    <w:rPr>
                      <w:rFonts w:hint="default" w:ascii="Times New Roman" w:hAnsi="Times New Roman" w:cs="Times New Roman"/>
                      <w:color w:val="auto"/>
                      <w:szCs w:val="21"/>
                    </w:rPr>
                    <w:t>资源开发效率要求</w:t>
                  </w:r>
                </w:p>
              </w:tc>
              <w:tc>
                <w:tcPr>
                  <w:tcW w:w="1774" w:type="pct"/>
                  <w:noWrap w:val="0"/>
                  <w:vAlign w:val="center"/>
                </w:tcPr>
                <w:p w14:paraId="68E90724">
                  <w:pPr>
                    <w:rPr>
                      <w:rFonts w:hint="default" w:ascii="Times New Roman" w:hAnsi="Times New Roman" w:cs="Times New Roman"/>
                      <w:color w:val="auto"/>
                      <w:szCs w:val="21"/>
                    </w:rPr>
                  </w:pPr>
                  <w:r>
                    <w:rPr>
                      <w:rFonts w:hint="default" w:ascii="Times New Roman" w:hAnsi="Times New Roman" w:cs="Times New Roman"/>
                      <w:color w:val="auto"/>
                      <w:szCs w:val="21"/>
                    </w:rPr>
                    <w:t>1</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rPr>
                    <w:t>2025年，陕西省用水总量107.0亿立方米，万元国内生产总值用水量比2020年下降12%，万元工业增加值用水量比2020年下降10%。</w:t>
                  </w:r>
                </w:p>
                <w:p w14:paraId="466B941B">
                  <w:pPr>
                    <w:rPr>
                      <w:rFonts w:hint="default" w:ascii="Times New Roman" w:hAnsi="Times New Roman" w:cs="Times New Roman"/>
                      <w:color w:val="auto"/>
                      <w:szCs w:val="21"/>
                    </w:rPr>
                  </w:pPr>
                  <w:r>
                    <w:rPr>
                      <w:rFonts w:hint="default" w:ascii="Times New Roman" w:hAnsi="Times New Roman" w:cs="Times New Roman"/>
                      <w:color w:val="auto"/>
                      <w:szCs w:val="21"/>
                    </w:rPr>
                    <w:t>2</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rPr>
                    <w:t>到2025年，非化石能源消费比重达16%，可再生电力装机总量达到6500万千瓦。到2030年，非化石能源消费比重达到20%左右。</w:t>
                  </w:r>
                </w:p>
                <w:p w14:paraId="54138D3B">
                  <w:pPr>
                    <w:pStyle w:val="11"/>
                    <w:spacing w:before="0" w:after="0"/>
                    <w:ind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稳妥有序推进大气污染防治重点区域燃料类煤气发生炉、燃煤热风炉、加热炉、热处理炉、干燥炉（窑）以及建材行业煤炭减量，实施清洁电力和天然气替代。</w:t>
                  </w:r>
                </w:p>
              </w:tc>
              <w:tc>
                <w:tcPr>
                  <w:tcW w:w="1697" w:type="pct"/>
                  <w:noWrap w:val="0"/>
                  <w:vAlign w:val="center"/>
                </w:tcPr>
                <w:p w14:paraId="5B09F48C">
                  <w:pPr>
                    <w:rPr>
                      <w:rFonts w:hint="default" w:ascii="Times New Roman" w:hAnsi="Times New Roman" w:cs="Times New Roman"/>
                      <w:color w:val="auto"/>
                      <w:szCs w:val="21"/>
                    </w:rPr>
                  </w:pPr>
                  <w:r>
                    <w:rPr>
                      <w:rFonts w:hint="default" w:ascii="Times New Roman" w:hAnsi="Times New Roman" w:cs="Times New Roman"/>
                      <w:color w:val="auto"/>
                      <w:szCs w:val="21"/>
                    </w:rPr>
                    <w:t>1、</w:t>
                  </w:r>
                  <w:r>
                    <w:rPr>
                      <w:rFonts w:hint="eastAsia" w:cs="Times New Roman"/>
                      <w:b w:val="0"/>
                      <w:bCs w:val="0"/>
                      <w:color w:val="auto"/>
                      <w:sz w:val="21"/>
                      <w:szCs w:val="21"/>
                      <w:lang w:val="en-US" w:eastAsia="zh-CN"/>
                    </w:rPr>
                    <w:t>本项目</w:t>
                  </w:r>
                  <w:r>
                    <w:rPr>
                      <w:rFonts w:hint="eastAsia" w:cs="Times New Roman"/>
                      <w:b w:val="0"/>
                      <w:bCs w:val="0"/>
                      <w:color w:val="auto"/>
                      <w:sz w:val="21"/>
                      <w:szCs w:val="21"/>
                      <w:lang w:eastAsia="zh-CN"/>
                    </w:rPr>
                    <w:t>生活污水、纯水机浓水、器皿清洗废水进入化粪池处理达标后排入市政污水管网</w:t>
                  </w:r>
                  <w:r>
                    <w:rPr>
                      <w:rFonts w:hint="default" w:ascii="Times New Roman" w:hAnsi="Times New Roman" w:cs="Times New Roman"/>
                      <w:color w:val="auto"/>
                      <w:szCs w:val="21"/>
                    </w:rPr>
                    <w:t>，</w:t>
                  </w:r>
                  <w:r>
                    <w:rPr>
                      <w:rFonts w:hint="eastAsia" w:ascii="Times New Roman" w:hAnsi="Times New Roman" w:cs="Times New Roman"/>
                      <w:color w:val="auto"/>
                      <w:szCs w:val="21"/>
                      <w:lang w:val="en-US" w:eastAsia="zh-CN"/>
                    </w:rPr>
                    <w:t>用水量较少</w:t>
                  </w:r>
                  <w:r>
                    <w:rPr>
                      <w:rFonts w:hint="default" w:ascii="Times New Roman" w:hAnsi="Times New Roman" w:cs="Times New Roman"/>
                      <w:color w:val="auto"/>
                      <w:szCs w:val="21"/>
                    </w:rPr>
                    <w:t>；</w:t>
                  </w:r>
                </w:p>
                <w:p w14:paraId="6BAF0151">
                  <w:pPr>
                    <w:pStyle w:val="11"/>
                    <w:spacing w:before="0" w:after="0"/>
                    <w:ind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2、本项目使用水、电作为能源，均为清洁能源。</w:t>
                  </w:r>
                </w:p>
                <w:p w14:paraId="54DA94AC">
                  <w:pPr>
                    <w:pStyle w:val="11"/>
                    <w:spacing w:before="0" w:after="0"/>
                    <w:ind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r>
                    <w:rPr>
                      <w:rFonts w:hint="eastAsia" w:ascii="Times New Roman" w:hAnsi="Times New Roman" w:cs="Times New Roman"/>
                      <w:color w:val="auto"/>
                      <w:sz w:val="21"/>
                      <w:szCs w:val="21"/>
                      <w:lang w:val="en-US" w:eastAsia="zh-CN"/>
                    </w:rPr>
                    <w:t>本项目不使用</w:t>
                  </w:r>
                  <w:r>
                    <w:rPr>
                      <w:rFonts w:hint="default" w:ascii="Times New Roman" w:hAnsi="Times New Roman" w:cs="Times New Roman"/>
                      <w:color w:val="auto"/>
                      <w:sz w:val="21"/>
                      <w:szCs w:val="21"/>
                    </w:rPr>
                    <w:t>煤气发生炉、燃煤热风炉、加热炉、热处理炉、干燥炉（窑）</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使用水、电作为能源，均为清洁能源。</w:t>
                  </w:r>
                </w:p>
              </w:tc>
              <w:tc>
                <w:tcPr>
                  <w:tcW w:w="183" w:type="pct"/>
                  <w:noWrap w:val="0"/>
                  <w:vAlign w:val="center"/>
                </w:tcPr>
                <w:p w14:paraId="17D81866">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相符</w:t>
                  </w:r>
                </w:p>
              </w:tc>
            </w:tr>
          </w:tbl>
          <w:p w14:paraId="5A936E59">
            <w:pPr>
              <w:spacing w:line="360" w:lineRule="auto"/>
              <w:outlineLvl w:val="0"/>
              <w:rPr>
                <w:rFonts w:hint="default" w:eastAsia="黑体" w:cs="Times New Roman"/>
                <w:sz w:val="30"/>
                <w:vertAlign w:val="baseline"/>
                <w:lang w:val="en-US" w:eastAsia="zh-CN"/>
              </w:rPr>
            </w:pPr>
          </w:p>
        </w:tc>
      </w:tr>
    </w:tbl>
    <w:p w14:paraId="28A9AD95">
      <w:pPr>
        <w:spacing w:line="360" w:lineRule="auto"/>
        <w:outlineLvl w:val="0"/>
        <w:rPr>
          <w:rFonts w:hint="default" w:eastAsia="黑体" w:cs="Times New Roman"/>
          <w:sz w:val="30"/>
          <w:lang w:val="en-US" w:eastAsia="zh-CN"/>
        </w:rPr>
        <w:sectPr>
          <w:footerReference r:id="rId6" w:type="default"/>
          <w:pgSz w:w="16838" w:h="11906" w:orient="landscape"/>
          <w:pgMar w:top="1531" w:right="1701" w:bottom="1531" w:left="1701"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7245"/>
      </w:tblGrid>
      <w:tr w14:paraId="3F703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tcPr>
          <w:p w14:paraId="44EF0909">
            <w:pPr>
              <w:spacing w:line="360" w:lineRule="auto"/>
              <w:outlineLvl w:val="0"/>
              <w:rPr>
                <w:rFonts w:hint="default" w:eastAsia="黑体" w:cs="Times New Roman"/>
                <w:color w:val="auto"/>
                <w:sz w:val="30"/>
                <w:vertAlign w:val="baseline"/>
                <w:lang w:val="en-US" w:eastAsia="zh-CN"/>
              </w:rPr>
            </w:pPr>
          </w:p>
        </w:tc>
        <w:tc>
          <w:tcPr>
            <w:tcW w:w="7245" w:type="dxa"/>
          </w:tcPr>
          <w:p w14:paraId="5C352032">
            <w:pPr>
              <w:numPr>
                <w:ilvl w:val="0"/>
                <w:numId w:val="3"/>
              </w:numPr>
              <w:spacing w:line="360" w:lineRule="auto"/>
              <w:ind w:left="0" w:leftChars="0"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一说明</w:t>
            </w:r>
          </w:p>
          <w:p w14:paraId="090EAC05">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根据一图一表分析可知，本项目位于重点管控单元内，符合</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三线一单</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重点管控分区的各项要求。</w:t>
            </w:r>
          </w:p>
          <w:p w14:paraId="567F5E00">
            <w:pPr>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sz w:val="24"/>
                <w:szCs w:val="24"/>
                <w:lang w:val="en-US" w:eastAsia="zh-CN"/>
              </w:rPr>
              <w:t>综上所述，项目建设符合</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三线一单</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相关要求。</w:t>
            </w:r>
          </w:p>
          <w:p w14:paraId="57449716">
            <w:pPr>
              <w:numPr>
                <w:ilvl w:val="0"/>
                <w:numId w:val="2"/>
              </w:numPr>
              <w:spacing w:line="360" w:lineRule="auto"/>
              <w:ind w:left="0" w:leftChars="0" w:firstLine="0" w:firstLineChars="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与相关环保政策符合性分析</w:t>
            </w:r>
          </w:p>
          <w:p w14:paraId="54E62337">
            <w:pPr>
              <w:pStyle w:val="15"/>
              <w:numPr>
                <w:ilvl w:val="0"/>
                <w:numId w:val="0"/>
              </w:numPr>
              <w:spacing w:line="360" w:lineRule="auto"/>
              <w:ind w:leftChars="0"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本项目与相关环保政策符合性分析见下表。</w:t>
            </w:r>
          </w:p>
          <w:p w14:paraId="73F3642D">
            <w:pPr>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表1-3</w:t>
            </w:r>
            <w:r>
              <w:rPr>
                <w:rFonts w:hint="eastAsia" w:ascii="Times New Roman" w:hAnsi="Times New Roman" w:cs="Times New Roman"/>
                <w:b/>
                <w:bCs/>
                <w:color w:val="auto"/>
                <w:sz w:val="24"/>
                <w:szCs w:val="24"/>
                <w:lang w:val="en-US" w:eastAsia="zh-CN"/>
              </w:rPr>
              <w:t xml:space="preserve">  </w:t>
            </w:r>
            <w:r>
              <w:rPr>
                <w:rFonts w:hint="default" w:ascii="Times New Roman" w:hAnsi="Times New Roman" w:cs="Times New Roman"/>
                <w:b/>
                <w:bCs/>
                <w:color w:val="auto"/>
                <w:sz w:val="24"/>
                <w:szCs w:val="24"/>
                <w:lang w:val="en-US" w:eastAsia="zh-CN"/>
              </w:rPr>
              <w:t>本项目与相关环保政策符合性分析</w:t>
            </w:r>
          </w:p>
          <w:tbl>
            <w:tblPr>
              <w:tblStyle w:val="26"/>
              <w:tblW w:w="497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234"/>
              <w:gridCol w:w="3388"/>
              <w:gridCol w:w="1664"/>
              <w:gridCol w:w="711"/>
            </w:tblGrid>
            <w:tr w14:paraId="440C73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81" w:type="pct"/>
                  <w:tcBorders>
                    <w:tl2br w:val="nil"/>
                    <w:tr2bl w:val="nil"/>
                  </w:tcBorders>
                  <w:noWrap w:val="0"/>
                  <w:vAlign w:val="center"/>
                </w:tcPr>
                <w:p w14:paraId="0ADAA031">
                  <w:pPr>
                    <w:keepNext w:val="0"/>
                    <w:keepLines w:val="0"/>
                    <w:pageBreakBefore w:val="0"/>
                    <w:kinsoku/>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1"/>
                      <w:szCs w:val="21"/>
                    </w:rPr>
                  </w:pPr>
                  <w:r>
                    <w:rPr>
                      <w:rFonts w:hint="default" w:ascii="Times New Roman" w:hAnsi="Times New Roman" w:eastAsia="宋体" w:cs="Times New Roman"/>
                      <w:b/>
                      <w:bCs/>
                      <w:color w:val="auto"/>
                      <w:kern w:val="21"/>
                      <w:szCs w:val="21"/>
                    </w:rPr>
                    <w:t>文件</w:t>
                  </w:r>
                </w:p>
              </w:tc>
              <w:tc>
                <w:tcPr>
                  <w:tcW w:w="2421" w:type="pct"/>
                  <w:tcBorders>
                    <w:tl2br w:val="nil"/>
                    <w:tr2bl w:val="nil"/>
                  </w:tcBorders>
                  <w:noWrap w:val="0"/>
                  <w:vAlign w:val="center"/>
                </w:tcPr>
                <w:p w14:paraId="20A28BA0">
                  <w:pPr>
                    <w:keepNext w:val="0"/>
                    <w:keepLines w:val="0"/>
                    <w:pageBreakBefore w:val="0"/>
                    <w:kinsoku/>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1"/>
                      <w:szCs w:val="21"/>
                    </w:rPr>
                  </w:pPr>
                  <w:r>
                    <w:rPr>
                      <w:rFonts w:hint="default" w:ascii="Times New Roman" w:hAnsi="Times New Roman" w:eastAsia="宋体" w:cs="Times New Roman"/>
                      <w:b/>
                      <w:bCs/>
                      <w:color w:val="auto"/>
                      <w:kern w:val="21"/>
                      <w:szCs w:val="21"/>
                    </w:rPr>
                    <w:t>政策要求</w:t>
                  </w:r>
                </w:p>
              </w:tc>
              <w:tc>
                <w:tcPr>
                  <w:tcW w:w="1189" w:type="pct"/>
                  <w:tcBorders>
                    <w:tl2br w:val="nil"/>
                    <w:tr2bl w:val="nil"/>
                  </w:tcBorders>
                  <w:noWrap w:val="0"/>
                  <w:vAlign w:val="center"/>
                </w:tcPr>
                <w:p w14:paraId="3C847D66">
                  <w:pPr>
                    <w:keepNext w:val="0"/>
                    <w:keepLines w:val="0"/>
                    <w:pageBreakBefore w:val="0"/>
                    <w:kinsoku/>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1"/>
                      <w:szCs w:val="21"/>
                    </w:rPr>
                  </w:pPr>
                  <w:r>
                    <w:rPr>
                      <w:rFonts w:hint="default" w:ascii="Times New Roman" w:hAnsi="Times New Roman" w:eastAsia="宋体" w:cs="Times New Roman"/>
                      <w:b/>
                      <w:bCs/>
                      <w:color w:val="auto"/>
                      <w:kern w:val="21"/>
                      <w:szCs w:val="21"/>
                    </w:rPr>
                    <w:t>本项目情况</w:t>
                  </w:r>
                </w:p>
              </w:tc>
              <w:tc>
                <w:tcPr>
                  <w:tcW w:w="508" w:type="pct"/>
                  <w:tcBorders>
                    <w:tl2br w:val="nil"/>
                    <w:tr2bl w:val="nil"/>
                  </w:tcBorders>
                  <w:noWrap w:val="0"/>
                  <w:vAlign w:val="center"/>
                </w:tcPr>
                <w:p w14:paraId="0B6BCF43">
                  <w:pPr>
                    <w:keepNext w:val="0"/>
                    <w:keepLines w:val="0"/>
                    <w:pageBreakBefore w:val="0"/>
                    <w:kinsoku/>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1"/>
                      <w:szCs w:val="21"/>
                    </w:rPr>
                  </w:pPr>
                  <w:r>
                    <w:rPr>
                      <w:rFonts w:hint="default" w:ascii="Times New Roman" w:hAnsi="Times New Roman" w:eastAsia="宋体" w:cs="Times New Roman"/>
                      <w:b/>
                      <w:bCs/>
                      <w:color w:val="auto"/>
                      <w:kern w:val="21"/>
                      <w:szCs w:val="21"/>
                    </w:rPr>
                    <w:t>相符性</w:t>
                  </w:r>
                </w:p>
              </w:tc>
            </w:tr>
            <w:tr w14:paraId="359C38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81" w:type="pct"/>
                  <w:tcBorders>
                    <w:tl2br w:val="nil"/>
                    <w:tr2bl w:val="nil"/>
                  </w:tcBorders>
                  <w:noWrap w:val="0"/>
                  <w:vAlign w:val="center"/>
                </w:tcPr>
                <w:p w14:paraId="25C74B4F">
                  <w:pPr>
                    <w:keepNext w:val="0"/>
                    <w:keepLines w:val="0"/>
                    <w:pageBreakBefore w:val="0"/>
                    <w:kinsoku/>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1"/>
                      <w:szCs w:val="21"/>
                    </w:rPr>
                  </w:pPr>
                  <w:r>
                    <w:rPr>
                      <w:rFonts w:hint="default" w:ascii="Times New Roman" w:hAnsi="Times New Roman" w:eastAsia="宋体" w:cs="Times New Roman"/>
                      <w:b w:val="0"/>
                      <w:bCs w:val="0"/>
                      <w:color w:val="auto"/>
                      <w:kern w:val="21"/>
                      <w:szCs w:val="21"/>
                      <w:lang w:val="en-US" w:eastAsia="zh-CN"/>
                    </w:rPr>
                    <w:t>《</w:t>
                  </w:r>
                  <w:r>
                    <w:rPr>
                      <w:rFonts w:hint="default" w:ascii="Times New Roman" w:hAnsi="Times New Roman" w:eastAsia="宋体" w:cs="Times New Roman"/>
                      <w:b w:val="0"/>
                      <w:bCs w:val="0"/>
                      <w:color w:val="auto"/>
                      <w:kern w:val="21"/>
                      <w:szCs w:val="21"/>
                    </w:rPr>
                    <w:t>国家污染防治技术指导目录</w:t>
                  </w:r>
                  <w:r>
                    <w:rPr>
                      <w:rFonts w:hint="default" w:ascii="Times New Roman" w:hAnsi="Times New Roman" w:eastAsia="宋体" w:cs="Times New Roman"/>
                      <w:b w:val="0"/>
                      <w:bCs w:val="0"/>
                      <w:color w:val="auto"/>
                      <w:kern w:val="21"/>
                      <w:szCs w:val="21"/>
                      <w:lang w:val="en-US" w:eastAsia="zh-CN"/>
                    </w:rPr>
                    <w:t>》</w:t>
                  </w:r>
                  <w:r>
                    <w:rPr>
                      <w:rFonts w:hint="default" w:ascii="Times New Roman" w:hAnsi="Times New Roman" w:eastAsia="宋体" w:cs="Times New Roman"/>
                      <w:b w:val="0"/>
                      <w:bCs w:val="0"/>
                      <w:color w:val="auto"/>
                      <w:kern w:val="21"/>
                      <w:szCs w:val="21"/>
                    </w:rPr>
                    <w:t>（2024 年</w:t>
                  </w:r>
                  <w:r>
                    <w:rPr>
                      <w:rFonts w:hint="eastAsia" w:cs="Times New Roman"/>
                      <w:b w:val="0"/>
                      <w:bCs w:val="0"/>
                      <w:color w:val="auto"/>
                      <w:kern w:val="21"/>
                      <w:szCs w:val="21"/>
                      <w:lang w:eastAsia="zh-CN"/>
                    </w:rPr>
                    <w:t>，</w:t>
                  </w:r>
                  <w:r>
                    <w:rPr>
                      <w:rFonts w:hint="default" w:ascii="Times New Roman" w:hAnsi="Times New Roman" w:eastAsia="宋体" w:cs="Times New Roman"/>
                      <w:b w:val="0"/>
                      <w:bCs w:val="0"/>
                      <w:color w:val="auto"/>
                      <w:kern w:val="21"/>
                      <w:szCs w:val="21"/>
                    </w:rPr>
                    <w:t>限制类和淘汰类</w:t>
                  </w:r>
                  <w:r>
                    <w:rPr>
                      <w:rFonts w:hint="default" w:ascii="Times New Roman" w:hAnsi="Times New Roman" w:eastAsia="宋体" w:cs="Times New Roman"/>
                      <w:b w:val="0"/>
                      <w:bCs w:val="0"/>
                      <w:color w:val="auto"/>
                      <w:kern w:val="21"/>
                      <w:szCs w:val="21"/>
                      <w:lang w:eastAsia="zh-CN"/>
                    </w:rPr>
                    <w:t>）</w:t>
                  </w:r>
                </w:p>
              </w:tc>
              <w:tc>
                <w:tcPr>
                  <w:tcW w:w="2421" w:type="pct"/>
                  <w:tcBorders>
                    <w:tl2br w:val="nil"/>
                    <w:tr2bl w:val="nil"/>
                  </w:tcBorders>
                  <w:noWrap w:val="0"/>
                  <w:vAlign w:val="center"/>
                </w:tcPr>
                <w:p w14:paraId="28598FB4">
                  <w:pPr>
                    <w:keepNext w:val="0"/>
                    <w:keepLines w:val="0"/>
                    <w:pageBreakBefore w:val="0"/>
                    <w:kinsoku/>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1"/>
                      <w:szCs w:val="21"/>
                    </w:rPr>
                  </w:pPr>
                  <w:r>
                    <w:rPr>
                      <w:rFonts w:hint="eastAsia"/>
                      <w:color w:val="auto"/>
                      <w:szCs w:val="21"/>
                      <w:lang w:val="en-US" w:eastAsia="zh-CN"/>
                    </w:rPr>
                    <w:t>有机废气限制类和淘汰类</w:t>
                  </w:r>
                  <w:r>
                    <w:rPr>
                      <w:rFonts w:hint="eastAsia"/>
                      <w:color w:val="auto"/>
                      <w:szCs w:val="21"/>
                    </w:rPr>
                    <w:t>技术：VOCs(挥发性有机物)洗涤吸收净化技术</w:t>
                  </w:r>
                  <w:r>
                    <w:rPr>
                      <w:rFonts w:hint="eastAsia"/>
                      <w:color w:val="auto"/>
                      <w:szCs w:val="21"/>
                      <w:lang w:eastAsia="zh-CN"/>
                    </w:rPr>
                    <w:t>；</w:t>
                  </w:r>
                  <w:r>
                    <w:rPr>
                      <w:rFonts w:hint="eastAsia"/>
                      <w:color w:val="auto"/>
                      <w:szCs w:val="21"/>
                      <w:lang w:val="en-US" w:eastAsia="zh-CN"/>
                    </w:rPr>
                    <w:t>吸附-脱附VOCs治理技术；VOCs光催化及其组合净化技术；</w:t>
                  </w:r>
                  <w:r>
                    <w:rPr>
                      <w:rFonts w:hint="eastAsia"/>
                      <w:color w:val="auto"/>
                      <w:szCs w:val="21"/>
                    </w:rPr>
                    <w:t>VOCs低温等离子体及其组合净化技术</w:t>
                  </w:r>
                  <w:r>
                    <w:rPr>
                      <w:rFonts w:hint="eastAsia"/>
                      <w:color w:val="auto"/>
                      <w:szCs w:val="21"/>
                      <w:lang w:eastAsia="zh-CN"/>
                    </w:rPr>
                    <w:t>；</w:t>
                  </w:r>
                  <w:r>
                    <w:rPr>
                      <w:rFonts w:hint="eastAsia"/>
                      <w:color w:val="auto"/>
                      <w:szCs w:val="21"/>
                    </w:rPr>
                    <w:t>VOCs光解（光氧化）及其组合净化技术。</w:t>
                  </w:r>
                </w:p>
              </w:tc>
              <w:tc>
                <w:tcPr>
                  <w:tcW w:w="1189" w:type="pct"/>
                  <w:tcBorders>
                    <w:tl2br w:val="nil"/>
                    <w:tr2bl w:val="nil"/>
                  </w:tcBorders>
                  <w:shd w:val="clear" w:color="auto" w:fill="auto"/>
                  <w:noWrap w:val="0"/>
                  <w:vAlign w:val="center"/>
                </w:tcPr>
                <w:p w14:paraId="13632AA3">
                  <w:pPr>
                    <w:autoSpaceDE w:val="0"/>
                    <w:autoSpaceDN w:val="0"/>
                    <w:adjustRightInd w:val="0"/>
                    <w:snapToGrid w:val="0"/>
                    <w:rPr>
                      <w:rFonts w:hint="default"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本项目有机废气</w:t>
                  </w:r>
                  <w:r>
                    <w:rPr>
                      <w:rFonts w:hint="default" w:ascii="Times New Roman" w:hAnsi="Times New Roman" w:eastAsia="宋体" w:cs="Times New Roman"/>
                      <w:color w:val="auto"/>
                      <w:kern w:val="2"/>
                      <w:sz w:val="21"/>
                      <w:szCs w:val="21"/>
                      <w:lang w:val="en-US" w:eastAsia="zh-CN" w:bidi="ar-SA"/>
                    </w:rPr>
                    <w:t>经</w:t>
                  </w:r>
                  <w:r>
                    <w:rPr>
                      <w:rFonts w:hint="eastAsia"/>
                      <w:color w:val="auto"/>
                      <w:szCs w:val="21"/>
                    </w:rPr>
                    <w:t>通风橱</w:t>
                  </w:r>
                  <w:r>
                    <w:rPr>
                      <w:rFonts w:hint="eastAsia"/>
                      <w:color w:val="auto"/>
                      <w:szCs w:val="21"/>
                      <w:lang w:val="en-US" w:eastAsia="zh-CN"/>
                    </w:rPr>
                    <w:t>/密闭式管道</w:t>
                  </w:r>
                  <w:r>
                    <w:rPr>
                      <w:rFonts w:hint="eastAsia"/>
                      <w:color w:val="auto"/>
                      <w:szCs w:val="21"/>
                    </w:rPr>
                    <w:t>+二级活性炭吸附</w:t>
                  </w:r>
                  <w:r>
                    <w:rPr>
                      <w:color w:val="auto"/>
                      <w:szCs w:val="21"/>
                    </w:rPr>
                    <w:t>+</w:t>
                  </w:r>
                  <w:r>
                    <w:rPr>
                      <w:rFonts w:hint="eastAsia"/>
                      <w:color w:val="auto"/>
                      <w:szCs w:val="21"/>
                      <w:lang w:val="en-US" w:eastAsia="zh-CN"/>
                    </w:rPr>
                    <w:t>15m</w:t>
                  </w:r>
                  <w:r>
                    <w:rPr>
                      <w:color w:val="auto"/>
                      <w:szCs w:val="21"/>
                    </w:rPr>
                    <w:t>排气筒</w:t>
                  </w:r>
                  <w:r>
                    <w:rPr>
                      <w:rFonts w:hint="eastAsia"/>
                      <w:color w:val="auto"/>
                    </w:rPr>
                    <w:t>（DA001）</w:t>
                  </w:r>
                  <w:r>
                    <w:rPr>
                      <w:rFonts w:hint="eastAsia"/>
                      <w:color w:val="auto"/>
                      <w:szCs w:val="21"/>
                    </w:rPr>
                    <w:t>处理</w:t>
                  </w:r>
                  <w:r>
                    <w:rPr>
                      <w:rFonts w:hint="eastAsia"/>
                      <w:color w:val="auto"/>
                      <w:szCs w:val="21"/>
                      <w:lang w:val="en-US" w:eastAsia="zh-CN"/>
                    </w:rPr>
                    <w:t>后</w:t>
                  </w:r>
                  <w:r>
                    <w:rPr>
                      <w:rFonts w:hint="eastAsia"/>
                      <w:color w:val="auto"/>
                      <w:szCs w:val="21"/>
                    </w:rPr>
                    <w:t>达标排放</w:t>
                  </w:r>
                  <w:r>
                    <w:rPr>
                      <w:rFonts w:hint="eastAsia"/>
                      <w:color w:val="auto"/>
                      <w:szCs w:val="21"/>
                      <w:lang w:eastAsia="zh-CN"/>
                    </w:rPr>
                    <w:t>。</w:t>
                  </w:r>
                  <w:r>
                    <w:rPr>
                      <w:rFonts w:hint="eastAsia"/>
                      <w:color w:val="auto"/>
                      <w:szCs w:val="21"/>
                      <w:lang w:val="en-US" w:eastAsia="zh-CN"/>
                    </w:rPr>
                    <w:t>不属于所列限制类和淘汰类</w:t>
                  </w:r>
                  <w:r>
                    <w:rPr>
                      <w:rFonts w:hint="eastAsia"/>
                      <w:color w:val="auto"/>
                      <w:szCs w:val="21"/>
                    </w:rPr>
                    <w:t>技术</w:t>
                  </w:r>
                  <w:r>
                    <w:rPr>
                      <w:rFonts w:hint="eastAsia"/>
                      <w:color w:val="auto"/>
                      <w:szCs w:val="21"/>
                      <w:lang w:eastAsia="zh-CN"/>
                    </w:rPr>
                    <w:t>。</w:t>
                  </w:r>
                </w:p>
              </w:tc>
              <w:tc>
                <w:tcPr>
                  <w:tcW w:w="508" w:type="pct"/>
                  <w:tcBorders>
                    <w:tl2br w:val="nil"/>
                    <w:tr2bl w:val="nil"/>
                  </w:tcBorders>
                  <w:shd w:val="clear" w:color="auto" w:fill="auto"/>
                  <w:noWrap w:val="0"/>
                  <w:vAlign w:val="center"/>
                </w:tcPr>
                <w:p w14:paraId="43796775">
                  <w:pPr>
                    <w:autoSpaceDE w:val="0"/>
                    <w:autoSpaceDN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符合</w:t>
                  </w:r>
                </w:p>
              </w:tc>
            </w:tr>
            <w:tr w14:paraId="290472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81" w:type="pct"/>
                  <w:tcBorders>
                    <w:tl2br w:val="nil"/>
                    <w:tr2bl w:val="nil"/>
                  </w:tcBorders>
                  <w:noWrap w:val="0"/>
                  <w:vAlign w:val="center"/>
                </w:tcPr>
                <w:p w14:paraId="755CC1CC">
                  <w:pPr>
                    <w:keepNext w:val="0"/>
                    <w:keepLines w:val="0"/>
                    <w:pageBreakBefore w:val="0"/>
                    <w:kinsoku/>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1"/>
                      <w:szCs w:val="21"/>
                    </w:rPr>
                  </w:pPr>
                  <w:r>
                    <w:rPr>
                      <w:rFonts w:hint="eastAsia"/>
                      <w:color w:val="auto"/>
                      <w:szCs w:val="21"/>
                      <w:lang w:val="en-US" w:eastAsia="zh-CN"/>
                    </w:rPr>
                    <w:t>2025年</w:t>
                  </w:r>
                  <w:r>
                    <w:rPr>
                      <w:rFonts w:hint="default" w:ascii="Times New Roman" w:hAnsi="Times New Roman" w:eastAsia="宋体" w:cs="Times New Roman"/>
                      <w:b w:val="0"/>
                      <w:bCs w:val="0"/>
                      <w:color w:val="auto"/>
                      <w:kern w:val="21"/>
                      <w:szCs w:val="21"/>
                    </w:rPr>
                    <w:t>《国家污染防治技术指导目录》</w:t>
                  </w:r>
                </w:p>
              </w:tc>
              <w:tc>
                <w:tcPr>
                  <w:tcW w:w="2421" w:type="pct"/>
                  <w:tcBorders>
                    <w:tl2br w:val="nil"/>
                    <w:tr2bl w:val="nil"/>
                  </w:tcBorders>
                  <w:noWrap w:val="0"/>
                  <w:vAlign w:val="center"/>
                </w:tcPr>
                <w:p w14:paraId="2F4D1A0F">
                  <w:pPr>
                    <w:keepNext w:val="0"/>
                    <w:keepLines w:val="0"/>
                    <w:pageBreakBefore w:val="0"/>
                    <w:kinsoku/>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1"/>
                      <w:szCs w:val="21"/>
                    </w:rPr>
                  </w:pPr>
                  <w:r>
                    <w:rPr>
                      <w:rFonts w:hint="eastAsia"/>
                      <w:color w:val="auto"/>
                      <w:szCs w:val="21"/>
                      <w:lang w:val="en-US" w:eastAsia="zh-CN"/>
                    </w:rPr>
                    <w:t>有机废气</w:t>
                  </w:r>
                  <w:r>
                    <w:rPr>
                      <w:rFonts w:hint="eastAsia"/>
                      <w:color w:val="auto"/>
                      <w:szCs w:val="21"/>
                    </w:rPr>
                    <w:t>低效类技术：VOCs(挥发性有机物)洗涤吸收净化技术</w:t>
                  </w:r>
                  <w:r>
                    <w:rPr>
                      <w:rFonts w:hint="eastAsia"/>
                      <w:color w:val="auto"/>
                      <w:szCs w:val="21"/>
                      <w:lang w:eastAsia="zh-CN"/>
                    </w:rPr>
                    <w:t>；</w:t>
                  </w:r>
                  <w:r>
                    <w:rPr>
                      <w:rFonts w:hint="eastAsia"/>
                      <w:color w:val="auto"/>
                      <w:szCs w:val="21"/>
                    </w:rPr>
                    <w:t>VOCs光催化及其组合净化技术</w:t>
                  </w:r>
                  <w:r>
                    <w:rPr>
                      <w:rFonts w:hint="eastAsia"/>
                      <w:color w:val="auto"/>
                      <w:szCs w:val="21"/>
                      <w:lang w:eastAsia="zh-CN"/>
                    </w:rPr>
                    <w:t>；</w:t>
                  </w:r>
                  <w:r>
                    <w:rPr>
                      <w:rFonts w:hint="eastAsia"/>
                      <w:color w:val="auto"/>
                      <w:szCs w:val="21"/>
                    </w:rPr>
                    <w:t>VOCs低温等离子体及其组合净化技术</w:t>
                  </w:r>
                  <w:r>
                    <w:rPr>
                      <w:rFonts w:hint="eastAsia"/>
                      <w:color w:val="auto"/>
                      <w:szCs w:val="21"/>
                      <w:lang w:eastAsia="zh-CN"/>
                    </w:rPr>
                    <w:t>；</w:t>
                  </w:r>
                  <w:r>
                    <w:rPr>
                      <w:rFonts w:hint="eastAsia"/>
                      <w:color w:val="auto"/>
                      <w:szCs w:val="21"/>
                    </w:rPr>
                    <w:t>VOCs光解（光氧化）及其组合净化技术。</w:t>
                  </w:r>
                </w:p>
              </w:tc>
              <w:tc>
                <w:tcPr>
                  <w:tcW w:w="1189" w:type="pct"/>
                  <w:tcBorders>
                    <w:tl2br w:val="nil"/>
                    <w:tr2bl w:val="nil"/>
                  </w:tcBorders>
                  <w:shd w:val="clear" w:color="auto" w:fill="auto"/>
                  <w:noWrap w:val="0"/>
                  <w:vAlign w:val="center"/>
                </w:tcPr>
                <w:p w14:paraId="57F114EC">
                  <w:pPr>
                    <w:autoSpaceDE w:val="0"/>
                    <w:autoSpaceDN w:val="0"/>
                    <w:adjustRightInd w:val="0"/>
                    <w:snapToGrid w:val="0"/>
                    <w:rPr>
                      <w:rFonts w:hint="default"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本项目有机废气</w:t>
                  </w:r>
                  <w:r>
                    <w:rPr>
                      <w:rFonts w:hint="default" w:ascii="Times New Roman" w:hAnsi="Times New Roman" w:eastAsia="宋体" w:cs="Times New Roman"/>
                      <w:color w:val="auto"/>
                      <w:kern w:val="2"/>
                      <w:sz w:val="21"/>
                      <w:szCs w:val="21"/>
                      <w:lang w:val="en-US" w:eastAsia="zh-CN" w:bidi="ar-SA"/>
                    </w:rPr>
                    <w:t>经</w:t>
                  </w:r>
                  <w:r>
                    <w:rPr>
                      <w:rFonts w:hint="eastAsia"/>
                      <w:color w:val="auto"/>
                      <w:szCs w:val="21"/>
                    </w:rPr>
                    <w:t>通风橱</w:t>
                  </w:r>
                  <w:r>
                    <w:rPr>
                      <w:rFonts w:hint="eastAsia"/>
                      <w:color w:val="auto"/>
                      <w:szCs w:val="21"/>
                      <w:lang w:val="en-US" w:eastAsia="zh-CN"/>
                    </w:rPr>
                    <w:t>/密闭式管道</w:t>
                  </w:r>
                  <w:r>
                    <w:rPr>
                      <w:rFonts w:hint="eastAsia"/>
                      <w:color w:val="auto"/>
                      <w:szCs w:val="21"/>
                    </w:rPr>
                    <w:t>+二级活性炭吸附</w:t>
                  </w:r>
                  <w:r>
                    <w:rPr>
                      <w:color w:val="auto"/>
                      <w:szCs w:val="21"/>
                    </w:rPr>
                    <w:t>+</w:t>
                  </w:r>
                  <w:r>
                    <w:rPr>
                      <w:rFonts w:hint="eastAsia"/>
                      <w:color w:val="auto"/>
                      <w:szCs w:val="21"/>
                      <w:lang w:val="en-US" w:eastAsia="zh-CN"/>
                    </w:rPr>
                    <w:t>15m</w:t>
                  </w:r>
                  <w:r>
                    <w:rPr>
                      <w:color w:val="auto"/>
                      <w:szCs w:val="21"/>
                    </w:rPr>
                    <w:t>排气筒</w:t>
                  </w:r>
                  <w:r>
                    <w:rPr>
                      <w:rFonts w:hint="eastAsia"/>
                      <w:color w:val="auto"/>
                    </w:rPr>
                    <w:t>（DA001）</w:t>
                  </w:r>
                  <w:r>
                    <w:rPr>
                      <w:rFonts w:hint="eastAsia"/>
                      <w:color w:val="auto"/>
                      <w:szCs w:val="21"/>
                    </w:rPr>
                    <w:t>处理</w:t>
                  </w:r>
                  <w:r>
                    <w:rPr>
                      <w:rFonts w:hint="eastAsia"/>
                      <w:color w:val="auto"/>
                      <w:szCs w:val="21"/>
                      <w:lang w:val="en-US" w:eastAsia="zh-CN"/>
                    </w:rPr>
                    <w:t>后</w:t>
                  </w:r>
                  <w:r>
                    <w:rPr>
                      <w:rFonts w:hint="eastAsia"/>
                      <w:color w:val="auto"/>
                      <w:szCs w:val="21"/>
                    </w:rPr>
                    <w:t>达标排放</w:t>
                  </w:r>
                  <w:r>
                    <w:rPr>
                      <w:rFonts w:hint="eastAsia"/>
                      <w:color w:val="auto"/>
                      <w:szCs w:val="21"/>
                      <w:lang w:eastAsia="zh-CN"/>
                    </w:rPr>
                    <w:t>。</w:t>
                  </w:r>
                  <w:r>
                    <w:rPr>
                      <w:rFonts w:hint="eastAsia"/>
                      <w:color w:val="auto"/>
                      <w:szCs w:val="21"/>
                      <w:lang w:val="en-US" w:eastAsia="zh-CN"/>
                    </w:rPr>
                    <w:t>不属于所列</w:t>
                  </w:r>
                  <w:r>
                    <w:rPr>
                      <w:rFonts w:hint="eastAsia"/>
                      <w:color w:val="auto"/>
                      <w:szCs w:val="21"/>
                    </w:rPr>
                    <w:t>低效类技术</w:t>
                  </w:r>
                  <w:r>
                    <w:rPr>
                      <w:rFonts w:hint="eastAsia"/>
                      <w:color w:val="auto"/>
                      <w:szCs w:val="21"/>
                      <w:lang w:eastAsia="zh-CN"/>
                    </w:rPr>
                    <w:t>。</w:t>
                  </w:r>
                </w:p>
              </w:tc>
              <w:tc>
                <w:tcPr>
                  <w:tcW w:w="508" w:type="pct"/>
                  <w:tcBorders>
                    <w:tl2br w:val="nil"/>
                    <w:tr2bl w:val="nil"/>
                  </w:tcBorders>
                  <w:shd w:val="clear" w:color="auto" w:fill="auto"/>
                  <w:noWrap w:val="0"/>
                  <w:vAlign w:val="center"/>
                </w:tcPr>
                <w:p w14:paraId="142DB0BD">
                  <w:pPr>
                    <w:autoSpaceDE w:val="0"/>
                    <w:autoSpaceDN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符合</w:t>
                  </w:r>
                </w:p>
              </w:tc>
            </w:tr>
            <w:tr w14:paraId="7FDB46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81" w:type="pct"/>
                  <w:tcBorders>
                    <w:tl2br w:val="nil"/>
                    <w:tr2bl w:val="nil"/>
                  </w:tcBorders>
                  <w:noWrap w:val="0"/>
                  <w:vAlign w:val="center"/>
                </w:tcPr>
                <w:p w14:paraId="03DEBA8A">
                  <w:pPr>
                    <w:keepNext w:val="0"/>
                    <w:keepLines w:val="0"/>
                    <w:pageBreakBefore w:val="0"/>
                    <w:kinsoku/>
                    <w:overflowPunct/>
                    <w:topLinePunct w:val="0"/>
                    <w:autoSpaceDE/>
                    <w:autoSpaceDN/>
                    <w:bidi w:val="0"/>
                    <w:adjustRightInd w:val="0"/>
                    <w:snapToGrid w:val="0"/>
                    <w:spacing w:line="240" w:lineRule="auto"/>
                    <w:ind w:firstLine="0" w:firstLineChars="0"/>
                    <w:jc w:val="center"/>
                    <w:textAlignment w:val="auto"/>
                    <w:rPr>
                      <w:rFonts w:hint="eastAsia"/>
                      <w:color w:val="auto"/>
                      <w:szCs w:val="21"/>
                      <w:lang w:val="en-US" w:eastAsia="zh-CN"/>
                    </w:rPr>
                  </w:pPr>
                  <w:r>
                    <w:rPr>
                      <w:rFonts w:hint="eastAsia"/>
                      <w:color w:val="auto"/>
                      <w:szCs w:val="21"/>
                      <w:lang w:val="en-US" w:eastAsia="zh-CN"/>
                    </w:rPr>
                    <w:t>《工业炉窑大气污染综合治理方案》(环大气[2019]56号)</w:t>
                  </w:r>
                </w:p>
              </w:tc>
              <w:tc>
                <w:tcPr>
                  <w:tcW w:w="2421" w:type="pct"/>
                  <w:tcBorders>
                    <w:tl2br w:val="nil"/>
                    <w:tr2bl w:val="nil"/>
                  </w:tcBorders>
                  <w:noWrap w:val="0"/>
                  <w:vAlign w:val="center"/>
                </w:tcPr>
                <w:p w14:paraId="634B7A6E">
                  <w:pPr>
                    <w:keepNext w:val="0"/>
                    <w:keepLines w:val="0"/>
                    <w:pageBreakBefore w:val="0"/>
                    <w:kinsoku/>
                    <w:overflowPunct/>
                    <w:topLinePunct w:val="0"/>
                    <w:autoSpaceDE/>
                    <w:autoSpaceDN/>
                    <w:bidi w:val="0"/>
                    <w:adjustRightInd w:val="0"/>
                    <w:snapToGrid w:val="0"/>
                    <w:spacing w:line="240" w:lineRule="auto"/>
                    <w:ind w:firstLine="0" w:firstLineChars="0"/>
                    <w:jc w:val="center"/>
                    <w:textAlignment w:val="auto"/>
                    <w:rPr>
                      <w:rFonts w:hint="eastAsia"/>
                      <w:color w:val="auto"/>
                      <w:szCs w:val="21"/>
                      <w:lang w:val="en-US" w:eastAsia="zh-CN"/>
                    </w:rPr>
                  </w:pPr>
                  <w:r>
                    <w:rPr>
                      <w:rFonts w:hint="eastAsia"/>
                      <w:color w:val="auto"/>
                      <w:szCs w:val="21"/>
                      <w:lang w:val="en-US" w:eastAsia="zh-CN"/>
                    </w:rPr>
                    <w:t>（一）加大产业结构调整力度。严格建设项目环境准入。新建涉工业炉窑的建设项目，原则上要入园区，配套建设高效环保治理设施。重点区域严格控制涉工业炉窑建设项目，严禁新增钢铁、焦化、电解铝、铸造、水泥和平板玻璃等产能；严格执行钢铁、水泥、平板玻璃等行业产能置换实施办法；原则上禁止新建燃料类煤气发生炉（园区现有企业统一建设的清洁煤制气中心除外）。（二）加快燃料清洁低碳化替代。对以煤、石油焦、渣油、重油等为燃料的工业炉窑，加快使用清洁低碳能源以及利用工厂余热、电厂热力等进行替代。重点区域禁止掺烧高硫石油焦（硫含量大于3%）。玻璃行业全面禁止掺烧高硫石油焦。</w:t>
                  </w:r>
                </w:p>
              </w:tc>
              <w:tc>
                <w:tcPr>
                  <w:tcW w:w="1189" w:type="pct"/>
                  <w:tcBorders>
                    <w:tl2br w:val="nil"/>
                    <w:tr2bl w:val="nil"/>
                  </w:tcBorders>
                  <w:shd w:val="clear" w:color="auto" w:fill="auto"/>
                  <w:noWrap w:val="0"/>
                  <w:vAlign w:val="center"/>
                </w:tcPr>
                <w:p w14:paraId="7359C62D">
                  <w:pPr>
                    <w:autoSpaceDE w:val="0"/>
                    <w:autoSpaceDN w:val="0"/>
                    <w:adjustRightInd w:val="0"/>
                    <w:snapToGrid w:val="0"/>
                    <w:rPr>
                      <w:rFonts w:hint="default"/>
                      <w:color w:val="auto"/>
                      <w:kern w:val="0"/>
                      <w:szCs w:val="21"/>
                      <w:lang w:val="en-US" w:eastAsia="zh-CN"/>
                    </w:rPr>
                  </w:pPr>
                  <w:r>
                    <w:rPr>
                      <w:rFonts w:hint="default" w:ascii="Times New Roman" w:hAnsi="Times New Roman" w:eastAsia="宋体" w:cs="Times New Roman"/>
                      <w:color w:val="auto"/>
                      <w:kern w:val="0"/>
                      <w:szCs w:val="21"/>
                    </w:rPr>
                    <w:t>本项目为</w:t>
                  </w:r>
                  <w:r>
                    <w:rPr>
                      <w:rFonts w:hint="default" w:ascii="Times New Roman" w:hAnsi="Times New Roman" w:eastAsia="宋体" w:cs="Times New Roman"/>
                      <w:color w:val="auto"/>
                      <w:kern w:val="0"/>
                      <w:szCs w:val="21"/>
                      <w:lang w:val="en-US" w:eastAsia="zh-CN"/>
                    </w:rPr>
                    <w:t>高效氢燃料电池膜电极产业化项目</w:t>
                  </w:r>
                  <w:r>
                    <w:rPr>
                      <w:rFonts w:hint="eastAsia"/>
                      <w:color w:val="auto"/>
                      <w:szCs w:val="21"/>
                      <w:lang w:eastAsia="zh-CN"/>
                    </w:rPr>
                    <w:t>，</w:t>
                  </w:r>
                  <w:r>
                    <w:rPr>
                      <w:rFonts w:hint="eastAsia"/>
                      <w:color w:val="auto"/>
                      <w:szCs w:val="21"/>
                      <w:lang w:val="en-US" w:eastAsia="zh-CN"/>
                    </w:rPr>
                    <w:t>不涉及工业炉窑，</w:t>
                  </w:r>
                  <w:r>
                    <w:rPr>
                      <w:rFonts w:hint="default" w:ascii="Times New Roman" w:hAnsi="Times New Roman" w:eastAsia="宋体" w:cs="Times New Roman"/>
                      <w:color w:val="auto"/>
                      <w:kern w:val="0"/>
                      <w:sz w:val="21"/>
                      <w:szCs w:val="21"/>
                      <w:lang w:val="en-US" w:eastAsia="zh-CN" w:bidi="ar"/>
                    </w:rPr>
                    <w:t>生产工</w:t>
                  </w:r>
                  <w:r>
                    <w:rPr>
                      <w:rFonts w:hint="default" w:ascii="Times New Roman" w:hAnsi="Times New Roman" w:cs="Times New Roman"/>
                      <w:color w:val="auto"/>
                      <w:kern w:val="0"/>
                      <w:sz w:val="21"/>
                      <w:szCs w:val="21"/>
                      <w:lang w:val="en-US" w:eastAsia="zh-CN" w:bidi="ar"/>
                    </w:rPr>
                    <w:t>序</w:t>
                  </w:r>
                  <w:r>
                    <w:rPr>
                      <w:rFonts w:hint="default" w:ascii="Times New Roman" w:hAnsi="Times New Roman" w:eastAsia="宋体" w:cs="Times New Roman"/>
                      <w:color w:val="auto"/>
                      <w:kern w:val="0"/>
                      <w:sz w:val="21"/>
                      <w:szCs w:val="21"/>
                      <w:lang w:val="en-US" w:eastAsia="zh-CN" w:bidi="ar"/>
                    </w:rPr>
                    <w:t>均使用电能。</w:t>
                  </w:r>
                </w:p>
              </w:tc>
              <w:tc>
                <w:tcPr>
                  <w:tcW w:w="508" w:type="pct"/>
                  <w:tcBorders>
                    <w:tl2br w:val="nil"/>
                    <w:tr2bl w:val="nil"/>
                  </w:tcBorders>
                  <w:shd w:val="clear" w:color="auto" w:fill="auto"/>
                  <w:noWrap w:val="0"/>
                  <w:vAlign w:val="center"/>
                </w:tcPr>
                <w:p w14:paraId="06CFB817">
                  <w:pPr>
                    <w:autoSpaceDE w:val="0"/>
                    <w:autoSpaceDN w:val="0"/>
                    <w:adjustRightInd w:val="0"/>
                    <w:snapToGrid w:val="0"/>
                    <w:jc w:val="center"/>
                    <w:rPr>
                      <w:rFonts w:hint="default"/>
                      <w:color w:val="auto"/>
                      <w:szCs w:val="21"/>
                      <w:lang w:val="en-US" w:eastAsia="zh-CN"/>
                    </w:rPr>
                  </w:pPr>
                  <w:r>
                    <w:rPr>
                      <w:rFonts w:hint="eastAsia"/>
                      <w:color w:val="auto"/>
                      <w:szCs w:val="21"/>
                      <w:lang w:val="en-US" w:eastAsia="zh-CN"/>
                    </w:rPr>
                    <w:t>符合</w:t>
                  </w:r>
                </w:p>
              </w:tc>
            </w:tr>
            <w:tr w14:paraId="2591AD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81" w:type="pct"/>
                  <w:tcBorders>
                    <w:tl2br w:val="nil"/>
                    <w:tr2bl w:val="nil"/>
                  </w:tcBorders>
                  <w:noWrap w:val="0"/>
                  <w:vAlign w:val="center"/>
                </w:tcPr>
                <w:p w14:paraId="43912C8B">
                  <w:pPr>
                    <w:autoSpaceDE w:val="0"/>
                    <w:autoSpaceDN w:val="0"/>
                    <w:adjustRightInd w:val="0"/>
                    <w:snapToGrid w:val="0"/>
                    <w:jc w:val="center"/>
                    <w:rPr>
                      <w:rFonts w:hint="default" w:ascii="Times New Roman" w:hAnsi="Times New Roman" w:eastAsia="宋体" w:cs="Times New Roman"/>
                      <w:b w:val="0"/>
                      <w:bCs w:val="0"/>
                      <w:color w:val="auto"/>
                      <w:kern w:val="21"/>
                      <w:szCs w:val="21"/>
                    </w:rPr>
                  </w:pPr>
                  <w:r>
                    <w:rPr>
                      <w:rFonts w:hint="eastAsia"/>
                      <w:color w:val="auto"/>
                      <w:kern w:val="2"/>
                      <w:sz w:val="21"/>
                      <w:szCs w:val="21"/>
                      <w:lang w:val="en-US" w:eastAsia="zh-CN" w:bidi="ar-SA"/>
                    </w:rPr>
                    <w:t>《陕西省“两高”项目重点管理范围（2025年）》（陕发改环资2025〔703〕号）</w:t>
                  </w:r>
                </w:p>
              </w:tc>
              <w:tc>
                <w:tcPr>
                  <w:tcW w:w="2421" w:type="pct"/>
                  <w:tcBorders>
                    <w:tl2br w:val="nil"/>
                    <w:tr2bl w:val="nil"/>
                  </w:tcBorders>
                  <w:noWrap w:val="0"/>
                  <w:vAlign w:val="center"/>
                </w:tcPr>
                <w:p w14:paraId="27B68760">
                  <w:pPr>
                    <w:autoSpaceDE w:val="0"/>
                    <w:adjustRightInd w:val="0"/>
                    <w:snapToGrid w:val="0"/>
                    <w:rPr>
                      <w:rFonts w:hint="default" w:ascii="Times New Roman" w:hAnsi="Times New Roman" w:eastAsia="宋体" w:cs="Times New Roman"/>
                      <w:b/>
                      <w:bCs/>
                      <w:color w:val="auto"/>
                      <w:kern w:val="21"/>
                      <w:szCs w:val="21"/>
                    </w:rPr>
                  </w:pPr>
                  <w:r>
                    <w:rPr>
                      <w:rFonts w:hint="eastAsia"/>
                      <w:color w:val="auto"/>
                      <w:szCs w:val="21"/>
                      <w:lang w:eastAsia="zh-CN"/>
                    </w:rPr>
                    <w:t>“</w:t>
                  </w:r>
                  <w:r>
                    <w:rPr>
                      <w:rFonts w:hint="eastAsia"/>
                      <w:color w:val="auto"/>
                      <w:szCs w:val="21"/>
                      <w:lang w:val="en-US" w:eastAsia="zh-CN"/>
                    </w:rPr>
                    <w:t>两高</w:t>
                  </w:r>
                  <w:r>
                    <w:rPr>
                      <w:rFonts w:hint="eastAsia"/>
                      <w:color w:val="auto"/>
                      <w:szCs w:val="21"/>
                      <w:lang w:eastAsia="zh-CN"/>
                    </w:rPr>
                    <w:t>”</w:t>
                  </w:r>
                  <w:r>
                    <w:rPr>
                      <w:rFonts w:hint="eastAsia"/>
                      <w:color w:val="auto"/>
                      <w:szCs w:val="21"/>
                      <w:lang w:val="en-US" w:eastAsia="zh-CN"/>
                    </w:rPr>
                    <w:t>项目包含石油、煤炭及其他燃料加工业；化学原料和化学制品制造业；非金属矿物制品业；黑色金属冶炼和压延加工业；有色金属冶炼和压延加工业；电力、热力生产和供应业；软件和信息技术服务业。</w:t>
                  </w:r>
                </w:p>
              </w:tc>
              <w:tc>
                <w:tcPr>
                  <w:tcW w:w="1189" w:type="pct"/>
                  <w:tcBorders>
                    <w:tl2br w:val="nil"/>
                    <w:tr2bl w:val="nil"/>
                  </w:tcBorders>
                  <w:noWrap w:val="0"/>
                  <w:vAlign w:val="center"/>
                </w:tcPr>
                <w:p w14:paraId="1D2C5EAD">
                  <w:pPr>
                    <w:autoSpaceDE w:val="0"/>
                    <w:adjustRightInd w:val="0"/>
                    <w:snapToGrid w:val="0"/>
                    <w:rPr>
                      <w:rFonts w:hint="default" w:ascii="Times New Roman" w:hAnsi="Times New Roman" w:eastAsia="宋体" w:cs="Times New Roman"/>
                      <w:b/>
                      <w:bCs/>
                      <w:color w:val="auto"/>
                      <w:kern w:val="21"/>
                      <w:szCs w:val="21"/>
                    </w:rPr>
                  </w:pPr>
                  <w:r>
                    <w:rPr>
                      <w:rFonts w:hint="default" w:ascii="Times New Roman" w:hAnsi="Times New Roman" w:eastAsia="宋体" w:cs="Times New Roman"/>
                      <w:color w:val="auto"/>
                      <w:kern w:val="0"/>
                      <w:szCs w:val="21"/>
                    </w:rPr>
                    <w:t>本项目为</w:t>
                  </w:r>
                  <w:r>
                    <w:rPr>
                      <w:rFonts w:hint="default" w:ascii="Times New Roman" w:hAnsi="Times New Roman" w:eastAsia="宋体" w:cs="Times New Roman"/>
                      <w:color w:val="auto"/>
                      <w:kern w:val="0"/>
                      <w:szCs w:val="21"/>
                      <w:lang w:val="en-US" w:eastAsia="zh-CN"/>
                    </w:rPr>
                    <w:t>高效氢燃料电池膜电极产业化项目</w:t>
                  </w:r>
                  <w:r>
                    <w:rPr>
                      <w:rFonts w:hint="eastAsia"/>
                      <w:color w:val="auto"/>
                      <w:szCs w:val="21"/>
                      <w:lang w:eastAsia="zh-CN"/>
                    </w:rPr>
                    <w:t>，</w:t>
                  </w:r>
                  <w:r>
                    <w:rPr>
                      <w:rFonts w:hint="eastAsia"/>
                      <w:color w:val="auto"/>
                      <w:szCs w:val="21"/>
                      <w:lang w:val="en-US" w:eastAsia="zh-CN"/>
                    </w:rPr>
                    <w:t>不属于所列“两高”项目类。</w:t>
                  </w:r>
                </w:p>
              </w:tc>
              <w:tc>
                <w:tcPr>
                  <w:tcW w:w="508" w:type="pct"/>
                  <w:tcBorders>
                    <w:tl2br w:val="nil"/>
                    <w:tr2bl w:val="nil"/>
                  </w:tcBorders>
                  <w:noWrap w:val="0"/>
                  <w:vAlign w:val="center"/>
                </w:tcPr>
                <w:p w14:paraId="07F66D46">
                  <w:pPr>
                    <w:autoSpaceDE w:val="0"/>
                    <w:autoSpaceDN w:val="0"/>
                    <w:adjustRightInd w:val="0"/>
                    <w:snapToGrid w:val="0"/>
                    <w:jc w:val="center"/>
                    <w:rPr>
                      <w:rFonts w:hint="default" w:ascii="Times New Roman" w:hAnsi="Times New Roman" w:eastAsia="宋体" w:cs="Times New Roman"/>
                      <w:b/>
                      <w:bCs/>
                      <w:color w:val="auto"/>
                      <w:kern w:val="21"/>
                      <w:szCs w:val="21"/>
                    </w:rPr>
                  </w:pPr>
                  <w:r>
                    <w:rPr>
                      <w:rFonts w:hint="eastAsia"/>
                      <w:color w:val="auto"/>
                      <w:szCs w:val="21"/>
                      <w:lang w:val="en-US" w:eastAsia="zh-CN"/>
                    </w:rPr>
                    <w:t>符合</w:t>
                  </w:r>
                </w:p>
              </w:tc>
            </w:tr>
            <w:tr w14:paraId="7416CE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81" w:type="pct"/>
                  <w:tcBorders>
                    <w:tl2br w:val="nil"/>
                    <w:tr2bl w:val="nil"/>
                  </w:tcBorders>
                  <w:noWrap w:val="0"/>
                  <w:vAlign w:val="center"/>
                </w:tcPr>
                <w:p w14:paraId="795E2DD5">
                  <w:pPr>
                    <w:keepNext w:val="0"/>
                    <w:keepLines w:val="0"/>
                    <w:pageBreakBefore w:val="0"/>
                    <w:kinsoku/>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color w:val="auto"/>
                      <w:kern w:val="21"/>
                      <w:szCs w:val="21"/>
                      <w:lang w:val="en"/>
                    </w:rPr>
                    <w:t>《陕西省</w:t>
                  </w:r>
                  <w:r>
                    <w:rPr>
                      <w:rFonts w:hint="default" w:ascii="Times New Roman" w:hAnsi="Times New Roman" w:cs="Times New Roman"/>
                      <w:color w:val="auto"/>
                      <w:kern w:val="21"/>
                      <w:szCs w:val="21"/>
                      <w:lang w:val="en" w:eastAsia="zh-CN"/>
                    </w:rPr>
                    <w:t>“</w:t>
                  </w:r>
                  <w:r>
                    <w:rPr>
                      <w:rFonts w:hint="default" w:ascii="Times New Roman" w:hAnsi="Times New Roman" w:eastAsia="宋体" w:cs="Times New Roman"/>
                      <w:color w:val="auto"/>
                      <w:kern w:val="21"/>
                      <w:szCs w:val="21"/>
                      <w:lang w:val="en"/>
                    </w:rPr>
                    <w:t>十四五</w:t>
                  </w:r>
                  <w:r>
                    <w:rPr>
                      <w:rFonts w:hint="default" w:ascii="Times New Roman" w:hAnsi="Times New Roman" w:cs="Times New Roman"/>
                      <w:color w:val="auto"/>
                      <w:kern w:val="21"/>
                      <w:szCs w:val="21"/>
                      <w:lang w:val="en" w:eastAsia="zh-CN"/>
                    </w:rPr>
                    <w:t>”</w:t>
                  </w:r>
                  <w:r>
                    <w:rPr>
                      <w:rFonts w:hint="default" w:ascii="Times New Roman" w:hAnsi="Times New Roman" w:eastAsia="宋体" w:cs="Times New Roman"/>
                      <w:color w:val="auto"/>
                      <w:kern w:val="21"/>
                      <w:szCs w:val="21"/>
                      <w:lang w:val="en"/>
                    </w:rPr>
                    <w:t>生态环境保护规划》（陕政办发〔2021〕25号）</w:t>
                  </w:r>
                </w:p>
              </w:tc>
              <w:tc>
                <w:tcPr>
                  <w:tcW w:w="2421" w:type="pct"/>
                  <w:tcBorders>
                    <w:tl2br w:val="nil"/>
                    <w:tr2bl w:val="nil"/>
                  </w:tcBorders>
                  <w:noWrap w:val="0"/>
                  <w:vAlign w:val="center"/>
                </w:tcPr>
                <w:p w14:paraId="5162AA85">
                  <w:pPr>
                    <w:keepNext w:val="0"/>
                    <w:keepLines w:val="0"/>
                    <w:pageBreakBefore w:val="0"/>
                    <w:kinsoku/>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21"/>
                      <w:szCs w:val="21"/>
                    </w:rPr>
                  </w:pPr>
                  <w:r>
                    <w:rPr>
                      <w:rFonts w:hint="default" w:ascii="Times New Roman" w:hAnsi="Times New Roman" w:eastAsia="宋体" w:cs="Times New Roman"/>
                      <w:bCs/>
                      <w:color w:val="auto"/>
                      <w:kern w:val="0"/>
                      <w:szCs w:val="21"/>
                      <w:lang w:val="en-GB"/>
                    </w:rPr>
                    <w:t>深化落实环评制度。不断健全环境影响评价等生态源头预防体系，对重点区域、重点流域、重点行业依法开展规划环境影响评价，严格建设项目生态环境准入。</w:t>
                  </w:r>
                </w:p>
              </w:tc>
              <w:tc>
                <w:tcPr>
                  <w:tcW w:w="1189" w:type="pct"/>
                  <w:tcBorders>
                    <w:tl2br w:val="nil"/>
                    <w:tr2bl w:val="nil"/>
                  </w:tcBorders>
                  <w:noWrap w:val="0"/>
                  <w:vAlign w:val="center"/>
                </w:tcPr>
                <w:p w14:paraId="27A65FA6">
                  <w:pPr>
                    <w:keepNext w:val="0"/>
                    <w:keepLines w:val="0"/>
                    <w:pageBreakBefore w:val="0"/>
                    <w:kinsoku/>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21"/>
                      <w:szCs w:val="21"/>
                    </w:rPr>
                  </w:pPr>
                  <w:r>
                    <w:rPr>
                      <w:rFonts w:hint="default" w:ascii="Times New Roman" w:hAnsi="Times New Roman" w:cs="Times New Roman"/>
                      <w:color w:val="auto"/>
                      <w:kern w:val="0"/>
                      <w:szCs w:val="21"/>
                      <w:lang w:bidi="ar"/>
                    </w:rPr>
                    <w:t>本项目</w:t>
                  </w:r>
                  <w:r>
                    <w:rPr>
                      <w:rFonts w:hint="default" w:ascii="Times New Roman" w:hAnsi="Times New Roman" w:cs="Times New Roman"/>
                      <w:color w:val="auto"/>
                      <w:kern w:val="0"/>
                      <w:szCs w:val="21"/>
                      <w:lang w:val="en-US" w:eastAsia="zh-CN" w:bidi="ar"/>
                    </w:rPr>
                    <w:t>位于西咸新区泾河新城永乐镇泾河智造创新产业园</w:t>
                  </w:r>
                  <w:r>
                    <w:rPr>
                      <w:rFonts w:hint="default" w:ascii="Times New Roman" w:hAnsi="Times New Roman" w:eastAsia="宋体" w:cs="Times New Roman"/>
                      <w:bCs/>
                      <w:color w:val="auto"/>
                      <w:kern w:val="0"/>
                      <w:szCs w:val="21"/>
                      <w:lang w:val="en-GB"/>
                    </w:rPr>
                    <w:t>，租用</w:t>
                  </w:r>
                  <w:r>
                    <w:rPr>
                      <w:rFonts w:hint="default" w:ascii="Times New Roman" w:hAnsi="Times New Roman" w:eastAsia="宋体" w:cs="Times New Roman"/>
                      <w:bCs/>
                      <w:color w:val="auto"/>
                      <w:kern w:val="0"/>
                      <w:szCs w:val="21"/>
                      <w:lang w:val="en-US" w:eastAsia="zh-CN"/>
                    </w:rPr>
                    <w:t>已建成厂房</w:t>
                  </w:r>
                  <w:r>
                    <w:rPr>
                      <w:rFonts w:hint="default" w:ascii="Times New Roman" w:hAnsi="Times New Roman" w:eastAsia="宋体" w:cs="Times New Roman"/>
                      <w:bCs/>
                      <w:color w:val="auto"/>
                      <w:kern w:val="0"/>
                      <w:szCs w:val="21"/>
                      <w:lang w:val="en-GB"/>
                    </w:rPr>
                    <w:t>，</w:t>
                  </w:r>
                  <w:r>
                    <w:rPr>
                      <w:rFonts w:hint="default" w:ascii="Times New Roman" w:hAnsi="Times New Roman" w:eastAsia="宋体" w:cs="Times New Roman"/>
                      <w:bCs/>
                      <w:color w:val="auto"/>
                      <w:kern w:val="0"/>
                      <w:szCs w:val="21"/>
                    </w:rPr>
                    <w:t>目前在</w:t>
                  </w:r>
                  <w:r>
                    <w:rPr>
                      <w:rFonts w:hint="default" w:ascii="Times New Roman" w:hAnsi="Times New Roman" w:eastAsia="宋体" w:cs="Times New Roman"/>
                      <w:bCs/>
                      <w:color w:val="auto"/>
                      <w:kern w:val="0"/>
                      <w:szCs w:val="21"/>
                      <w:lang w:val="en-GB"/>
                    </w:rPr>
                    <w:t>开展相关的环评手续。</w:t>
                  </w:r>
                </w:p>
              </w:tc>
              <w:tc>
                <w:tcPr>
                  <w:tcW w:w="508" w:type="pct"/>
                  <w:tcBorders>
                    <w:tl2br w:val="nil"/>
                    <w:tr2bl w:val="nil"/>
                  </w:tcBorders>
                  <w:noWrap w:val="0"/>
                  <w:vAlign w:val="center"/>
                </w:tcPr>
                <w:p w14:paraId="23CAA5C5">
                  <w:pPr>
                    <w:keepNext w:val="0"/>
                    <w:keepLines w:val="0"/>
                    <w:pageBreakBefore w:val="0"/>
                    <w:kinsoku/>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1"/>
                      <w:szCs w:val="21"/>
                    </w:rPr>
                  </w:pPr>
                  <w:r>
                    <w:rPr>
                      <w:rFonts w:hint="default" w:ascii="Times New Roman" w:hAnsi="Times New Roman" w:eastAsia="宋体" w:cs="Times New Roman"/>
                      <w:color w:val="auto"/>
                      <w:kern w:val="0"/>
                      <w:szCs w:val="21"/>
                    </w:rPr>
                    <w:t>符合</w:t>
                  </w:r>
                </w:p>
              </w:tc>
            </w:tr>
            <w:tr w14:paraId="3C45DB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81" w:type="pct"/>
                  <w:tcBorders>
                    <w:tl2br w:val="nil"/>
                    <w:tr2bl w:val="nil"/>
                  </w:tcBorders>
                  <w:noWrap w:val="0"/>
                  <w:vAlign w:val="center"/>
                </w:tcPr>
                <w:p w14:paraId="6146342D">
                  <w:pPr>
                    <w:keepNext w:val="0"/>
                    <w:keepLines w:val="0"/>
                    <w:pageBreakBefore w:val="0"/>
                    <w:widowControl/>
                    <w:suppressLineNumbers w:val="0"/>
                    <w:kinsoku/>
                    <w:wordWrap/>
                    <w:overflowPunct/>
                    <w:topLinePunct w:val="0"/>
                    <w:autoSpaceDE/>
                    <w:autoSpaceDN/>
                    <w:bidi w:val="0"/>
                    <w:adjustRightInd/>
                    <w:snapToGrid/>
                    <w:spacing w:line="264"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 w:eastAsia="zh-CN" w:bidi="ar-SA"/>
                    </w:rPr>
                  </w:pPr>
                  <w:r>
                    <w:rPr>
                      <w:rFonts w:hint="default" w:ascii="Times New Roman" w:hAnsi="Times New Roman" w:eastAsia="宋体" w:cs="Times New Roman"/>
                      <w:color w:val="auto"/>
                      <w:kern w:val="0"/>
                      <w:sz w:val="21"/>
                      <w:szCs w:val="21"/>
                      <w:lang w:val="en-US" w:eastAsia="zh-CN" w:bidi="ar"/>
                    </w:rPr>
                    <w:t>《陕西省大气污染防治条例》</w:t>
                  </w:r>
                  <w:r>
                    <w:rPr>
                      <w:rFonts w:hint="default"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第三次修正</w:t>
                  </w:r>
                  <w:r>
                    <w:rPr>
                      <w:rFonts w:hint="default" w:ascii="Times New Roman" w:hAnsi="Times New Roman" w:cs="Times New Roman"/>
                      <w:color w:val="auto"/>
                      <w:kern w:val="0"/>
                      <w:sz w:val="21"/>
                      <w:szCs w:val="21"/>
                      <w:lang w:val="en-US" w:eastAsia="zh-CN" w:bidi="ar"/>
                    </w:rPr>
                    <w:t>）</w:t>
                  </w:r>
                </w:p>
              </w:tc>
              <w:tc>
                <w:tcPr>
                  <w:tcW w:w="2421" w:type="pct"/>
                  <w:tcBorders>
                    <w:tl2br w:val="nil"/>
                    <w:tr2bl w:val="nil"/>
                  </w:tcBorders>
                  <w:noWrap w:val="0"/>
                  <w:vAlign w:val="center"/>
                </w:tcPr>
                <w:p w14:paraId="30B9E015">
                  <w:pPr>
                    <w:keepNext w:val="0"/>
                    <w:keepLines w:val="0"/>
                    <w:pageBreakBefore w:val="0"/>
                    <w:widowControl/>
                    <w:suppressLineNumbers w:val="0"/>
                    <w:kinsoku/>
                    <w:wordWrap/>
                    <w:overflowPunct/>
                    <w:topLinePunct w:val="0"/>
                    <w:autoSpaceDE/>
                    <w:autoSpaceDN/>
                    <w:bidi w:val="0"/>
                    <w:adjustRightInd/>
                    <w:snapToGrid/>
                    <w:spacing w:line="264" w:lineRule="auto"/>
                    <w:ind w:left="0" w:leftChars="0" w:right="0" w:rightChars="0" w:firstLine="0" w:firstLineChars="0"/>
                    <w:jc w:val="left"/>
                    <w:textAlignment w:val="auto"/>
                    <w:rPr>
                      <w:rFonts w:hint="default" w:ascii="Times New Roman" w:hAnsi="Times New Roman" w:eastAsia="宋体" w:cs="Times New Roman"/>
                      <w:color w:val="auto"/>
                      <w:kern w:val="0"/>
                      <w:sz w:val="21"/>
                      <w:szCs w:val="21"/>
                      <w:lang w:val="en-GB" w:eastAsia="zh-CN" w:bidi="ar-SA"/>
                    </w:rPr>
                  </w:pPr>
                  <w:r>
                    <w:rPr>
                      <w:rFonts w:hint="default" w:ascii="Times New Roman" w:hAnsi="Times New Roman" w:eastAsia="宋体" w:cs="Times New Roman"/>
                      <w:color w:val="auto"/>
                      <w:kern w:val="0"/>
                      <w:sz w:val="21"/>
                      <w:szCs w:val="21"/>
                      <w:lang w:val="en-US" w:eastAsia="zh-CN" w:bidi="ar"/>
                    </w:rPr>
                    <w:t>企业应当优先采用能源和原材料利用效率高、污染物排放量少的清洁生产技术、工艺和装备，减少大气污染物的产生和排放。</w:t>
                  </w:r>
                </w:p>
              </w:tc>
              <w:tc>
                <w:tcPr>
                  <w:tcW w:w="1189" w:type="pct"/>
                  <w:tcBorders>
                    <w:tl2br w:val="nil"/>
                    <w:tr2bl w:val="nil"/>
                  </w:tcBorders>
                  <w:noWrap w:val="0"/>
                  <w:vAlign w:val="center"/>
                </w:tcPr>
                <w:p w14:paraId="29037468">
                  <w:pPr>
                    <w:keepNext w:val="0"/>
                    <w:keepLines w:val="0"/>
                    <w:pageBreakBefore w:val="0"/>
                    <w:widowControl/>
                    <w:suppressLineNumbers w:val="0"/>
                    <w:kinsoku/>
                    <w:wordWrap/>
                    <w:overflowPunct/>
                    <w:topLinePunct w:val="0"/>
                    <w:autoSpaceDE/>
                    <w:autoSpaceDN/>
                    <w:bidi w:val="0"/>
                    <w:adjustRightInd/>
                    <w:snapToGrid/>
                    <w:spacing w:line="264"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lang w:val="en-GB" w:eastAsia="zh-CN" w:bidi="ar-SA"/>
                    </w:rPr>
                  </w:pPr>
                  <w:r>
                    <w:rPr>
                      <w:rFonts w:hint="default" w:ascii="Times New Roman" w:hAnsi="Times New Roman" w:eastAsia="宋体" w:cs="Times New Roman"/>
                      <w:color w:val="auto"/>
                      <w:kern w:val="0"/>
                      <w:sz w:val="21"/>
                      <w:szCs w:val="21"/>
                      <w:lang w:val="en-US" w:eastAsia="zh-CN" w:bidi="ar"/>
                    </w:rPr>
                    <w:t>本项目生产工</w:t>
                  </w:r>
                  <w:r>
                    <w:rPr>
                      <w:rFonts w:hint="default" w:ascii="Times New Roman" w:hAnsi="Times New Roman" w:cs="Times New Roman"/>
                      <w:color w:val="auto"/>
                      <w:kern w:val="0"/>
                      <w:sz w:val="21"/>
                      <w:szCs w:val="21"/>
                      <w:lang w:val="en-US" w:eastAsia="zh-CN" w:bidi="ar"/>
                    </w:rPr>
                    <w:t>序</w:t>
                  </w:r>
                  <w:r>
                    <w:rPr>
                      <w:rFonts w:hint="default" w:ascii="Times New Roman" w:hAnsi="Times New Roman" w:eastAsia="宋体" w:cs="Times New Roman"/>
                      <w:color w:val="auto"/>
                      <w:kern w:val="0"/>
                      <w:sz w:val="21"/>
                      <w:szCs w:val="21"/>
                      <w:lang w:val="en-US" w:eastAsia="zh-CN" w:bidi="ar"/>
                    </w:rPr>
                    <w:t>均使用电能。</w:t>
                  </w:r>
                </w:p>
              </w:tc>
              <w:tc>
                <w:tcPr>
                  <w:tcW w:w="508" w:type="pct"/>
                  <w:tcBorders>
                    <w:tl2br w:val="nil"/>
                    <w:tr2bl w:val="nil"/>
                  </w:tcBorders>
                  <w:noWrap w:val="0"/>
                  <w:vAlign w:val="center"/>
                </w:tcPr>
                <w:p w14:paraId="4AE04946">
                  <w:pPr>
                    <w:keepNext w:val="0"/>
                    <w:keepLines w:val="0"/>
                    <w:pageBreakBefore w:val="0"/>
                    <w:kinsoku/>
                    <w:wordWrap/>
                    <w:overflowPunct/>
                    <w:topLinePunct w:val="0"/>
                    <w:autoSpaceDE/>
                    <w:autoSpaceDN/>
                    <w:bidi w:val="0"/>
                    <w:adjustRightInd/>
                    <w:snapToGrid/>
                    <w:spacing w:line="264"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符合</w:t>
                  </w:r>
                </w:p>
              </w:tc>
            </w:tr>
            <w:tr w14:paraId="2BCD61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81" w:type="pct"/>
                  <w:tcBorders>
                    <w:tl2br w:val="nil"/>
                    <w:tr2bl w:val="nil"/>
                  </w:tcBorders>
                  <w:noWrap w:val="0"/>
                  <w:vAlign w:val="center"/>
                </w:tcPr>
                <w:p w14:paraId="54737C82">
                  <w:pPr>
                    <w:keepNext w:val="0"/>
                    <w:keepLines w:val="0"/>
                    <w:pageBreakBefore w:val="0"/>
                    <w:widowControl/>
                    <w:suppressLineNumbers w:val="0"/>
                    <w:kinsoku/>
                    <w:overflowPunct/>
                    <w:autoSpaceDE/>
                    <w:autoSpaceDN/>
                    <w:bidi w:val="0"/>
                    <w:spacing w:line="264"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《陕西省大气污染治理专项</w:t>
                  </w:r>
                </w:p>
                <w:p w14:paraId="4F85E579">
                  <w:pPr>
                    <w:keepNext w:val="0"/>
                    <w:keepLines w:val="0"/>
                    <w:pageBreakBefore w:val="0"/>
                    <w:widowControl/>
                    <w:suppressLineNumbers w:val="0"/>
                    <w:kinsoku/>
                    <w:overflowPunct/>
                    <w:autoSpaceDE/>
                    <w:autoSpaceDN/>
                    <w:bidi w:val="0"/>
                    <w:spacing w:line="264"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行动方案》</w:t>
                  </w:r>
                </w:p>
                <w:p w14:paraId="740D9F65">
                  <w:pPr>
                    <w:keepNext w:val="0"/>
                    <w:keepLines w:val="0"/>
                    <w:pageBreakBefore w:val="0"/>
                    <w:widowControl/>
                    <w:suppressLineNumbers w:val="0"/>
                    <w:kinsoku/>
                    <w:overflowPunct/>
                    <w:autoSpaceDE/>
                    <w:autoSpaceDN/>
                    <w:bidi w:val="0"/>
                    <w:spacing w:line="264" w:lineRule="auto"/>
                    <w:jc w:val="center"/>
                    <w:textAlignment w:val="auto"/>
                    <w:rPr>
                      <w:rFonts w:hint="default" w:ascii="Times New Roman" w:hAnsi="Times New Roman" w:eastAsia="宋体" w:cs="Times New Roman"/>
                      <w:color w:val="auto"/>
                      <w:kern w:val="0"/>
                      <w:sz w:val="21"/>
                      <w:szCs w:val="21"/>
                      <w:lang w:val="en" w:eastAsia="zh-CN" w:bidi="ar"/>
                    </w:rPr>
                  </w:pPr>
                  <w:r>
                    <w:rPr>
                      <w:rFonts w:hint="default" w:ascii="Times New Roman" w:hAnsi="Times New Roman" w:eastAsia="宋体" w:cs="Times New Roman"/>
                      <w:color w:val="auto"/>
                      <w:kern w:val="0"/>
                      <w:sz w:val="21"/>
                      <w:szCs w:val="21"/>
                      <w:lang w:val="en-US" w:eastAsia="zh-CN" w:bidi="ar"/>
                    </w:rPr>
                    <w:t>（2023-2027年）</w:t>
                  </w:r>
                </w:p>
              </w:tc>
              <w:tc>
                <w:tcPr>
                  <w:tcW w:w="2421" w:type="pct"/>
                  <w:tcBorders>
                    <w:tl2br w:val="nil"/>
                    <w:tr2bl w:val="nil"/>
                  </w:tcBorders>
                  <w:noWrap w:val="0"/>
                  <w:vAlign w:val="center"/>
                </w:tcPr>
                <w:p w14:paraId="061289EB">
                  <w:pPr>
                    <w:keepNext w:val="0"/>
                    <w:keepLines w:val="0"/>
                    <w:pageBreakBefore w:val="0"/>
                    <w:widowControl/>
                    <w:suppressLineNumbers w:val="0"/>
                    <w:kinsoku/>
                    <w:overflowPunct/>
                    <w:autoSpaceDE/>
                    <w:autoSpaceDN/>
                    <w:bidi w:val="0"/>
                    <w:spacing w:line="264" w:lineRule="auto"/>
                    <w:jc w:val="left"/>
                    <w:textAlignment w:val="auto"/>
                    <w:rPr>
                      <w:rFonts w:hint="default" w:ascii="Times New Roman" w:hAnsi="Times New Roman" w:eastAsia="宋体" w:cs="Times New Roman"/>
                      <w:color w:val="auto"/>
                      <w:kern w:val="0"/>
                      <w:sz w:val="21"/>
                      <w:szCs w:val="21"/>
                      <w:lang w:val="en-GB" w:eastAsia="zh-CN" w:bidi="ar"/>
                    </w:rPr>
                  </w:pPr>
                  <w:r>
                    <w:rPr>
                      <w:rFonts w:hint="default" w:ascii="Times New Roman" w:hAnsi="Times New Roman" w:eastAsia="宋体" w:cs="Times New Roman"/>
                      <w:color w:val="auto"/>
                      <w:kern w:val="0"/>
                      <w:sz w:val="21"/>
                      <w:szCs w:val="21"/>
                      <w:lang w:val="en-US" w:eastAsia="zh-CN" w:bidi="ar"/>
                    </w:rPr>
                    <w:t>12.夏季臭氧应对行动。......新建挥发性有机物治理设施不再采用单一低温等离子、光氧化、光催化等治理技术，非水溶性挥发性有机物废气不再采用单一喷淋吸收方式处理。</w:t>
                  </w:r>
                </w:p>
              </w:tc>
              <w:tc>
                <w:tcPr>
                  <w:tcW w:w="1189" w:type="pct"/>
                  <w:tcBorders>
                    <w:tl2br w:val="nil"/>
                    <w:tr2bl w:val="nil"/>
                  </w:tcBorders>
                  <w:noWrap w:val="0"/>
                  <w:vAlign w:val="center"/>
                </w:tcPr>
                <w:p w14:paraId="09720A89">
                  <w:pPr>
                    <w:keepNext w:val="0"/>
                    <w:keepLines w:val="0"/>
                    <w:pageBreakBefore w:val="0"/>
                    <w:widowControl/>
                    <w:suppressLineNumbers w:val="0"/>
                    <w:kinsoku/>
                    <w:wordWrap/>
                    <w:overflowPunct/>
                    <w:topLinePunct w:val="0"/>
                    <w:autoSpaceDE/>
                    <w:autoSpaceDN/>
                    <w:bidi w:val="0"/>
                    <w:adjustRightInd/>
                    <w:snapToGrid/>
                    <w:spacing w:line="264" w:lineRule="auto"/>
                    <w:ind w:left="0" w:leftChars="0" w:right="0" w:rightChars="0" w:firstLine="0" w:firstLineChars="0"/>
                    <w:jc w:val="left"/>
                    <w:textAlignment w:val="auto"/>
                    <w:rPr>
                      <w:rFonts w:hint="default" w:ascii="Times New Roman" w:hAnsi="Times New Roman" w:eastAsia="宋体" w:cs="Times New Roman"/>
                      <w:color w:val="auto"/>
                      <w:kern w:val="0"/>
                      <w:sz w:val="21"/>
                      <w:szCs w:val="21"/>
                      <w:lang w:val="en-GB" w:eastAsia="zh-CN" w:bidi="ar"/>
                    </w:rPr>
                  </w:pPr>
                  <w:r>
                    <w:rPr>
                      <w:rFonts w:hint="eastAsia" w:ascii="Times New Roman" w:hAnsi="Times New Roman" w:eastAsia="宋体" w:cs="Times New Roman"/>
                      <w:color w:val="auto"/>
                      <w:kern w:val="2"/>
                      <w:sz w:val="21"/>
                      <w:szCs w:val="21"/>
                      <w:lang w:val="en-US" w:eastAsia="zh-CN" w:bidi="ar-SA"/>
                    </w:rPr>
                    <w:t>本项目生产</w:t>
                  </w:r>
                  <w:r>
                    <w:rPr>
                      <w:rFonts w:hint="default" w:ascii="Times New Roman" w:hAnsi="Times New Roman" w:eastAsia="宋体" w:cs="Times New Roman"/>
                      <w:color w:val="auto"/>
                      <w:kern w:val="2"/>
                      <w:sz w:val="21"/>
                      <w:szCs w:val="21"/>
                      <w:lang w:val="en-US" w:eastAsia="zh-CN" w:bidi="ar-SA"/>
                    </w:rPr>
                    <w:t>废气经</w:t>
                  </w:r>
                  <w:r>
                    <w:rPr>
                      <w:rFonts w:hint="eastAsia"/>
                      <w:color w:val="auto"/>
                      <w:szCs w:val="21"/>
                    </w:rPr>
                    <w:t>通风橱</w:t>
                  </w:r>
                  <w:r>
                    <w:rPr>
                      <w:rFonts w:hint="eastAsia"/>
                      <w:color w:val="auto"/>
                      <w:szCs w:val="21"/>
                      <w:lang w:val="en-US" w:eastAsia="zh-CN"/>
                    </w:rPr>
                    <w:t>/密闭式管道</w:t>
                  </w:r>
                  <w:r>
                    <w:rPr>
                      <w:rFonts w:hint="eastAsia"/>
                      <w:color w:val="auto"/>
                      <w:szCs w:val="21"/>
                    </w:rPr>
                    <w:t>+二级活性炭吸附</w:t>
                  </w:r>
                  <w:r>
                    <w:rPr>
                      <w:color w:val="auto"/>
                      <w:szCs w:val="21"/>
                    </w:rPr>
                    <w:t>+</w:t>
                  </w:r>
                  <w:r>
                    <w:rPr>
                      <w:rFonts w:hint="eastAsia"/>
                      <w:color w:val="auto"/>
                      <w:szCs w:val="21"/>
                      <w:lang w:val="en-US" w:eastAsia="zh-CN"/>
                    </w:rPr>
                    <w:t>15m</w:t>
                  </w:r>
                  <w:r>
                    <w:rPr>
                      <w:color w:val="auto"/>
                      <w:szCs w:val="21"/>
                    </w:rPr>
                    <w:t>排气筒</w:t>
                  </w:r>
                  <w:r>
                    <w:rPr>
                      <w:rFonts w:hint="eastAsia"/>
                      <w:color w:val="auto"/>
                    </w:rPr>
                    <w:t>（DA001）</w:t>
                  </w:r>
                  <w:r>
                    <w:rPr>
                      <w:rFonts w:hint="default" w:ascii="Times New Roman" w:hAnsi="Times New Roman" w:eastAsia="宋体" w:cs="Times New Roman"/>
                      <w:color w:val="auto"/>
                      <w:kern w:val="2"/>
                      <w:sz w:val="21"/>
                      <w:szCs w:val="21"/>
                      <w:lang w:val="en-US" w:eastAsia="zh-CN" w:bidi="ar-SA"/>
                    </w:rPr>
                    <w:t>处理后排放；</w:t>
                  </w:r>
                  <w:r>
                    <w:rPr>
                      <w:rFonts w:hint="eastAsia" w:ascii="Times New Roman" w:hAnsi="Times New Roman" w:cs="Times New Roman"/>
                      <w:color w:val="auto"/>
                      <w:sz w:val="21"/>
                      <w:szCs w:val="21"/>
                      <w:lang w:val="en-US" w:eastAsia="zh-CN"/>
                    </w:rPr>
                    <w:t>二</w:t>
                  </w:r>
                  <w:r>
                    <w:rPr>
                      <w:rFonts w:hint="default" w:ascii="Times New Roman" w:hAnsi="Times New Roman" w:cs="Times New Roman"/>
                      <w:color w:val="auto"/>
                      <w:sz w:val="21"/>
                      <w:szCs w:val="21"/>
                      <w:lang w:val="en-US" w:eastAsia="zh-CN"/>
                    </w:rPr>
                    <w:t>级</w:t>
                  </w:r>
                  <w:r>
                    <w:rPr>
                      <w:rFonts w:hint="default" w:ascii="Times New Roman" w:hAnsi="Times New Roman" w:eastAsia="宋体" w:cs="Times New Roman"/>
                      <w:color w:val="auto"/>
                      <w:sz w:val="21"/>
                      <w:szCs w:val="21"/>
                      <w:lang w:val="en-US" w:eastAsia="zh-CN"/>
                    </w:rPr>
                    <w:t>活性炭吸附装置</w:t>
                  </w:r>
                  <w:r>
                    <w:rPr>
                      <w:rFonts w:hint="default" w:ascii="Times New Roman" w:hAnsi="Times New Roman" w:eastAsia="宋体" w:cs="Times New Roman"/>
                      <w:color w:val="auto"/>
                      <w:sz w:val="21"/>
                      <w:szCs w:val="21"/>
                    </w:rPr>
                    <w:t>不属于“低温等离子、光氧化、光催化、喷淋吸收”等单一治理工艺</w:t>
                  </w:r>
                  <w:r>
                    <w:rPr>
                      <w:rFonts w:hint="default" w:ascii="Times New Roman" w:hAnsi="Times New Roman" w:eastAsia="宋体" w:cs="Times New Roman"/>
                      <w:color w:val="auto"/>
                      <w:sz w:val="21"/>
                      <w:szCs w:val="21"/>
                      <w:lang w:eastAsia="zh-CN"/>
                    </w:rPr>
                    <w:t>。</w:t>
                  </w:r>
                </w:p>
              </w:tc>
              <w:tc>
                <w:tcPr>
                  <w:tcW w:w="508" w:type="pct"/>
                  <w:tcBorders>
                    <w:tl2br w:val="nil"/>
                    <w:tr2bl w:val="nil"/>
                  </w:tcBorders>
                  <w:noWrap w:val="0"/>
                  <w:vAlign w:val="center"/>
                </w:tcPr>
                <w:p w14:paraId="5B702050">
                  <w:pPr>
                    <w:keepNext w:val="0"/>
                    <w:keepLines w:val="0"/>
                    <w:pageBreakBefore w:val="0"/>
                    <w:kinsoku/>
                    <w:wordWrap/>
                    <w:overflowPunct/>
                    <w:topLinePunct w:val="0"/>
                    <w:autoSpaceDE/>
                    <w:autoSpaceDN/>
                    <w:bidi w:val="0"/>
                    <w:adjustRightInd/>
                    <w:snapToGrid/>
                    <w:spacing w:line="264"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符合</w:t>
                  </w:r>
                </w:p>
              </w:tc>
            </w:tr>
            <w:tr w14:paraId="64E5F8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81" w:type="pct"/>
                  <w:tcBorders>
                    <w:tl2br w:val="nil"/>
                    <w:tr2bl w:val="nil"/>
                  </w:tcBorders>
                  <w:noWrap w:val="0"/>
                  <w:vAlign w:val="center"/>
                </w:tcPr>
                <w:p w14:paraId="3D66A656">
                  <w:pPr>
                    <w:keepNext w:val="0"/>
                    <w:keepLines w:val="0"/>
                    <w:pageBreakBefore w:val="0"/>
                    <w:kinsoku/>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Cs w:val="21"/>
                    </w:rPr>
                  </w:pPr>
                  <w:r>
                    <w:rPr>
                      <w:rFonts w:hint="default" w:ascii="Times New Roman" w:hAnsi="Times New Roman" w:cs="Times New Roman"/>
                      <w:color w:val="auto"/>
                      <w:kern w:val="21"/>
                      <w:szCs w:val="21"/>
                      <w:lang w:val="en" w:eastAsia="zh-CN"/>
                    </w:rPr>
                    <w:t>《</w:t>
                  </w:r>
                  <w:r>
                    <w:rPr>
                      <w:rFonts w:hint="default" w:ascii="Times New Roman" w:hAnsi="Times New Roman" w:cs="Times New Roman"/>
                      <w:color w:val="auto"/>
                      <w:kern w:val="21"/>
                      <w:szCs w:val="21"/>
                      <w:lang w:val="en"/>
                    </w:rPr>
                    <w:t>西安市人民政府关于印发</w:t>
                  </w:r>
                  <w:r>
                    <w:rPr>
                      <w:rFonts w:hint="default" w:ascii="Times New Roman" w:hAnsi="Times New Roman" w:cs="Times New Roman"/>
                      <w:color w:val="auto"/>
                      <w:kern w:val="21"/>
                      <w:szCs w:val="21"/>
                      <w:lang w:val="en" w:eastAsia="zh-CN"/>
                    </w:rPr>
                    <w:t>“</w:t>
                  </w:r>
                  <w:r>
                    <w:rPr>
                      <w:rFonts w:hint="default" w:ascii="Times New Roman" w:hAnsi="Times New Roman" w:cs="Times New Roman"/>
                      <w:color w:val="auto"/>
                      <w:kern w:val="21"/>
                      <w:szCs w:val="21"/>
                      <w:lang w:val="en"/>
                    </w:rPr>
                    <w:t>十四五</w:t>
                  </w:r>
                  <w:r>
                    <w:rPr>
                      <w:rFonts w:hint="default" w:ascii="Times New Roman" w:hAnsi="Times New Roman" w:cs="Times New Roman"/>
                      <w:color w:val="auto"/>
                      <w:kern w:val="21"/>
                      <w:szCs w:val="21"/>
                      <w:lang w:val="en" w:eastAsia="zh-CN"/>
                    </w:rPr>
                    <w:t>”</w:t>
                  </w:r>
                  <w:r>
                    <w:rPr>
                      <w:rFonts w:hint="default" w:ascii="Times New Roman" w:hAnsi="Times New Roman" w:cs="Times New Roman"/>
                      <w:color w:val="auto"/>
                      <w:kern w:val="21"/>
                      <w:szCs w:val="21"/>
                      <w:lang w:val="en"/>
                    </w:rPr>
                    <w:t>生态环境保护规划的通知</w:t>
                  </w:r>
                  <w:r>
                    <w:rPr>
                      <w:rFonts w:hint="default" w:ascii="Times New Roman" w:hAnsi="Times New Roman" w:cs="Times New Roman"/>
                      <w:color w:val="auto"/>
                      <w:kern w:val="21"/>
                      <w:szCs w:val="21"/>
                      <w:lang w:val="en" w:eastAsia="zh-CN"/>
                    </w:rPr>
                    <w:t>》</w:t>
                  </w:r>
                  <w:r>
                    <w:rPr>
                      <w:rFonts w:hint="default" w:ascii="Times New Roman" w:hAnsi="Times New Roman" w:cs="Times New Roman"/>
                      <w:color w:val="auto"/>
                      <w:kern w:val="21"/>
                      <w:szCs w:val="21"/>
                      <w:lang w:val="en"/>
                    </w:rPr>
                    <w:t>（市政发〔2021〕21号）</w:t>
                  </w:r>
                </w:p>
              </w:tc>
              <w:tc>
                <w:tcPr>
                  <w:tcW w:w="2421" w:type="pct"/>
                  <w:tcBorders>
                    <w:tl2br w:val="nil"/>
                    <w:tr2bl w:val="nil"/>
                  </w:tcBorders>
                  <w:noWrap w:val="0"/>
                  <w:vAlign w:val="center"/>
                </w:tcPr>
                <w:p w14:paraId="05EF3E88">
                  <w:pPr>
                    <w:rPr>
                      <w:rFonts w:hint="default" w:ascii="Times New Roman" w:hAnsi="Times New Roman" w:eastAsia="宋体" w:cs="Times New Roman"/>
                      <w:color w:val="auto"/>
                      <w:kern w:val="0"/>
                      <w:sz w:val="21"/>
                      <w:szCs w:val="21"/>
                      <w:lang w:val="en-US" w:eastAsia="zh-CN" w:bidi="ar-SA"/>
                    </w:rPr>
                  </w:pPr>
                  <w:r>
                    <w:rPr>
                      <w:color w:val="auto"/>
                      <w:szCs w:val="21"/>
                    </w:rPr>
                    <w:t>强化VOCs综合整治。将挥发性有机物纳入污染物排放总量控制体系，有效减少重点污染源、全社会挥发性有机物和NOx排放总量。</w:t>
                  </w:r>
                </w:p>
              </w:tc>
              <w:tc>
                <w:tcPr>
                  <w:tcW w:w="1189" w:type="pct"/>
                  <w:tcBorders>
                    <w:tl2br w:val="nil"/>
                    <w:tr2bl w:val="nil"/>
                  </w:tcBorders>
                  <w:noWrap w:val="0"/>
                  <w:vAlign w:val="center"/>
                </w:tcPr>
                <w:p w14:paraId="24B7516C">
                  <w:pPr>
                    <w:rPr>
                      <w:rFonts w:hint="default" w:ascii="Times New Roman" w:hAnsi="Times New Roman" w:eastAsia="宋体" w:cs="Times New Roman"/>
                      <w:color w:val="auto"/>
                      <w:kern w:val="2"/>
                      <w:sz w:val="21"/>
                      <w:szCs w:val="21"/>
                      <w:lang w:val="en-US" w:eastAsia="zh-CN" w:bidi="ar-SA"/>
                    </w:rPr>
                  </w:pPr>
                  <w:r>
                    <w:rPr>
                      <w:color w:val="auto"/>
                      <w:szCs w:val="21"/>
                    </w:rPr>
                    <w:t>本项目的含低浓度VOCs经</w:t>
                  </w:r>
                  <w:r>
                    <w:rPr>
                      <w:rFonts w:hint="eastAsia"/>
                      <w:color w:val="auto"/>
                      <w:szCs w:val="21"/>
                    </w:rPr>
                    <w:t>二级活性炭</w:t>
                  </w:r>
                  <w:r>
                    <w:rPr>
                      <w:color w:val="auto"/>
                      <w:szCs w:val="21"/>
                    </w:rPr>
                    <w:t>吸附</w:t>
                  </w:r>
                  <w:r>
                    <w:rPr>
                      <w:rFonts w:hint="eastAsia"/>
                      <w:color w:val="auto"/>
                      <w:szCs w:val="21"/>
                    </w:rPr>
                    <w:t>处理</w:t>
                  </w:r>
                  <w:r>
                    <w:rPr>
                      <w:color w:val="auto"/>
                      <w:szCs w:val="21"/>
                    </w:rPr>
                    <w:t>后经</w:t>
                  </w:r>
                  <w:r>
                    <w:rPr>
                      <w:rFonts w:hint="eastAsia"/>
                      <w:color w:val="auto"/>
                      <w:szCs w:val="21"/>
                      <w:lang w:val="en-US" w:eastAsia="zh-CN"/>
                    </w:rPr>
                    <w:t>15m</w:t>
                  </w:r>
                  <w:r>
                    <w:rPr>
                      <w:color w:val="auto"/>
                      <w:szCs w:val="21"/>
                    </w:rPr>
                    <w:t>高排气筒，达标排放。</w:t>
                  </w:r>
                </w:p>
              </w:tc>
              <w:tc>
                <w:tcPr>
                  <w:tcW w:w="508" w:type="pct"/>
                  <w:tcBorders>
                    <w:tl2br w:val="nil"/>
                    <w:tr2bl w:val="nil"/>
                  </w:tcBorders>
                  <w:noWrap w:val="0"/>
                  <w:vAlign w:val="center"/>
                </w:tcPr>
                <w:p w14:paraId="39752000">
                  <w:pPr>
                    <w:keepNext w:val="0"/>
                    <w:keepLines w:val="0"/>
                    <w:pageBreakBefore w:val="0"/>
                    <w:kinsoku/>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1"/>
                      <w:szCs w:val="21"/>
                    </w:rPr>
                  </w:pPr>
                  <w:r>
                    <w:rPr>
                      <w:rFonts w:hint="default" w:ascii="Times New Roman" w:hAnsi="Times New Roman" w:eastAsia="宋体" w:cs="Times New Roman"/>
                      <w:color w:val="auto"/>
                      <w:kern w:val="21"/>
                      <w:szCs w:val="21"/>
                    </w:rPr>
                    <w:t>符合</w:t>
                  </w:r>
                </w:p>
              </w:tc>
            </w:tr>
            <w:tr w14:paraId="52860A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 w:hRule="atLeast"/>
                <w:jc w:val="center"/>
              </w:trPr>
              <w:tc>
                <w:tcPr>
                  <w:tcW w:w="881" w:type="pct"/>
                  <w:vMerge w:val="restart"/>
                  <w:tcBorders>
                    <w:tl2br w:val="nil"/>
                    <w:tr2bl w:val="nil"/>
                  </w:tcBorders>
                  <w:noWrap w:val="0"/>
                  <w:vAlign w:val="center"/>
                </w:tcPr>
                <w:p w14:paraId="2960A485">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1"/>
                      <w:szCs w:val="21"/>
                      <w:lang w:val="en-US" w:eastAsia="zh-CN"/>
                    </w:rPr>
                    <w:t>西安市生态环境局</w:t>
                  </w:r>
                  <w:r>
                    <w:rPr>
                      <w:rFonts w:hint="default" w:ascii="Times New Roman" w:hAnsi="Times New Roman" w:eastAsia="宋体" w:cs="Times New Roman"/>
                      <w:color w:val="auto"/>
                      <w:kern w:val="0"/>
                      <w:sz w:val="21"/>
                      <w:szCs w:val="21"/>
                    </w:rPr>
                    <w:t>关于加强挥发性有机物活性炭吸附处理设施运行管理工作的通知</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市环发</w:t>
                  </w:r>
                  <w:r>
                    <w:rPr>
                      <w:rFonts w:hint="default" w:ascii="Times New Roman" w:hAnsi="Times New Roman" w:eastAsia="仿宋" w:cs="Times New Roman"/>
                      <w:color w:val="auto"/>
                      <w:kern w:val="0"/>
                      <w:sz w:val="21"/>
                      <w:szCs w:val="21"/>
                    </w:rPr>
                    <w:t>〔</w:t>
                  </w:r>
                  <w:r>
                    <w:rPr>
                      <w:rFonts w:hint="default" w:ascii="Times New Roman" w:hAnsi="Times New Roman" w:eastAsia="宋体" w:cs="Times New Roman"/>
                      <w:color w:val="auto"/>
                      <w:kern w:val="0"/>
                      <w:sz w:val="21"/>
                      <w:szCs w:val="21"/>
                    </w:rPr>
                    <w:t>2022</w:t>
                  </w:r>
                  <w:r>
                    <w:rPr>
                      <w:rFonts w:hint="default" w:ascii="Times New Roman" w:hAnsi="Times New Roman" w:eastAsia="仿宋" w:cs="Times New Roman"/>
                      <w:color w:val="auto"/>
                      <w:kern w:val="0"/>
                      <w:sz w:val="21"/>
                      <w:szCs w:val="21"/>
                    </w:rPr>
                    <w:t>〕</w:t>
                  </w:r>
                  <w:r>
                    <w:rPr>
                      <w:rFonts w:hint="default" w:ascii="Times New Roman" w:hAnsi="Times New Roman" w:eastAsia="宋体" w:cs="Times New Roman"/>
                      <w:color w:val="auto"/>
                      <w:kern w:val="0"/>
                      <w:sz w:val="21"/>
                      <w:szCs w:val="21"/>
                    </w:rPr>
                    <w:t>65号</w:t>
                  </w:r>
                  <w:r>
                    <w:rPr>
                      <w:rFonts w:hint="default" w:ascii="Times New Roman" w:hAnsi="Times New Roman" w:eastAsia="宋体" w:cs="Times New Roman"/>
                      <w:color w:val="auto"/>
                      <w:kern w:val="0"/>
                      <w:sz w:val="21"/>
                      <w:szCs w:val="21"/>
                      <w:lang w:eastAsia="zh-CN"/>
                    </w:rPr>
                    <w:t>）</w:t>
                  </w:r>
                </w:p>
              </w:tc>
              <w:tc>
                <w:tcPr>
                  <w:tcW w:w="2421" w:type="pct"/>
                  <w:tcBorders>
                    <w:tl2br w:val="nil"/>
                    <w:tr2bl w:val="nil"/>
                  </w:tcBorders>
                  <w:noWrap w:val="0"/>
                  <w:vAlign w:val="center"/>
                </w:tcPr>
                <w:p w14:paraId="3E3EBE37">
                  <w:pPr>
                    <w:keepNext w:val="0"/>
                    <w:keepLines w:val="0"/>
                    <w:pageBreakBefore w:val="0"/>
                    <w:kinsoku/>
                    <w:wordWrap w:val="0"/>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1"/>
                      <w:szCs w:val="21"/>
                      <w:lang w:val="en-US" w:eastAsia="zh-CN"/>
                    </w:rPr>
                    <w:t>保证活性炭质量。企业购置活性炭必须提供活性炭检测报告，保证活性炭质量。企业购置活性炭必须提供活性炭检测报告，技术指标至少应包括水分含量、耐磨强度（颗粒活性炭）、抗压强度（蜂窝活性炭）、碘吸附值、四氯化碳吸附率、着火点等。活性炭技术指标应符合《工业有机废气净化用活性炭技术指标及试验方法》(LY/T3284)规定的优级活性炭指标要求。</w:t>
                  </w:r>
                </w:p>
              </w:tc>
              <w:tc>
                <w:tcPr>
                  <w:tcW w:w="1189" w:type="pct"/>
                  <w:tcBorders>
                    <w:tl2br w:val="nil"/>
                    <w:tr2bl w:val="nil"/>
                  </w:tcBorders>
                  <w:noWrap w:val="0"/>
                  <w:vAlign w:val="center"/>
                </w:tcPr>
                <w:p w14:paraId="638D2ABB">
                  <w:pPr>
                    <w:keepNext w:val="0"/>
                    <w:keepLines w:val="0"/>
                    <w:pageBreakBefore w:val="0"/>
                    <w:kinsoku/>
                    <w:wordWrap w:val="0"/>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1"/>
                      <w:szCs w:val="21"/>
                      <w:lang w:val="en-US" w:eastAsia="zh-CN"/>
                    </w:rPr>
                    <w:t>本项目要求企业选用满足《工业有机废气净化用活性炭技术指标及试验方法》(LY/T3284)规定的优级活性炭。</w:t>
                  </w:r>
                </w:p>
              </w:tc>
              <w:tc>
                <w:tcPr>
                  <w:tcW w:w="508" w:type="pct"/>
                  <w:tcBorders>
                    <w:tl2br w:val="nil"/>
                    <w:tr2bl w:val="nil"/>
                  </w:tcBorders>
                  <w:noWrap w:val="0"/>
                  <w:vAlign w:val="center"/>
                </w:tcPr>
                <w:p w14:paraId="508813CE">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1"/>
                      <w:szCs w:val="21"/>
                      <w:lang w:val="en-US" w:eastAsia="zh-CN"/>
                    </w:rPr>
                    <w:t>符合</w:t>
                  </w:r>
                </w:p>
              </w:tc>
            </w:tr>
            <w:tr w14:paraId="5F8912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 w:hRule="atLeast"/>
                <w:jc w:val="center"/>
              </w:trPr>
              <w:tc>
                <w:tcPr>
                  <w:tcW w:w="881" w:type="pct"/>
                  <w:vMerge w:val="continue"/>
                  <w:tcBorders>
                    <w:tl2br w:val="nil"/>
                    <w:tr2bl w:val="nil"/>
                  </w:tcBorders>
                  <w:noWrap w:val="0"/>
                  <w:vAlign w:val="center"/>
                </w:tcPr>
                <w:p w14:paraId="3DB9C475">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rPr>
                  </w:pPr>
                </w:p>
              </w:tc>
              <w:tc>
                <w:tcPr>
                  <w:tcW w:w="2421" w:type="pct"/>
                  <w:tcBorders>
                    <w:tl2br w:val="nil"/>
                    <w:tr2bl w:val="nil"/>
                  </w:tcBorders>
                  <w:noWrap w:val="0"/>
                  <w:vAlign w:val="center"/>
                </w:tcPr>
                <w:p w14:paraId="397A9108">
                  <w:pPr>
                    <w:pStyle w:val="25"/>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left"/>
                    <w:textAlignment w:val="auto"/>
                    <w:rPr>
                      <w:rFonts w:hint="default" w:ascii="Times New Roman" w:hAnsi="Times New Roman" w:cs="Times New Roman"/>
                      <w:color w:val="auto"/>
                    </w:rPr>
                  </w:pPr>
                  <w:r>
                    <w:rPr>
                      <w:rFonts w:hint="default" w:ascii="Times New Roman" w:hAnsi="Times New Roman" w:eastAsia="宋体" w:cs="Times New Roman"/>
                      <w:color w:val="auto"/>
                      <w:spacing w:val="0"/>
                      <w:kern w:val="0"/>
                      <w:sz w:val="21"/>
                      <w:szCs w:val="21"/>
                      <w:lang w:val="en-US" w:eastAsia="zh-CN" w:bidi="ar-SA"/>
                    </w:rPr>
                    <w:t>明确填充量并及时更换。企业应当根据风量和VOCS初始浓度范围，明确活性炭的填充量、填充厚度和更换时间。</w:t>
                  </w:r>
                </w:p>
              </w:tc>
              <w:tc>
                <w:tcPr>
                  <w:tcW w:w="1189" w:type="pct"/>
                  <w:tcBorders>
                    <w:tl2br w:val="nil"/>
                    <w:tr2bl w:val="nil"/>
                  </w:tcBorders>
                  <w:noWrap w:val="0"/>
                  <w:vAlign w:val="center"/>
                </w:tcPr>
                <w:p w14:paraId="2EF04EDD">
                  <w:pPr>
                    <w:keepNext w:val="0"/>
                    <w:keepLines w:val="0"/>
                    <w:pageBreakBefore w:val="0"/>
                    <w:kinsoku/>
                    <w:wordWrap w:val="0"/>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1"/>
                      <w:szCs w:val="21"/>
                      <w:lang w:val="en-US" w:eastAsia="zh-CN"/>
                    </w:rPr>
                    <w:t>本项目要求企业按环保设计单位要求，及时更换。</w:t>
                  </w:r>
                </w:p>
              </w:tc>
              <w:tc>
                <w:tcPr>
                  <w:tcW w:w="508" w:type="pct"/>
                  <w:tcBorders>
                    <w:tl2br w:val="nil"/>
                    <w:tr2bl w:val="nil"/>
                  </w:tcBorders>
                  <w:noWrap w:val="0"/>
                  <w:vAlign w:val="center"/>
                </w:tcPr>
                <w:p w14:paraId="5636323C">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1"/>
                      <w:szCs w:val="21"/>
                      <w:lang w:val="en-US" w:eastAsia="zh-CN"/>
                    </w:rPr>
                    <w:t>符合</w:t>
                  </w:r>
                </w:p>
              </w:tc>
            </w:tr>
            <w:tr w14:paraId="0C9B11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 w:hRule="atLeast"/>
                <w:jc w:val="center"/>
              </w:trPr>
              <w:tc>
                <w:tcPr>
                  <w:tcW w:w="881" w:type="pct"/>
                  <w:vMerge w:val="continue"/>
                  <w:tcBorders>
                    <w:tl2br w:val="nil"/>
                    <w:tr2bl w:val="nil"/>
                  </w:tcBorders>
                  <w:noWrap w:val="0"/>
                  <w:vAlign w:val="center"/>
                </w:tcPr>
                <w:p w14:paraId="0F718FD2">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rPr>
                  </w:pPr>
                </w:p>
              </w:tc>
              <w:tc>
                <w:tcPr>
                  <w:tcW w:w="2421" w:type="pct"/>
                  <w:tcBorders>
                    <w:tl2br w:val="nil"/>
                    <w:tr2bl w:val="nil"/>
                  </w:tcBorders>
                  <w:noWrap w:val="0"/>
                  <w:vAlign w:val="center"/>
                </w:tcPr>
                <w:p w14:paraId="77D82DD6">
                  <w:pPr>
                    <w:pStyle w:val="25"/>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left"/>
                    <w:textAlignment w:val="auto"/>
                    <w:rPr>
                      <w:rFonts w:hint="default" w:ascii="Times New Roman" w:hAnsi="Times New Roman" w:cs="Times New Roman"/>
                      <w:color w:val="auto"/>
                    </w:rPr>
                  </w:pPr>
                  <w:r>
                    <w:rPr>
                      <w:rFonts w:hint="default" w:ascii="Times New Roman" w:hAnsi="Times New Roman" w:eastAsia="宋体" w:cs="Times New Roman"/>
                      <w:color w:val="auto"/>
                      <w:spacing w:val="0"/>
                      <w:kern w:val="0"/>
                      <w:sz w:val="21"/>
                      <w:szCs w:val="21"/>
                      <w:lang w:val="en-US" w:eastAsia="zh-CN" w:bidi="ar-SA"/>
                    </w:rPr>
                    <w:t>严格控制无组织排放。盛装VOCs物料的容器或包装袋应密闭储存于室内，或存放于设置有雨棚、遮阳和防渗设施的专用场地，非取用状态时应加盖、封口，保持封闭。VOCs物料调配过程应采用密闭设备或在密闭空间内操作，并设置专门的密闭调配间，调配废气应排至VOCs废气收集处理系统；无法密闭的，应采取局部气体收集措施，废气应排至VOCs废气收集处理系统。</w:t>
                  </w:r>
                </w:p>
              </w:tc>
              <w:tc>
                <w:tcPr>
                  <w:tcW w:w="1189" w:type="pct"/>
                  <w:tcBorders>
                    <w:tl2br w:val="nil"/>
                    <w:tr2bl w:val="nil"/>
                  </w:tcBorders>
                  <w:noWrap w:val="0"/>
                  <w:vAlign w:val="center"/>
                </w:tcPr>
                <w:p w14:paraId="5E8551C6">
                  <w:pPr>
                    <w:keepNext w:val="0"/>
                    <w:keepLines w:val="0"/>
                    <w:pageBreakBefore w:val="0"/>
                    <w:kinsoku/>
                    <w:wordWrap w:val="0"/>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1"/>
                      <w:szCs w:val="21"/>
                      <w:lang w:val="en-US" w:eastAsia="zh-CN"/>
                    </w:rPr>
                    <w:t>本项目</w:t>
                  </w:r>
                  <w:r>
                    <w:rPr>
                      <w:rFonts w:hint="default" w:ascii="Times New Roman" w:hAnsi="Times New Roman" w:eastAsia="宋体" w:cs="Times New Roman"/>
                      <w:color w:val="auto"/>
                      <w:kern w:val="0"/>
                      <w:sz w:val="21"/>
                      <w:szCs w:val="21"/>
                      <w:lang w:eastAsia="zh-CN"/>
                    </w:rPr>
                    <w:t>含VOCs</w:t>
                  </w:r>
                  <w:r>
                    <w:rPr>
                      <w:rFonts w:hint="default" w:ascii="Times New Roman" w:hAnsi="Times New Roman" w:eastAsia="宋体" w:cs="Times New Roman"/>
                      <w:color w:val="auto"/>
                      <w:kern w:val="0"/>
                      <w:sz w:val="21"/>
                      <w:szCs w:val="21"/>
                      <w:lang w:val="en-US" w:eastAsia="zh-CN"/>
                    </w:rPr>
                    <w:t>物料</w:t>
                  </w:r>
                  <w:r>
                    <w:rPr>
                      <w:rFonts w:hint="default" w:ascii="Times New Roman" w:hAnsi="Times New Roman" w:cs="Times New Roman"/>
                      <w:color w:val="auto"/>
                      <w:kern w:val="0"/>
                      <w:sz w:val="21"/>
                      <w:szCs w:val="21"/>
                      <w:lang w:val="en-US" w:eastAsia="zh-CN"/>
                    </w:rPr>
                    <w:t>储存于密闭包装容器内，</w:t>
                  </w:r>
                  <w:r>
                    <w:rPr>
                      <w:rFonts w:hint="eastAsia" w:ascii="Times New Roman" w:hAnsi="Times New Roman" w:eastAsia="宋体" w:cs="Times New Roman"/>
                      <w:color w:val="auto"/>
                      <w:kern w:val="2"/>
                      <w:sz w:val="21"/>
                      <w:szCs w:val="21"/>
                      <w:lang w:val="en-US" w:eastAsia="zh-CN" w:bidi="ar-SA"/>
                    </w:rPr>
                    <w:t>生产工序</w:t>
                  </w:r>
                  <w:r>
                    <w:rPr>
                      <w:rFonts w:hint="default" w:ascii="Times New Roman" w:hAnsi="Times New Roman" w:cs="Times New Roman"/>
                      <w:color w:val="auto"/>
                      <w:kern w:val="0"/>
                      <w:sz w:val="21"/>
                      <w:szCs w:val="21"/>
                      <w:lang w:val="en-US" w:eastAsia="zh-CN"/>
                    </w:rPr>
                    <w:t>设置废气收集处理系统</w:t>
                  </w:r>
                  <w:r>
                    <w:rPr>
                      <w:rFonts w:hint="default" w:ascii="Times New Roman" w:hAnsi="Times New Roman" w:eastAsia="宋体" w:cs="Times New Roman"/>
                      <w:color w:val="auto"/>
                      <w:kern w:val="0"/>
                      <w:sz w:val="21"/>
                      <w:szCs w:val="21"/>
                      <w:lang w:val="en-US" w:eastAsia="zh-CN"/>
                    </w:rPr>
                    <w:t>。</w:t>
                  </w:r>
                </w:p>
              </w:tc>
              <w:tc>
                <w:tcPr>
                  <w:tcW w:w="508" w:type="pct"/>
                  <w:tcBorders>
                    <w:tl2br w:val="nil"/>
                    <w:tr2bl w:val="nil"/>
                  </w:tcBorders>
                  <w:noWrap w:val="0"/>
                  <w:vAlign w:val="center"/>
                </w:tcPr>
                <w:p w14:paraId="199CE1C2">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1"/>
                      <w:szCs w:val="21"/>
                      <w:lang w:val="en-US" w:eastAsia="zh-CN"/>
                    </w:rPr>
                    <w:t>符合</w:t>
                  </w:r>
                </w:p>
              </w:tc>
            </w:tr>
            <w:tr w14:paraId="0DDDC4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 w:hRule="atLeast"/>
                <w:jc w:val="center"/>
              </w:trPr>
              <w:tc>
                <w:tcPr>
                  <w:tcW w:w="881" w:type="pct"/>
                  <w:vMerge w:val="continue"/>
                  <w:tcBorders>
                    <w:tl2br w:val="nil"/>
                    <w:tr2bl w:val="nil"/>
                  </w:tcBorders>
                  <w:noWrap w:val="0"/>
                  <w:vAlign w:val="center"/>
                </w:tcPr>
                <w:p w14:paraId="17E02C8F">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rPr>
                  </w:pPr>
                </w:p>
              </w:tc>
              <w:tc>
                <w:tcPr>
                  <w:tcW w:w="2421" w:type="pct"/>
                  <w:tcBorders>
                    <w:tl2br w:val="nil"/>
                    <w:tr2bl w:val="nil"/>
                  </w:tcBorders>
                  <w:noWrap w:val="0"/>
                  <w:vAlign w:val="center"/>
                </w:tcPr>
                <w:p w14:paraId="044F9E73">
                  <w:pPr>
                    <w:pStyle w:val="25"/>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left"/>
                    <w:textAlignment w:val="auto"/>
                    <w:rPr>
                      <w:rFonts w:hint="default" w:ascii="Times New Roman" w:hAnsi="Times New Roman" w:cs="Times New Roman"/>
                      <w:color w:val="auto"/>
                    </w:rPr>
                  </w:pPr>
                  <w:r>
                    <w:rPr>
                      <w:rFonts w:hint="default" w:ascii="Times New Roman" w:hAnsi="Times New Roman" w:eastAsia="宋体" w:cs="Times New Roman"/>
                      <w:color w:val="auto"/>
                      <w:spacing w:val="0"/>
                      <w:kern w:val="0"/>
                      <w:sz w:val="21"/>
                      <w:szCs w:val="21"/>
                      <w:lang w:val="en-US" w:eastAsia="zh-CN" w:bidi="ar-SA"/>
                    </w:rPr>
                    <w:t>严格危废管理。产生废活性炭的企业，必须与有许可证的危废经营单位签订危废处置协议。</w:t>
                  </w:r>
                </w:p>
              </w:tc>
              <w:tc>
                <w:tcPr>
                  <w:tcW w:w="1189" w:type="pct"/>
                  <w:tcBorders>
                    <w:tl2br w:val="nil"/>
                    <w:tr2bl w:val="nil"/>
                  </w:tcBorders>
                  <w:noWrap w:val="0"/>
                  <w:vAlign w:val="center"/>
                </w:tcPr>
                <w:p w14:paraId="53423587">
                  <w:pPr>
                    <w:keepNext w:val="0"/>
                    <w:keepLines w:val="0"/>
                    <w:pageBreakBefore w:val="0"/>
                    <w:kinsoku/>
                    <w:wordWrap w:val="0"/>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1"/>
                      <w:szCs w:val="21"/>
                      <w:lang w:val="en-US" w:eastAsia="zh-CN"/>
                    </w:rPr>
                    <w:t>要求建设单位后期必须</w:t>
                  </w:r>
                  <w:r>
                    <w:rPr>
                      <w:rFonts w:hint="default" w:ascii="Times New Roman" w:hAnsi="Times New Roman" w:eastAsia="宋体" w:cs="Times New Roman"/>
                      <w:color w:val="auto"/>
                      <w:spacing w:val="0"/>
                      <w:kern w:val="0"/>
                      <w:sz w:val="21"/>
                      <w:szCs w:val="21"/>
                      <w:lang w:val="en-US" w:eastAsia="zh-CN" w:bidi="ar-SA"/>
                    </w:rPr>
                    <w:t>与有许可证的危废经营单位签订危废处置协议。</w:t>
                  </w:r>
                </w:p>
              </w:tc>
              <w:tc>
                <w:tcPr>
                  <w:tcW w:w="508" w:type="pct"/>
                  <w:tcBorders>
                    <w:tl2br w:val="nil"/>
                    <w:tr2bl w:val="nil"/>
                  </w:tcBorders>
                  <w:noWrap w:val="0"/>
                  <w:vAlign w:val="center"/>
                </w:tcPr>
                <w:p w14:paraId="10804E48">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1"/>
                      <w:szCs w:val="21"/>
                      <w:lang w:val="en-US" w:eastAsia="zh-CN"/>
                    </w:rPr>
                    <w:t>符合</w:t>
                  </w:r>
                </w:p>
              </w:tc>
            </w:tr>
            <w:tr w14:paraId="27891C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 w:hRule="atLeast"/>
                <w:jc w:val="center"/>
              </w:trPr>
              <w:tc>
                <w:tcPr>
                  <w:tcW w:w="881" w:type="pct"/>
                  <w:vMerge w:val="continue"/>
                  <w:tcBorders>
                    <w:tl2br w:val="nil"/>
                    <w:tr2bl w:val="nil"/>
                  </w:tcBorders>
                  <w:noWrap w:val="0"/>
                  <w:vAlign w:val="center"/>
                </w:tcPr>
                <w:p w14:paraId="69379108">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rPr>
                  </w:pPr>
                </w:p>
              </w:tc>
              <w:tc>
                <w:tcPr>
                  <w:tcW w:w="2421" w:type="pct"/>
                  <w:tcBorders>
                    <w:tl2br w:val="nil"/>
                    <w:tr2bl w:val="nil"/>
                  </w:tcBorders>
                  <w:noWrap w:val="0"/>
                  <w:vAlign w:val="center"/>
                </w:tcPr>
                <w:p w14:paraId="07F9624D">
                  <w:pPr>
                    <w:pStyle w:val="25"/>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left"/>
                    <w:textAlignment w:val="auto"/>
                    <w:rPr>
                      <w:rFonts w:hint="default" w:ascii="Times New Roman" w:hAnsi="Times New Roman" w:cs="Times New Roman"/>
                      <w:color w:val="auto"/>
                    </w:rPr>
                  </w:pPr>
                  <w:r>
                    <w:rPr>
                      <w:rFonts w:hint="default" w:ascii="Times New Roman" w:hAnsi="Times New Roman" w:eastAsia="宋体" w:cs="Times New Roman"/>
                      <w:color w:val="auto"/>
                      <w:spacing w:val="0"/>
                      <w:kern w:val="0"/>
                      <w:sz w:val="21"/>
                      <w:szCs w:val="21"/>
                      <w:lang w:val="en-US" w:eastAsia="zh-CN" w:bidi="ar-SA"/>
                    </w:rPr>
                    <w:t>鼓励循环再生活性炭。鼓励企业使用优质可循环使用的活性炭，并与有资质的企业签订废旧活性炭的收集、转运、循环利用服务协议，提高治理效率，减少危险废物产生。</w:t>
                  </w:r>
                </w:p>
              </w:tc>
              <w:tc>
                <w:tcPr>
                  <w:tcW w:w="1189" w:type="pct"/>
                  <w:tcBorders>
                    <w:tl2br w:val="nil"/>
                    <w:tr2bl w:val="nil"/>
                  </w:tcBorders>
                  <w:noWrap w:val="0"/>
                  <w:vAlign w:val="center"/>
                </w:tcPr>
                <w:p w14:paraId="1712B853">
                  <w:pPr>
                    <w:keepNext w:val="0"/>
                    <w:keepLines w:val="0"/>
                    <w:pageBreakBefore w:val="0"/>
                    <w:kinsoku/>
                    <w:wordWrap w:val="0"/>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rPr>
                  </w:pPr>
                  <w:r>
                    <w:rPr>
                      <w:rFonts w:hint="default" w:ascii="Times New Roman" w:hAnsi="Times New Roman" w:cs="Times New Roman"/>
                      <w:color w:val="auto"/>
                      <w:kern w:val="0"/>
                      <w:sz w:val="21"/>
                      <w:szCs w:val="21"/>
                      <w:lang w:val="en-US" w:eastAsia="zh-CN"/>
                    </w:rPr>
                    <w:t>活性炭</w:t>
                  </w:r>
                  <w:r>
                    <w:rPr>
                      <w:rFonts w:hint="default" w:ascii="Times New Roman" w:hAnsi="Times New Roman" w:eastAsia="宋体" w:cs="Times New Roman"/>
                      <w:color w:val="auto"/>
                      <w:kern w:val="0"/>
                      <w:sz w:val="21"/>
                      <w:szCs w:val="21"/>
                      <w:lang w:val="en-US" w:eastAsia="zh-CN"/>
                    </w:rPr>
                    <w:t>定期更换后交由</w:t>
                  </w:r>
                  <w:r>
                    <w:rPr>
                      <w:rFonts w:hint="default" w:ascii="Times New Roman" w:hAnsi="Times New Roman" w:cs="Times New Roman"/>
                      <w:color w:val="auto"/>
                      <w:kern w:val="0"/>
                      <w:sz w:val="21"/>
                      <w:szCs w:val="21"/>
                      <w:lang w:val="en-US" w:eastAsia="zh-CN"/>
                    </w:rPr>
                    <w:t>有资质单位</w:t>
                  </w:r>
                  <w:r>
                    <w:rPr>
                      <w:rFonts w:hint="default" w:ascii="Times New Roman" w:hAnsi="Times New Roman" w:eastAsia="宋体" w:cs="Times New Roman"/>
                      <w:color w:val="auto"/>
                      <w:kern w:val="0"/>
                      <w:sz w:val="21"/>
                      <w:szCs w:val="21"/>
                      <w:lang w:val="en-US" w:eastAsia="zh-CN"/>
                    </w:rPr>
                    <w:t>处理。</w:t>
                  </w:r>
                </w:p>
              </w:tc>
              <w:tc>
                <w:tcPr>
                  <w:tcW w:w="508" w:type="pct"/>
                  <w:tcBorders>
                    <w:tl2br w:val="nil"/>
                    <w:tr2bl w:val="nil"/>
                  </w:tcBorders>
                  <w:noWrap w:val="0"/>
                  <w:vAlign w:val="center"/>
                </w:tcPr>
                <w:p w14:paraId="57A376F8">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1"/>
                      <w:szCs w:val="21"/>
                      <w:lang w:val="en-US" w:eastAsia="zh-CN"/>
                    </w:rPr>
                    <w:t>符合</w:t>
                  </w:r>
                </w:p>
              </w:tc>
            </w:tr>
            <w:tr w14:paraId="4E68E2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 w:hRule="atLeast"/>
                <w:jc w:val="center"/>
              </w:trPr>
              <w:tc>
                <w:tcPr>
                  <w:tcW w:w="881" w:type="pct"/>
                  <w:vMerge w:val="continue"/>
                  <w:tcBorders>
                    <w:tl2br w:val="nil"/>
                    <w:tr2bl w:val="nil"/>
                  </w:tcBorders>
                  <w:noWrap w:val="0"/>
                  <w:vAlign w:val="center"/>
                </w:tcPr>
                <w:p w14:paraId="06E5D0FE">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rPr>
                  </w:pPr>
                </w:p>
              </w:tc>
              <w:tc>
                <w:tcPr>
                  <w:tcW w:w="2421" w:type="pct"/>
                  <w:tcBorders>
                    <w:tl2br w:val="nil"/>
                    <w:tr2bl w:val="nil"/>
                  </w:tcBorders>
                  <w:noWrap w:val="0"/>
                  <w:vAlign w:val="center"/>
                </w:tcPr>
                <w:p w14:paraId="68CD1193">
                  <w:pPr>
                    <w:pStyle w:val="25"/>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left"/>
                    <w:textAlignment w:val="auto"/>
                    <w:rPr>
                      <w:rFonts w:hint="default" w:ascii="Times New Roman" w:hAnsi="Times New Roman" w:cs="Times New Roman"/>
                      <w:color w:val="auto"/>
                    </w:rPr>
                  </w:pPr>
                  <w:r>
                    <w:rPr>
                      <w:rFonts w:hint="default" w:ascii="Times New Roman" w:hAnsi="Times New Roman" w:eastAsia="宋体" w:cs="Times New Roman"/>
                      <w:color w:val="auto"/>
                      <w:spacing w:val="0"/>
                      <w:kern w:val="0"/>
                      <w:sz w:val="21"/>
                      <w:szCs w:val="21"/>
                      <w:lang w:val="en-US" w:eastAsia="zh-CN" w:bidi="ar-SA"/>
                    </w:rPr>
                    <w:t>完善台账记录。企业应按要求做好活性炭吸附日常运行维护台账记录，台账内容应包括开启时间、关停时间、更换时间更换照片、装填数量、设计参数、风量等，以及活性炭主要技术指标检测合格材料。环境管理台账记录保存期限不得少于5年。</w:t>
                  </w:r>
                </w:p>
              </w:tc>
              <w:tc>
                <w:tcPr>
                  <w:tcW w:w="1189" w:type="pct"/>
                  <w:tcBorders>
                    <w:tl2br w:val="nil"/>
                    <w:tr2bl w:val="nil"/>
                  </w:tcBorders>
                  <w:noWrap w:val="0"/>
                  <w:vAlign w:val="center"/>
                </w:tcPr>
                <w:p w14:paraId="5E1D9867">
                  <w:pPr>
                    <w:keepNext w:val="0"/>
                    <w:keepLines w:val="0"/>
                    <w:pageBreakBefore w:val="0"/>
                    <w:kinsoku/>
                    <w:wordWrap w:val="0"/>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1"/>
                      <w:szCs w:val="21"/>
                      <w:lang w:val="en-US" w:eastAsia="zh-CN"/>
                    </w:rPr>
                    <w:t>要求建设单位按要求</w:t>
                  </w:r>
                  <w:r>
                    <w:rPr>
                      <w:rFonts w:hint="default" w:ascii="Times New Roman" w:hAnsi="Times New Roman" w:eastAsia="宋体" w:cs="Times New Roman"/>
                      <w:color w:val="auto"/>
                      <w:spacing w:val="0"/>
                      <w:kern w:val="0"/>
                      <w:sz w:val="21"/>
                      <w:szCs w:val="21"/>
                      <w:lang w:val="en-US" w:eastAsia="zh-CN" w:bidi="ar-SA"/>
                    </w:rPr>
                    <w:t>完善台账记录</w:t>
                  </w:r>
                  <w:r>
                    <w:rPr>
                      <w:rFonts w:hint="default" w:ascii="Times New Roman" w:hAnsi="Times New Roman" w:eastAsia="宋体" w:cs="Times New Roman"/>
                      <w:color w:val="auto"/>
                      <w:kern w:val="0"/>
                      <w:sz w:val="21"/>
                      <w:szCs w:val="21"/>
                      <w:lang w:val="en-US" w:eastAsia="zh-CN"/>
                    </w:rPr>
                    <w:t>。</w:t>
                  </w:r>
                </w:p>
              </w:tc>
              <w:tc>
                <w:tcPr>
                  <w:tcW w:w="508" w:type="pct"/>
                  <w:tcBorders>
                    <w:tl2br w:val="nil"/>
                    <w:tr2bl w:val="nil"/>
                  </w:tcBorders>
                  <w:noWrap w:val="0"/>
                  <w:vAlign w:val="center"/>
                </w:tcPr>
                <w:p w14:paraId="272C1744">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1"/>
                      <w:szCs w:val="21"/>
                      <w:lang w:val="en-US" w:eastAsia="zh-CN"/>
                    </w:rPr>
                    <w:t>符合</w:t>
                  </w:r>
                </w:p>
              </w:tc>
            </w:tr>
            <w:tr w14:paraId="6E8E0C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 w:hRule="atLeast"/>
                <w:jc w:val="center"/>
              </w:trPr>
              <w:tc>
                <w:tcPr>
                  <w:tcW w:w="881" w:type="pct"/>
                  <w:vMerge w:val="restart"/>
                  <w:tcBorders>
                    <w:tl2br w:val="nil"/>
                    <w:tr2bl w:val="nil"/>
                  </w:tcBorders>
                  <w:noWrap w:val="0"/>
                  <w:vAlign w:val="center"/>
                </w:tcPr>
                <w:p w14:paraId="0B68A5F8">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1"/>
                      <w:szCs w:val="21"/>
                      <w:lang w:val="en-US" w:eastAsia="zh-CN" w:bidi="ar"/>
                    </w:rPr>
                    <w:t>《西安市挥发性有机物整治专项实施方案》</w:t>
                  </w:r>
                </w:p>
              </w:tc>
              <w:tc>
                <w:tcPr>
                  <w:tcW w:w="2421" w:type="pct"/>
                  <w:tcBorders>
                    <w:tl2br w:val="nil"/>
                    <w:tr2bl w:val="nil"/>
                  </w:tcBorders>
                  <w:noWrap w:val="0"/>
                  <w:vAlign w:val="center"/>
                </w:tcPr>
                <w:p w14:paraId="55580959">
                  <w:pPr>
                    <w:keepNext w:val="0"/>
                    <w:keepLines w:val="0"/>
                    <w:pageBreakBefore w:val="0"/>
                    <w:widowControl/>
                    <w:suppressLineNumbers w:val="0"/>
                    <w:kinsoku/>
                    <w:overflowPunct/>
                    <w:autoSpaceDE/>
                    <w:autoSpaceDN/>
                    <w:bidi w:val="0"/>
                    <w:spacing w:line="264" w:lineRule="auto"/>
                    <w:jc w:val="left"/>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
                    </w:rPr>
                    <w:t>（三）严格控制无组织排放。在保证安全前提下，加强含VOCs物料全方位、全链条、全环节密闭管理，做好VOCs物料储存、转移和输送、设备与管线组件泄漏、敞开液面逸散以及工艺过程等无组织排放环节的管理。生产应优先采用密闭设备、在密闭空间中操作或采用全密闭集气罩收集方式，采用全密闭集气罩或密闭空间的，除行业有特殊要求外，应保持微负压状态，并根据相关规范合理设置通风量。</w:t>
                  </w:r>
                </w:p>
              </w:tc>
              <w:tc>
                <w:tcPr>
                  <w:tcW w:w="1189" w:type="pct"/>
                  <w:tcBorders>
                    <w:tl2br w:val="nil"/>
                    <w:tr2bl w:val="nil"/>
                  </w:tcBorders>
                  <w:noWrap w:val="0"/>
                  <w:vAlign w:val="center"/>
                </w:tcPr>
                <w:p w14:paraId="1534F6C8">
                  <w:pPr>
                    <w:keepNext w:val="0"/>
                    <w:keepLines w:val="0"/>
                    <w:pageBreakBefore w:val="0"/>
                    <w:widowControl/>
                    <w:suppressLineNumbers w:val="0"/>
                    <w:kinsoku/>
                    <w:overflowPunct/>
                    <w:autoSpaceDE/>
                    <w:autoSpaceDN/>
                    <w:bidi w:val="0"/>
                    <w:spacing w:line="264" w:lineRule="auto"/>
                    <w:jc w:val="left"/>
                    <w:textAlignment w:val="auto"/>
                    <w:rPr>
                      <w:rFonts w:hint="default" w:ascii="Times New Roman" w:hAnsi="Times New Roman" w:eastAsia="宋体" w:cs="Times New Roman"/>
                      <w:color w:val="auto"/>
                      <w:kern w:val="0"/>
                      <w:sz w:val="21"/>
                      <w:szCs w:val="21"/>
                      <w:lang w:val="en-US" w:eastAsia="zh-CN" w:bidi="ar"/>
                    </w:rPr>
                  </w:pPr>
                  <w:r>
                    <w:rPr>
                      <w:color w:val="auto"/>
                      <w:kern w:val="0"/>
                      <w:szCs w:val="21"/>
                      <w:lang w:bidi="ar"/>
                    </w:rPr>
                    <w:t>项目加强挥发性有机物的无组织排放控制，</w:t>
                  </w:r>
                  <w:r>
                    <w:rPr>
                      <w:rFonts w:hint="eastAsia"/>
                      <w:color w:val="auto"/>
                      <w:kern w:val="0"/>
                      <w:szCs w:val="21"/>
                      <w:lang w:val="en-US" w:eastAsia="zh-CN" w:bidi="ar"/>
                    </w:rPr>
                    <w:t>物料全密闭储存、转移和输送。试剂浆料调配</w:t>
                  </w:r>
                  <w:r>
                    <w:rPr>
                      <w:color w:val="auto"/>
                      <w:kern w:val="0"/>
                      <w:szCs w:val="21"/>
                      <w:lang w:bidi="ar"/>
                    </w:rPr>
                    <w:t>在</w:t>
                  </w:r>
                  <w:r>
                    <w:rPr>
                      <w:rFonts w:hint="eastAsia"/>
                      <w:color w:val="auto"/>
                      <w:kern w:val="0"/>
                      <w:szCs w:val="21"/>
                      <w:lang w:bidi="ar"/>
                    </w:rPr>
                    <w:t>通风橱</w:t>
                  </w:r>
                  <w:r>
                    <w:rPr>
                      <w:color w:val="auto"/>
                      <w:kern w:val="0"/>
                      <w:szCs w:val="21"/>
                      <w:lang w:bidi="ar"/>
                    </w:rPr>
                    <w:t>中进行收集，减少有机废气无组织排放。</w:t>
                  </w:r>
                </w:p>
              </w:tc>
              <w:tc>
                <w:tcPr>
                  <w:tcW w:w="508" w:type="pct"/>
                  <w:tcBorders>
                    <w:tl2br w:val="nil"/>
                    <w:tr2bl w:val="nil"/>
                  </w:tcBorders>
                  <w:noWrap w:val="0"/>
                  <w:vAlign w:val="center"/>
                </w:tcPr>
                <w:p w14:paraId="735D116D">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符合</w:t>
                  </w:r>
                </w:p>
              </w:tc>
            </w:tr>
            <w:tr w14:paraId="6C9804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 w:hRule="atLeast"/>
                <w:jc w:val="center"/>
              </w:trPr>
              <w:tc>
                <w:tcPr>
                  <w:tcW w:w="881" w:type="pct"/>
                  <w:vMerge w:val="continue"/>
                  <w:tcBorders>
                    <w:tl2br w:val="nil"/>
                    <w:tr2bl w:val="nil"/>
                  </w:tcBorders>
                  <w:noWrap w:val="0"/>
                  <w:vAlign w:val="center"/>
                </w:tcPr>
                <w:p w14:paraId="74585603">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rPr>
                  </w:pPr>
                </w:p>
              </w:tc>
              <w:tc>
                <w:tcPr>
                  <w:tcW w:w="2421" w:type="pct"/>
                  <w:tcBorders>
                    <w:tl2br w:val="nil"/>
                    <w:tr2bl w:val="nil"/>
                  </w:tcBorders>
                  <w:noWrap w:val="0"/>
                  <w:vAlign w:val="center"/>
                </w:tcPr>
                <w:p w14:paraId="27012941">
                  <w:pPr>
                    <w:keepNext w:val="0"/>
                    <w:keepLines w:val="0"/>
                    <w:pageBreakBefore w:val="0"/>
                    <w:widowControl/>
                    <w:suppressLineNumbers w:val="0"/>
                    <w:kinsoku/>
                    <w:overflowPunct/>
                    <w:autoSpaceDE/>
                    <w:autoSpaceDN/>
                    <w:bidi w:val="0"/>
                    <w:spacing w:line="264" w:lineRule="auto"/>
                    <w:jc w:val="left"/>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
                    </w:rPr>
                    <w:t>（四）强化涉活性炭VOCs处理工艺治理。采用活性炭吸附技术的企业，其中颗粒碳碘吸附值不低于800mg/g或四氯化碳吸附率不低于60%，蜂窝活性炭碘吸附值不低于600mg/g或四氯化碳吸附率不低于30%，按设计要求足量添加、定期更换，动态更新挥发性有机物治理设施台账。组织开展活性炭技术等VOCs治理设施排查，对达不到要求的，应当更换或升级改造，实现稳定达标排放。</w:t>
                  </w:r>
                </w:p>
              </w:tc>
              <w:tc>
                <w:tcPr>
                  <w:tcW w:w="1189" w:type="pct"/>
                  <w:tcBorders>
                    <w:tl2br w:val="nil"/>
                    <w:tr2bl w:val="nil"/>
                  </w:tcBorders>
                  <w:noWrap w:val="0"/>
                  <w:vAlign w:val="center"/>
                </w:tcPr>
                <w:p w14:paraId="640F06D4">
                  <w:pPr>
                    <w:keepNext w:val="0"/>
                    <w:keepLines w:val="0"/>
                    <w:pageBreakBefore w:val="0"/>
                    <w:widowControl/>
                    <w:suppressLineNumbers w:val="0"/>
                    <w:kinsoku/>
                    <w:overflowPunct/>
                    <w:autoSpaceDE/>
                    <w:autoSpaceDN/>
                    <w:bidi w:val="0"/>
                    <w:spacing w:line="264" w:lineRule="auto"/>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本项目采用蜂窝活性炭，项目运营期将严格把控活性炭质量，每次更换活性炭均要求厂家提供碘值检测报告并根据环保文件足量添加，及时更换，设置活性炭更换台账，以确保达标排放。</w:t>
                  </w:r>
                </w:p>
              </w:tc>
              <w:tc>
                <w:tcPr>
                  <w:tcW w:w="508" w:type="pct"/>
                  <w:tcBorders>
                    <w:tl2br w:val="nil"/>
                    <w:tr2bl w:val="nil"/>
                  </w:tcBorders>
                  <w:noWrap w:val="0"/>
                  <w:vAlign w:val="center"/>
                </w:tcPr>
                <w:p w14:paraId="5F680E35">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符合</w:t>
                  </w:r>
                </w:p>
              </w:tc>
            </w:tr>
            <w:tr w14:paraId="7DD476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013" w:hRule="atLeast"/>
                <w:jc w:val="center"/>
              </w:trPr>
              <w:tc>
                <w:tcPr>
                  <w:tcW w:w="881" w:type="pct"/>
                  <w:vMerge w:val="restart"/>
                  <w:tcBorders>
                    <w:tl2br w:val="nil"/>
                    <w:tr2bl w:val="nil"/>
                  </w:tcBorders>
                  <w:noWrap w:val="0"/>
                  <w:vAlign w:val="center"/>
                </w:tcPr>
                <w:p w14:paraId="6620D0EA">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《西安市人民政府关于印发西安市空气质量达标规划（2023-2030年）的通知》（市政发〔2023〕10号）</w:t>
                  </w:r>
                </w:p>
              </w:tc>
              <w:tc>
                <w:tcPr>
                  <w:tcW w:w="2421" w:type="pct"/>
                  <w:tcBorders>
                    <w:tl2br w:val="nil"/>
                    <w:tr2bl w:val="nil"/>
                  </w:tcBorders>
                  <w:noWrap w:val="0"/>
                  <w:vAlign w:val="center"/>
                </w:tcPr>
                <w:p w14:paraId="2B446763">
                  <w:pPr>
                    <w:keepNext w:val="0"/>
                    <w:keepLines w:val="0"/>
                    <w:pageBreakBefore w:val="0"/>
                    <w:kinsoku/>
                    <w:wordWrap w:val="0"/>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根据国土空间规划分区和用途管制，实施“三线一单”（生态保护红线、环境质量底线、资源利用上线和生态环境准入清单）生态环境分区管控</w:t>
                  </w:r>
                </w:p>
                <w:p w14:paraId="1D88B8DC">
                  <w:pPr>
                    <w:keepNext w:val="0"/>
                    <w:keepLines w:val="0"/>
                    <w:pageBreakBefore w:val="0"/>
                    <w:kinsoku/>
                    <w:wordWrap w:val="0"/>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制度。</w:t>
                  </w:r>
                </w:p>
              </w:tc>
              <w:tc>
                <w:tcPr>
                  <w:tcW w:w="1189" w:type="pct"/>
                  <w:tcBorders>
                    <w:tl2br w:val="nil"/>
                    <w:tr2bl w:val="nil"/>
                  </w:tcBorders>
                  <w:noWrap w:val="0"/>
                  <w:vAlign w:val="center"/>
                </w:tcPr>
                <w:p w14:paraId="78950DFA">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21"/>
                      <w:szCs w:val="21"/>
                      <w:lang w:val="en-US" w:eastAsia="zh-CN"/>
                    </w:rPr>
                  </w:pPr>
                  <w:r>
                    <w:rPr>
                      <w:rFonts w:hint="default" w:ascii="Times New Roman" w:hAnsi="Times New Roman" w:cs="Times New Roman"/>
                      <w:color w:val="auto"/>
                      <w:kern w:val="21"/>
                      <w:szCs w:val="21"/>
                      <w:lang w:val="en-US" w:eastAsia="zh-CN"/>
                    </w:rPr>
                    <w:t>项目符合“三线一单”生态环境分区管控中的相关要求。</w:t>
                  </w:r>
                </w:p>
              </w:tc>
              <w:tc>
                <w:tcPr>
                  <w:tcW w:w="508" w:type="pct"/>
                  <w:tcBorders>
                    <w:tl2br w:val="nil"/>
                    <w:tr2bl w:val="nil"/>
                  </w:tcBorders>
                  <w:noWrap w:val="0"/>
                  <w:vAlign w:val="center"/>
                </w:tcPr>
                <w:p w14:paraId="5DC6A550">
                  <w:pPr>
                    <w:keepNext w:val="0"/>
                    <w:keepLines w:val="0"/>
                    <w:pageBreakBefore w:val="0"/>
                    <w:kinsoku/>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21"/>
                      <w:szCs w:val="21"/>
                      <w:lang w:val="en-US" w:eastAsia="zh-CN"/>
                    </w:rPr>
                    <w:t>符合</w:t>
                  </w:r>
                </w:p>
              </w:tc>
            </w:tr>
            <w:tr w14:paraId="38C26B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013" w:hRule="atLeast"/>
                <w:jc w:val="center"/>
              </w:trPr>
              <w:tc>
                <w:tcPr>
                  <w:tcW w:w="881" w:type="pct"/>
                  <w:vMerge w:val="continue"/>
                  <w:tcBorders>
                    <w:tl2br w:val="nil"/>
                    <w:tr2bl w:val="nil"/>
                  </w:tcBorders>
                  <w:noWrap w:val="0"/>
                  <w:vAlign w:val="center"/>
                </w:tcPr>
                <w:p w14:paraId="2DB87E8A">
                  <w:pPr>
                    <w:keepNext w:val="0"/>
                    <w:keepLines w:val="0"/>
                    <w:pageBreakBefore w:val="0"/>
                    <w:kinsoku/>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rPr>
                  </w:pPr>
                </w:p>
              </w:tc>
              <w:tc>
                <w:tcPr>
                  <w:tcW w:w="2421" w:type="pct"/>
                  <w:tcBorders>
                    <w:tl2br w:val="nil"/>
                    <w:tr2bl w:val="nil"/>
                  </w:tcBorders>
                  <w:noWrap w:val="0"/>
                  <w:vAlign w:val="center"/>
                </w:tcPr>
                <w:p w14:paraId="41E1DAA1">
                  <w:pPr>
                    <w:keepNext w:val="0"/>
                    <w:keepLines w:val="0"/>
                    <w:pageBreakBefore w:val="0"/>
                    <w:kinsoku/>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新建项目不再采用单一低温等离子、光氧化、光催化等治理技术，非水溶性VOCs废气不再采用单一喷淋吸收方式处理。</w:t>
                  </w:r>
                </w:p>
              </w:tc>
              <w:tc>
                <w:tcPr>
                  <w:tcW w:w="1189" w:type="pct"/>
                  <w:tcBorders>
                    <w:tl2br w:val="nil"/>
                    <w:tr2bl w:val="nil"/>
                  </w:tcBorders>
                  <w:noWrap w:val="0"/>
                  <w:vAlign w:val="center"/>
                </w:tcPr>
                <w:p w14:paraId="6A6EEAFD">
                  <w:pPr>
                    <w:keepNext w:val="0"/>
                    <w:keepLines w:val="0"/>
                    <w:pageBreakBefore w:val="0"/>
                    <w:widowControl/>
                    <w:suppressLineNumbers w:val="0"/>
                    <w:kinsoku/>
                    <w:overflowPunct/>
                    <w:autoSpaceDE/>
                    <w:autoSpaceDN/>
                    <w:bidi w:val="0"/>
                    <w:spacing w:line="264" w:lineRule="auto"/>
                    <w:jc w:val="left"/>
                    <w:textAlignment w:val="auto"/>
                    <w:rPr>
                      <w:rFonts w:hint="default" w:ascii="Times New Roman" w:hAnsi="Times New Roman" w:cs="Times New Roman"/>
                      <w:color w:val="auto"/>
                      <w:kern w:val="21"/>
                      <w:szCs w:val="21"/>
                      <w:lang w:val="en-US" w:eastAsia="zh-CN"/>
                    </w:rPr>
                  </w:pPr>
                  <w:r>
                    <w:rPr>
                      <w:rFonts w:hint="default" w:ascii="Times New Roman" w:hAnsi="Times New Roman" w:eastAsia="宋体" w:cs="Times New Roman"/>
                      <w:color w:val="auto"/>
                      <w:kern w:val="0"/>
                      <w:sz w:val="21"/>
                      <w:szCs w:val="21"/>
                      <w:lang w:val="en-US" w:eastAsia="zh-CN" w:bidi="ar"/>
                    </w:rPr>
                    <w:t>本项目产生非甲烷总烃，使用</w:t>
                  </w:r>
                  <w:r>
                    <w:rPr>
                      <w:rFonts w:hint="eastAsia" w:ascii="Times New Roman" w:hAnsi="Times New Roman" w:eastAsia="宋体" w:cs="Times New Roman"/>
                      <w:color w:val="auto"/>
                      <w:kern w:val="0"/>
                      <w:sz w:val="21"/>
                      <w:szCs w:val="21"/>
                      <w:lang w:val="en-US" w:eastAsia="zh-CN" w:bidi="ar"/>
                    </w:rPr>
                    <w:t>二</w:t>
                  </w:r>
                  <w:r>
                    <w:rPr>
                      <w:rFonts w:hint="default" w:ascii="Times New Roman" w:hAnsi="Times New Roman" w:eastAsia="宋体" w:cs="Times New Roman"/>
                      <w:color w:val="auto"/>
                      <w:kern w:val="0"/>
                      <w:sz w:val="21"/>
                      <w:szCs w:val="21"/>
                      <w:lang w:val="en-US" w:eastAsia="zh-CN" w:bidi="ar"/>
                    </w:rPr>
                    <w:t>级活性炭吸附处理工艺对有机废气进行处理，不属于单一喷淋吸收处理方式</w:t>
                  </w:r>
                  <w:r>
                    <w:rPr>
                      <w:rFonts w:hint="default" w:ascii="Times New Roman" w:hAnsi="Times New Roman" w:cs="Times New Roman"/>
                      <w:color w:val="auto"/>
                      <w:kern w:val="21"/>
                      <w:szCs w:val="21"/>
                      <w:lang w:val="en-US" w:eastAsia="zh-CN"/>
                    </w:rPr>
                    <w:t>。</w:t>
                  </w:r>
                </w:p>
              </w:tc>
              <w:tc>
                <w:tcPr>
                  <w:tcW w:w="508" w:type="pct"/>
                  <w:tcBorders>
                    <w:tl2br w:val="nil"/>
                    <w:tr2bl w:val="nil"/>
                  </w:tcBorders>
                  <w:noWrap w:val="0"/>
                  <w:vAlign w:val="center"/>
                </w:tcPr>
                <w:p w14:paraId="3CFB79EB">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kern w:val="21"/>
                      <w:szCs w:val="21"/>
                      <w:lang w:val="en-US" w:eastAsia="zh-CN"/>
                    </w:rPr>
                    <w:t>符合</w:t>
                  </w:r>
                </w:p>
              </w:tc>
            </w:tr>
            <w:tr w14:paraId="67D3FF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37" w:hRule="atLeast"/>
                <w:jc w:val="center"/>
              </w:trPr>
              <w:tc>
                <w:tcPr>
                  <w:tcW w:w="881" w:type="pct"/>
                  <w:tcBorders>
                    <w:tl2br w:val="nil"/>
                    <w:tr2bl w:val="nil"/>
                  </w:tcBorders>
                  <w:noWrap w:val="0"/>
                  <w:vAlign w:val="center"/>
                </w:tcPr>
                <w:p w14:paraId="6E858E0F">
                  <w:pPr>
                    <w:keepNext w:val="0"/>
                    <w:keepLines w:val="0"/>
                    <w:pageBreakBefore w:val="0"/>
                    <w:kinsoku/>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《西安市人民政府办公厅关于印发大气污染治理专项行动2024年工作方案的通知》（市政办函〔2024〕25号）</w:t>
                  </w:r>
                </w:p>
              </w:tc>
              <w:tc>
                <w:tcPr>
                  <w:tcW w:w="2421" w:type="pct"/>
                  <w:tcBorders>
                    <w:tl2br w:val="nil"/>
                    <w:tr2bl w:val="nil"/>
                  </w:tcBorders>
                  <w:noWrap w:val="0"/>
                  <w:vAlign w:val="center"/>
                </w:tcPr>
                <w:p w14:paraId="52042BF3">
                  <w:pPr>
                    <w:keepNext w:val="0"/>
                    <w:keepLines w:val="0"/>
                    <w:pageBreakBefore w:val="0"/>
                    <w:widowControl/>
                    <w:suppressLineNumbers w:val="0"/>
                    <w:kinsoku/>
                    <w:overflowPunct/>
                    <w:autoSpaceDE/>
                    <w:autoSpaceDN/>
                    <w:bidi w:val="0"/>
                    <w:spacing w:line="264" w:lineRule="auto"/>
                    <w:jc w:val="left"/>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
                    </w:rPr>
                    <w:t>强化涉活性炭VOCs处理工艺治理。深入开展简易低效挥发性有机物治理设施清理整治，组织开展涉活性炭挥发性有机物处理工艺专项整治行动，推广先进VOCs治理工艺，全面提升VOCs治理水平。</w:t>
                  </w:r>
                </w:p>
              </w:tc>
              <w:tc>
                <w:tcPr>
                  <w:tcW w:w="1189" w:type="pct"/>
                  <w:tcBorders>
                    <w:tl2br w:val="nil"/>
                    <w:tr2bl w:val="nil"/>
                  </w:tcBorders>
                  <w:noWrap w:val="0"/>
                  <w:vAlign w:val="center"/>
                </w:tcPr>
                <w:p w14:paraId="178416F7">
                  <w:pPr>
                    <w:keepNext w:val="0"/>
                    <w:keepLines w:val="0"/>
                    <w:pageBreakBefore w:val="0"/>
                    <w:widowControl/>
                    <w:suppressLineNumbers w:val="0"/>
                    <w:kinsoku/>
                    <w:overflowPunct/>
                    <w:autoSpaceDE/>
                    <w:autoSpaceDN/>
                    <w:bidi w:val="0"/>
                    <w:spacing w:line="264" w:lineRule="auto"/>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项目产生非甲烷总烃，使用</w:t>
                  </w:r>
                  <w:r>
                    <w:rPr>
                      <w:rFonts w:hint="eastAsia" w:ascii="Times New Roman" w:hAnsi="Times New Roman" w:eastAsia="宋体" w:cs="Times New Roman"/>
                      <w:color w:val="auto"/>
                      <w:kern w:val="0"/>
                      <w:sz w:val="21"/>
                      <w:szCs w:val="21"/>
                      <w:lang w:val="en-US" w:eastAsia="zh-CN" w:bidi="ar"/>
                    </w:rPr>
                    <w:t>二</w:t>
                  </w:r>
                  <w:r>
                    <w:rPr>
                      <w:rFonts w:hint="default" w:ascii="Times New Roman" w:hAnsi="Times New Roman" w:eastAsia="宋体" w:cs="Times New Roman"/>
                      <w:color w:val="auto"/>
                      <w:kern w:val="0"/>
                      <w:sz w:val="21"/>
                      <w:szCs w:val="21"/>
                      <w:lang w:val="en-US" w:eastAsia="zh-CN" w:bidi="ar"/>
                    </w:rPr>
                    <w:t>级活性炭吸附处理工艺对有机废气进行处理，有机废气达标排放。</w:t>
                  </w:r>
                </w:p>
              </w:tc>
              <w:tc>
                <w:tcPr>
                  <w:tcW w:w="508" w:type="pct"/>
                  <w:tcBorders>
                    <w:tl2br w:val="nil"/>
                    <w:tr2bl w:val="nil"/>
                  </w:tcBorders>
                  <w:noWrap w:val="0"/>
                  <w:vAlign w:val="center"/>
                </w:tcPr>
                <w:p w14:paraId="7564A75A">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21"/>
                      <w:szCs w:val="21"/>
                      <w:lang w:val="en-US" w:eastAsia="zh-CN"/>
                    </w:rPr>
                    <w:t>符合</w:t>
                  </w:r>
                </w:p>
              </w:tc>
            </w:tr>
            <w:tr w14:paraId="1AC815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62" w:hRule="atLeast"/>
                <w:jc w:val="center"/>
              </w:trPr>
              <w:tc>
                <w:tcPr>
                  <w:tcW w:w="881" w:type="pct"/>
                  <w:tcBorders>
                    <w:tl2br w:val="nil"/>
                    <w:tr2bl w:val="nil"/>
                  </w:tcBorders>
                  <w:noWrap w:val="0"/>
                  <w:vAlign w:val="center"/>
                </w:tcPr>
                <w:p w14:paraId="4F024DFE">
                  <w:pPr>
                    <w:keepNext w:val="0"/>
                    <w:keepLines w:val="0"/>
                    <w:pageBreakBefore w:val="0"/>
                    <w:widowControl/>
                    <w:suppressLineNumbers w:val="0"/>
                    <w:kinsoku/>
                    <w:wordWrap/>
                    <w:overflowPunct/>
                    <w:topLinePunct w:val="0"/>
                    <w:autoSpaceDE/>
                    <w:autoSpaceDN/>
                    <w:bidi w:val="0"/>
                    <w:adjustRightInd/>
                    <w:snapToGrid/>
                    <w:spacing w:line="264"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西安市人民政府办公厅《关于印发推进实现“十四五”空气质量目标暨大气污染治理专项行动2025年工作方案的通知》（市政办函〔2025〕12号）</w:t>
                  </w:r>
                </w:p>
              </w:tc>
              <w:tc>
                <w:tcPr>
                  <w:tcW w:w="2421" w:type="pct"/>
                  <w:tcBorders>
                    <w:tl2br w:val="nil"/>
                    <w:tr2bl w:val="nil"/>
                  </w:tcBorders>
                  <w:noWrap w:val="0"/>
                  <w:vAlign w:val="center"/>
                </w:tcPr>
                <w:p w14:paraId="7E680047">
                  <w:pPr>
                    <w:keepNext w:val="0"/>
                    <w:keepLines w:val="0"/>
                    <w:pageBreakBefore w:val="0"/>
                    <w:kinsoku/>
                    <w:overflowPunct/>
                    <w:topLinePunct w:val="0"/>
                    <w:autoSpaceDE/>
                    <w:autoSpaceDN/>
                    <w:bidi w:val="0"/>
                    <w:adjustRightInd w:val="0"/>
                    <w:snapToGrid w:val="0"/>
                    <w:spacing w:line="264" w:lineRule="auto"/>
                    <w:ind w:firstLine="0" w:firstLineChars="0"/>
                    <w:jc w:val="left"/>
                    <w:textAlignment w:val="auto"/>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kern w:val="21"/>
                      <w:sz w:val="21"/>
                      <w:szCs w:val="21"/>
                      <w:lang w:val="en-US" w:eastAsia="zh-CN"/>
                    </w:rPr>
                    <w:t>优化含VOCs原辅材料和产品结构</w:t>
                  </w:r>
                </w:p>
                <w:p w14:paraId="39264D70">
                  <w:pPr>
                    <w:keepNext w:val="0"/>
                    <w:keepLines w:val="0"/>
                    <w:pageBreakBefore w:val="0"/>
                    <w:kinsoku/>
                    <w:overflowPunct/>
                    <w:topLinePunct w:val="0"/>
                    <w:autoSpaceDE/>
                    <w:autoSpaceDN/>
                    <w:bidi w:val="0"/>
                    <w:adjustRightInd w:val="0"/>
                    <w:snapToGrid w:val="0"/>
                    <w:spacing w:line="264" w:lineRule="auto"/>
                    <w:ind w:firstLine="0" w:firstLineChars="0"/>
                    <w:jc w:val="left"/>
                    <w:textAlignment w:val="auto"/>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kern w:val="21"/>
                      <w:sz w:val="21"/>
                      <w:szCs w:val="21"/>
                      <w:lang w:val="en-US" w:eastAsia="zh-CN"/>
                    </w:rPr>
                    <w:t>：严格控制生产和使用高VOCs含量的涂料、油墨、胶黏剂、清洗剂等建设项目。坚持应替尽替原则，在工业企业、汽修、市政工程等方面集中开展低挥发性原辅材料源头替代工作，强化源头治理，减少挥发性有机物排放。</w:t>
                  </w:r>
                </w:p>
                <w:p w14:paraId="75853E4F">
                  <w:pPr>
                    <w:keepNext w:val="0"/>
                    <w:keepLines w:val="0"/>
                    <w:pageBreakBefore w:val="0"/>
                    <w:kinsoku/>
                    <w:wordWrap/>
                    <w:overflowPunct/>
                    <w:topLinePunct w:val="0"/>
                    <w:autoSpaceDE/>
                    <w:autoSpaceDN/>
                    <w:bidi w:val="0"/>
                    <w:adjustRightInd/>
                    <w:snapToGrid/>
                    <w:spacing w:line="264" w:lineRule="auto"/>
                    <w:ind w:left="0" w:leftChars="0" w:right="0" w:rightChars="0" w:firstLine="0" w:firstLineChars="0"/>
                    <w:jc w:val="left"/>
                    <w:textAlignment w:val="auto"/>
                    <w:rPr>
                      <w:rFonts w:hint="default" w:ascii="Times New Roman" w:hAnsi="Times New Roman" w:eastAsia="宋体" w:cs="Times New Roman"/>
                      <w:color w:val="auto"/>
                      <w:kern w:val="0"/>
                      <w:sz w:val="21"/>
                      <w:szCs w:val="21"/>
                      <w:lang w:val="en-US" w:eastAsia="zh-CN" w:bidi="ar-SA"/>
                    </w:rPr>
                  </w:pPr>
                </w:p>
              </w:tc>
              <w:tc>
                <w:tcPr>
                  <w:tcW w:w="1189" w:type="pct"/>
                  <w:tcBorders>
                    <w:tl2br w:val="nil"/>
                    <w:tr2bl w:val="nil"/>
                  </w:tcBorders>
                  <w:noWrap w:val="0"/>
                  <w:vAlign w:val="center"/>
                </w:tcPr>
                <w:p w14:paraId="6942325E">
                  <w:pPr>
                    <w:keepNext w:val="0"/>
                    <w:keepLines w:val="0"/>
                    <w:pageBreakBefore w:val="0"/>
                    <w:widowControl/>
                    <w:suppressLineNumbers w:val="0"/>
                    <w:kinsoku/>
                    <w:overflowPunct/>
                    <w:autoSpaceDE/>
                    <w:autoSpaceDN/>
                    <w:bidi w:val="0"/>
                    <w:spacing w:line="264" w:lineRule="auto"/>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项目涉及</w:t>
                  </w:r>
                  <w:r>
                    <w:rPr>
                      <w:rFonts w:hint="default" w:ascii="Times New Roman" w:hAnsi="Times New Roman" w:eastAsia="宋体" w:cs="Times New Roman"/>
                      <w:color w:val="auto"/>
                      <w:kern w:val="21"/>
                      <w:sz w:val="21"/>
                      <w:szCs w:val="21"/>
                      <w:lang w:val="en-US" w:eastAsia="zh-CN"/>
                    </w:rPr>
                    <w:t>VOCs</w:t>
                  </w:r>
                  <w:r>
                    <w:rPr>
                      <w:rFonts w:hint="default" w:ascii="Times New Roman" w:hAnsi="Times New Roman" w:eastAsia="宋体" w:cs="Times New Roman"/>
                      <w:color w:val="auto"/>
                      <w:kern w:val="0"/>
                      <w:sz w:val="21"/>
                      <w:szCs w:val="21"/>
                      <w:lang w:val="en-US" w:eastAsia="zh-CN" w:bidi="ar"/>
                    </w:rPr>
                    <w:t>原料主要为</w:t>
                  </w:r>
                  <w:r>
                    <w:rPr>
                      <w:rFonts w:hint="eastAsia" w:ascii="Times New Roman" w:hAnsi="Times New Roman" w:eastAsia="宋体" w:cs="Times New Roman"/>
                      <w:color w:val="auto"/>
                      <w:kern w:val="0"/>
                      <w:sz w:val="21"/>
                      <w:szCs w:val="21"/>
                      <w:lang w:val="en-US" w:eastAsia="zh-CN" w:bidi="ar"/>
                    </w:rPr>
                    <w:t>催化剂溶剂</w:t>
                  </w:r>
                  <w:r>
                    <w:rPr>
                      <w:rFonts w:hint="default" w:ascii="Times New Roman" w:hAnsi="Times New Roman" w:eastAsia="宋体" w:cs="Times New Roman"/>
                      <w:color w:val="auto"/>
                      <w:kern w:val="0"/>
                      <w:sz w:val="21"/>
                      <w:szCs w:val="21"/>
                      <w:lang w:val="en-US" w:eastAsia="zh-CN" w:bidi="ar"/>
                    </w:rPr>
                    <w:t>等，均为符合产品质量标准的原料；</w:t>
                  </w:r>
                  <w:r>
                    <w:rPr>
                      <w:rFonts w:hint="default" w:ascii="Times New Roman" w:hAnsi="Times New Roman" w:eastAsia="宋体" w:cs="Times New Roman"/>
                      <w:color w:val="auto"/>
                      <w:sz w:val="21"/>
                      <w:szCs w:val="21"/>
                      <w:lang w:eastAsia="zh-CN"/>
                    </w:rPr>
                    <w:t>项目</w:t>
                  </w:r>
                  <w:r>
                    <w:rPr>
                      <w:rFonts w:hint="eastAsia" w:ascii="Times New Roman" w:hAnsi="Times New Roman" w:eastAsia="宋体" w:cs="Times New Roman"/>
                      <w:color w:val="auto"/>
                      <w:kern w:val="2"/>
                      <w:sz w:val="21"/>
                      <w:szCs w:val="21"/>
                      <w:lang w:val="en-US" w:eastAsia="zh-CN" w:bidi="ar-SA"/>
                    </w:rPr>
                    <w:t>生产</w:t>
                  </w:r>
                  <w:r>
                    <w:rPr>
                      <w:rFonts w:hint="default" w:ascii="Times New Roman" w:hAnsi="Times New Roman" w:eastAsia="宋体" w:cs="Times New Roman"/>
                      <w:color w:val="auto"/>
                      <w:kern w:val="2"/>
                      <w:sz w:val="21"/>
                      <w:szCs w:val="21"/>
                      <w:lang w:val="en-US" w:eastAsia="zh-CN" w:bidi="ar-SA"/>
                    </w:rPr>
                    <w:t>废气经</w:t>
                  </w:r>
                  <w:r>
                    <w:rPr>
                      <w:rFonts w:hint="eastAsia"/>
                      <w:color w:val="auto"/>
                      <w:szCs w:val="21"/>
                    </w:rPr>
                    <w:t>通风橱</w:t>
                  </w:r>
                  <w:r>
                    <w:rPr>
                      <w:rFonts w:hint="eastAsia"/>
                      <w:color w:val="auto"/>
                      <w:szCs w:val="21"/>
                      <w:lang w:val="en-US" w:eastAsia="zh-CN"/>
                    </w:rPr>
                    <w:t>/密闭式管道</w:t>
                  </w:r>
                  <w:r>
                    <w:rPr>
                      <w:rFonts w:hint="eastAsia"/>
                      <w:color w:val="auto"/>
                      <w:szCs w:val="21"/>
                    </w:rPr>
                    <w:t>+二级活性炭吸附</w:t>
                  </w:r>
                  <w:r>
                    <w:rPr>
                      <w:color w:val="auto"/>
                      <w:szCs w:val="21"/>
                    </w:rPr>
                    <w:t>+</w:t>
                  </w:r>
                  <w:r>
                    <w:rPr>
                      <w:rFonts w:hint="eastAsia"/>
                      <w:color w:val="auto"/>
                      <w:szCs w:val="21"/>
                      <w:lang w:val="en-US" w:eastAsia="zh-CN"/>
                    </w:rPr>
                    <w:t>15m</w:t>
                  </w:r>
                  <w:r>
                    <w:rPr>
                      <w:color w:val="auto"/>
                      <w:szCs w:val="21"/>
                    </w:rPr>
                    <w:t>排气筒</w:t>
                  </w:r>
                  <w:r>
                    <w:rPr>
                      <w:rFonts w:hint="eastAsia"/>
                      <w:color w:val="auto"/>
                    </w:rPr>
                    <w:t>（DA001）</w:t>
                  </w:r>
                  <w:r>
                    <w:rPr>
                      <w:rFonts w:hint="default" w:ascii="Times New Roman" w:hAnsi="Times New Roman" w:eastAsia="宋体" w:cs="Times New Roman"/>
                      <w:color w:val="auto"/>
                      <w:kern w:val="2"/>
                      <w:sz w:val="21"/>
                      <w:szCs w:val="21"/>
                      <w:lang w:val="en-US" w:eastAsia="zh-CN" w:bidi="ar-SA"/>
                    </w:rPr>
                    <w:t>处理后排放。</w:t>
                  </w:r>
                </w:p>
              </w:tc>
              <w:tc>
                <w:tcPr>
                  <w:tcW w:w="508" w:type="pct"/>
                  <w:tcBorders>
                    <w:tl2br w:val="nil"/>
                    <w:tr2bl w:val="nil"/>
                  </w:tcBorders>
                  <w:noWrap w:val="0"/>
                  <w:vAlign w:val="center"/>
                </w:tcPr>
                <w:p w14:paraId="1B3782B3">
                  <w:pPr>
                    <w:keepNext w:val="0"/>
                    <w:keepLines w:val="0"/>
                    <w:pageBreakBefore w:val="0"/>
                    <w:kinsoku/>
                    <w:wordWrap/>
                    <w:overflowPunct/>
                    <w:topLinePunct w:val="0"/>
                    <w:autoSpaceDE/>
                    <w:autoSpaceDN/>
                    <w:bidi w:val="0"/>
                    <w:adjustRightInd/>
                    <w:snapToGrid/>
                    <w:spacing w:line="264"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符合</w:t>
                  </w:r>
                </w:p>
              </w:tc>
            </w:tr>
            <w:tr w14:paraId="5FD052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62" w:hRule="atLeast"/>
                <w:jc w:val="center"/>
              </w:trPr>
              <w:tc>
                <w:tcPr>
                  <w:tcW w:w="881" w:type="pct"/>
                  <w:tcBorders>
                    <w:tl2br w:val="nil"/>
                    <w:tr2bl w:val="nil"/>
                  </w:tcBorders>
                  <w:noWrap w:val="0"/>
                  <w:vAlign w:val="center"/>
                </w:tcPr>
                <w:p w14:paraId="629F2DB1">
                  <w:pPr>
                    <w:keepNext w:val="0"/>
                    <w:keepLines w:val="0"/>
                    <w:pageBreakBefore w:val="0"/>
                    <w:kinsoku/>
                    <w:overflowPunct/>
                    <w:topLinePunct w:val="0"/>
                    <w:autoSpaceDE/>
                    <w:autoSpaceDN/>
                    <w:bidi w:val="0"/>
                    <w:adjustRightInd w:val="0"/>
                    <w:snapToGrid w:val="0"/>
                    <w:spacing w:line="264"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21"/>
                      <w:sz w:val="21"/>
                      <w:szCs w:val="21"/>
                      <w:lang w:val="en-US" w:eastAsia="zh-CN"/>
                    </w:rPr>
                    <w:t>《西咸新区“十四五”生态环境保护规划》</w:t>
                  </w:r>
                </w:p>
              </w:tc>
              <w:tc>
                <w:tcPr>
                  <w:tcW w:w="2421" w:type="pct"/>
                  <w:tcBorders>
                    <w:tl2br w:val="nil"/>
                    <w:tr2bl w:val="nil"/>
                  </w:tcBorders>
                  <w:noWrap w:val="0"/>
                  <w:vAlign w:val="center"/>
                </w:tcPr>
                <w:p w14:paraId="74A380C0">
                  <w:pPr>
                    <w:keepNext w:val="0"/>
                    <w:keepLines w:val="0"/>
                    <w:pageBreakBefore w:val="0"/>
                    <w:kinsoku/>
                    <w:overflowPunct/>
                    <w:topLinePunct w:val="0"/>
                    <w:autoSpaceDE/>
                    <w:autoSpaceDN/>
                    <w:bidi w:val="0"/>
                    <w:adjustRightInd w:val="0"/>
                    <w:snapToGrid w:val="0"/>
                    <w:spacing w:line="264" w:lineRule="auto"/>
                    <w:ind w:firstLine="0" w:firstLineChars="0"/>
                    <w:jc w:val="left"/>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21"/>
                      <w:sz w:val="21"/>
                      <w:szCs w:val="21"/>
                      <w:lang w:val="en-US" w:eastAsia="zh-CN"/>
                    </w:rPr>
                    <w:t>实施重点领域VOCs综合治理。建立石化、化工、工业涂装、包装印刷等重点行业及工业园区的源头替代、过程控制和末端治理全过程治理体系，实施VOCs排放总量控制。</w:t>
                  </w:r>
                </w:p>
              </w:tc>
              <w:tc>
                <w:tcPr>
                  <w:tcW w:w="1189" w:type="pct"/>
                  <w:tcBorders>
                    <w:tl2br w:val="nil"/>
                    <w:tr2bl w:val="nil"/>
                  </w:tcBorders>
                  <w:noWrap w:val="0"/>
                  <w:vAlign w:val="center"/>
                </w:tcPr>
                <w:p w14:paraId="1D5FC360">
                  <w:pPr>
                    <w:keepNext w:val="0"/>
                    <w:keepLines w:val="0"/>
                    <w:pageBreakBefore w:val="0"/>
                    <w:kinsoku/>
                    <w:overflowPunct/>
                    <w:topLinePunct w:val="0"/>
                    <w:autoSpaceDE/>
                    <w:autoSpaceDN/>
                    <w:bidi w:val="0"/>
                    <w:adjustRightInd w:val="0"/>
                    <w:snapToGrid w:val="0"/>
                    <w:spacing w:line="264" w:lineRule="auto"/>
                    <w:ind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Cs w:val="21"/>
                    </w:rPr>
                    <w:t>本项目为</w:t>
                  </w:r>
                  <w:r>
                    <w:rPr>
                      <w:rFonts w:hint="default" w:ascii="Times New Roman" w:hAnsi="Times New Roman" w:eastAsia="宋体" w:cs="Times New Roman"/>
                      <w:color w:val="auto"/>
                      <w:kern w:val="0"/>
                      <w:szCs w:val="21"/>
                      <w:lang w:val="en-US" w:eastAsia="zh-CN"/>
                    </w:rPr>
                    <w:t>高效氢燃料电池膜电极产业化项目</w:t>
                  </w:r>
                  <w:r>
                    <w:rPr>
                      <w:rFonts w:hint="eastAsia" w:ascii="Times New Roman" w:hAnsi="Times New Roman" w:eastAsia="宋体" w:cs="Times New Roman"/>
                      <w:color w:val="auto"/>
                      <w:kern w:val="0"/>
                      <w:szCs w:val="21"/>
                      <w:lang w:val="en-US" w:eastAsia="zh-CN"/>
                    </w:rPr>
                    <w:t>，不属于</w:t>
                  </w:r>
                  <w:r>
                    <w:rPr>
                      <w:rFonts w:hint="default" w:ascii="Times New Roman" w:hAnsi="Times New Roman" w:eastAsia="宋体" w:cs="Times New Roman"/>
                      <w:color w:val="auto"/>
                      <w:kern w:val="21"/>
                      <w:sz w:val="21"/>
                      <w:szCs w:val="21"/>
                      <w:lang w:val="en-US" w:eastAsia="zh-CN"/>
                    </w:rPr>
                    <w:t>石化、化工、工业涂装、包装印刷等重点行业</w:t>
                  </w:r>
                  <w:r>
                    <w:rPr>
                      <w:rFonts w:hint="eastAsia" w:ascii="Times New Roman" w:hAnsi="Times New Roman" w:eastAsia="宋体" w:cs="Times New Roman"/>
                      <w:color w:val="auto"/>
                      <w:kern w:val="21"/>
                      <w:sz w:val="21"/>
                      <w:szCs w:val="21"/>
                      <w:lang w:val="en-US" w:eastAsia="zh-CN"/>
                    </w:rPr>
                    <w:t>。</w:t>
                  </w:r>
                  <w:r>
                    <w:rPr>
                      <w:rFonts w:hint="default" w:ascii="Times New Roman" w:hAnsi="Times New Roman" w:eastAsia="宋体" w:cs="Times New Roman"/>
                      <w:color w:val="auto"/>
                      <w:sz w:val="21"/>
                      <w:szCs w:val="21"/>
                      <w:lang w:eastAsia="zh-CN"/>
                    </w:rPr>
                    <w:t>项目</w:t>
                  </w:r>
                  <w:r>
                    <w:rPr>
                      <w:rFonts w:hint="eastAsia" w:ascii="Times New Roman" w:hAnsi="Times New Roman" w:eastAsia="宋体" w:cs="Times New Roman"/>
                      <w:color w:val="auto"/>
                      <w:kern w:val="2"/>
                      <w:sz w:val="21"/>
                      <w:szCs w:val="21"/>
                      <w:lang w:val="en-US" w:eastAsia="zh-CN" w:bidi="ar-SA"/>
                    </w:rPr>
                    <w:t>生产</w:t>
                  </w:r>
                  <w:r>
                    <w:rPr>
                      <w:rFonts w:hint="default" w:ascii="Times New Roman" w:hAnsi="Times New Roman" w:eastAsia="宋体" w:cs="Times New Roman"/>
                      <w:color w:val="auto"/>
                      <w:kern w:val="2"/>
                      <w:sz w:val="21"/>
                      <w:szCs w:val="21"/>
                      <w:lang w:val="en-US" w:eastAsia="zh-CN" w:bidi="ar-SA"/>
                    </w:rPr>
                    <w:t>废气经</w:t>
                  </w:r>
                  <w:r>
                    <w:rPr>
                      <w:rFonts w:hint="eastAsia"/>
                      <w:color w:val="auto"/>
                      <w:szCs w:val="21"/>
                    </w:rPr>
                    <w:t>通风橱</w:t>
                  </w:r>
                  <w:r>
                    <w:rPr>
                      <w:rFonts w:hint="eastAsia"/>
                      <w:color w:val="auto"/>
                      <w:szCs w:val="21"/>
                      <w:lang w:val="en-US" w:eastAsia="zh-CN"/>
                    </w:rPr>
                    <w:t>/密闭式管道</w:t>
                  </w:r>
                  <w:r>
                    <w:rPr>
                      <w:rFonts w:hint="eastAsia"/>
                      <w:color w:val="auto"/>
                      <w:szCs w:val="21"/>
                    </w:rPr>
                    <w:t>+二级活性炭吸附</w:t>
                  </w:r>
                  <w:r>
                    <w:rPr>
                      <w:color w:val="auto"/>
                      <w:szCs w:val="21"/>
                    </w:rPr>
                    <w:t>+</w:t>
                  </w:r>
                  <w:r>
                    <w:rPr>
                      <w:rFonts w:hint="eastAsia"/>
                      <w:color w:val="auto"/>
                      <w:szCs w:val="21"/>
                      <w:lang w:val="en-US" w:eastAsia="zh-CN"/>
                    </w:rPr>
                    <w:t>15m</w:t>
                  </w:r>
                  <w:r>
                    <w:rPr>
                      <w:color w:val="auto"/>
                      <w:szCs w:val="21"/>
                    </w:rPr>
                    <w:t>排气筒</w:t>
                  </w:r>
                  <w:r>
                    <w:rPr>
                      <w:rFonts w:hint="eastAsia"/>
                      <w:color w:val="auto"/>
                    </w:rPr>
                    <w:t>（DA001）</w:t>
                  </w:r>
                  <w:r>
                    <w:rPr>
                      <w:rFonts w:hint="default" w:ascii="Times New Roman" w:hAnsi="Times New Roman" w:eastAsia="宋体" w:cs="Times New Roman"/>
                      <w:color w:val="auto"/>
                      <w:kern w:val="2"/>
                      <w:sz w:val="21"/>
                      <w:szCs w:val="21"/>
                      <w:lang w:val="en-US" w:eastAsia="zh-CN" w:bidi="ar-SA"/>
                    </w:rPr>
                    <w:t>处理后排放。</w:t>
                  </w:r>
                </w:p>
              </w:tc>
              <w:tc>
                <w:tcPr>
                  <w:tcW w:w="508" w:type="pct"/>
                  <w:tcBorders>
                    <w:tl2br w:val="nil"/>
                    <w:tr2bl w:val="nil"/>
                  </w:tcBorders>
                  <w:noWrap w:val="0"/>
                  <w:vAlign w:val="center"/>
                </w:tcPr>
                <w:p w14:paraId="4393E9CF">
                  <w:pPr>
                    <w:keepNext w:val="0"/>
                    <w:keepLines w:val="0"/>
                    <w:pageBreakBefore w:val="0"/>
                    <w:kinsoku/>
                    <w:wordWrap/>
                    <w:overflowPunct/>
                    <w:topLinePunct w:val="0"/>
                    <w:autoSpaceDE/>
                    <w:autoSpaceDN/>
                    <w:bidi w:val="0"/>
                    <w:adjustRightInd/>
                    <w:snapToGrid/>
                    <w:spacing w:line="264"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符合</w:t>
                  </w:r>
                </w:p>
              </w:tc>
            </w:tr>
            <w:tr w14:paraId="1BAB9C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62" w:hRule="atLeast"/>
                <w:jc w:val="center"/>
              </w:trPr>
              <w:tc>
                <w:tcPr>
                  <w:tcW w:w="881" w:type="pct"/>
                  <w:tcBorders>
                    <w:tl2br w:val="nil"/>
                    <w:tr2bl w:val="nil"/>
                  </w:tcBorders>
                  <w:noWrap w:val="0"/>
                  <w:vAlign w:val="center"/>
                </w:tcPr>
                <w:p w14:paraId="6FD2DF23">
                  <w:pPr>
                    <w:keepNext w:val="0"/>
                    <w:keepLines w:val="0"/>
                    <w:pageBreakBefore w:val="0"/>
                    <w:kinsoku/>
                    <w:overflowPunct/>
                    <w:topLinePunct w:val="0"/>
                    <w:autoSpaceDE/>
                    <w:autoSpaceDN/>
                    <w:bidi w:val="0"/>
                    <w:adjustRightInd w:val="0"/>
                    <w:snapToGrid w:val="0"/>
                    <w:spacing w:line="264" w:lineRule="auto"/>
                    <w:ind w:firstLine="0" w:firstLineChars="0"/>
                    <w:jc w:val="center"/>
                    <w:textAlignment w:val="auto"/>
                    <w:rPr>
                      <w:rFonts w:hint="default" w:ascii="Times New Roman" w:hAnsi="Times New Roman" w:eastAsia="宋体" w:cs="Times New Roman"/>
                      <w:color w:val="auto"/>
                      <w:kern w:val="21"/>
                      <w:sz w:val="21"/>
                      <w:szCs w:val="21"/>
                      <w:lang w:val="en-US" w:eastAsia="zh-CN"/>
                    </w:rPr>
                  </w:pPr>
                  <w:r>
                    <w:rPr>
                      <w:rFonts w:hint="eastAsia" w:cs="Times New Roman"/>
                      <w:color w:val="auto"/>
                      <w:kern w:val="21"/>
                      <w:sz w:val="21"/>
                      <w:szCs w:val="21"/>
                      <w:lang w:val="en-US" w:eastAsia="zh-CN"/>
                    </w:rPr>
                    <w:t>《西安市大气污染防治条例》</w:t>
                  </w:r>
                </w:p>
              </w:tc>
              <w:tc>
                <w:tcPr>
                  <w:tcW w:w="2421" w:type="pct"/>
                  <w:tcBorders>
                    <w:tl2br w:val="nil"/>
                    <w:tr2bl w:val="nil"/>
                  </w:tcBorders>
                  <w:shd w:val="clear" w:color="auto" w:fill="auto"/>
                  <w:noWrap w:val="0"/>
                  <w:vAlign w:val="center"/>
                </w:tcPr>
                <w:p w14:paraId="078C162E">
                  <w:pPr>
                    <w:autoSpaceDE w:val="0"/>
                    <w:autoSpaceDN w:val="0"/>
                    <w:adjustRightInd w:val="0"/>
                    <w:snapToGrid w:val="0"/>
                    <w:rPr>
                      <w:rFonts w:hint="default" w:ascii="Times New Roman" w:hAnsi="Times New Roman" w:eastAsia="宋体" w:cs="Times New Roman"/>
                      <w:color w:val="auto"/>
                      <w:kern w:val="2"/>
                      <w:sz w:val="21"/>
                      <w:szCs w:val="21"/>
                      <w:lang w:val="en-US" w:eastAsia="zh-CN" w:bidi="ar-SA"/>
                    </w:rPr>
                  </w:pPr>
                  <w:r>
                    <w:rPr>
                      <w:rFonts w:hint="eastAsia"/>
                      <w:color w:val="auto"/>
                      <w:szCs w:val="21"/>
                    </w:rPr>
                    <w:t>产生含挥发性有机物废气的生产和服务活动，应当在密闭空间或者设备中进行，并按照规定安装、使用污染防治设施；无法密闭的，应当采取有效措施减少废气排放。</w:t>
                  </w:r>
                </w:p>
              </w:tc>
              <w:tc>
                <w:tcPr>
                  <w:tcW w:w="1189" w:type="pct"/>
                  <w:tcBorders>
                    <w:tl2br w:val="nil"/>
                    <w:tr2bl w:val="nil"/>
                  </w:tcBorders>
                  <w:shd w:val="clear" w:color="auto" w:fill="auto"/>
                  <w:noWrap w:val="0"/>
                  <w:vAlign w:val="center"/>
                </w:tcPr>
                <w:p w14:paraId="635F6AE6">
                  <w:pPr>
                    <w:autoSpaceDE w:val="0"/>
                    <w:autoSpaceDN w:val="0"/>
                    <w:adjustRightInd w:val="0"/>
                    <w:snapToGrid w:val="0"/>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项目</w:t>
                  </w:r>
                  <w:r>
                    <w:rPr>
                      <w:rFonts w:hint="eastAsia"/>
                      <w:color w:val="auto"/>
                      <w:szCs w:val="21"/>
                    </w:rPr>
                    <w:t>产生含挥发性有机物废气的生产</w:t>
                  </w:r>
                  <w:r>
                    <w:rPr>
                      <w:rFonts w:hint="eastAsia"/>
                      <w:color w:val="auto"/>
                      <w:szCs w:val="21"/>
                      <w:lang w:val="en-US" w:eastAsia="zh-CN"/>
                    </w:rPr>
                    <w:t>步骤</w:t>
                  </w:r>
                  <w:r>
                    <w:rPr>
                      <w:rFonts w:hint="eastAsia"/>
                      <w:color w:val="auto"/>
                      <w:szCs w:val="21"/>
                    </w:rPr>
                    <w:t>在密闭空间</w:t>
                  </w:r>
                  <w:r>
                    <w:rPr>
                      <w:rFonts w:hint="eastAsia"/>
                      <w:color w:val="auto"/>
                      <w:szCs w:val="21"/>
                      <w:lang w:val="en-US" w:eastAsia="zh-CN"/>
                    </w:rPr>
                    <w:t>中进行</w:t>
                  </w:r>
                  <w:r>
                    <w:rPr>
                      <w:rFonts w:hint="eastAsia"/>
                      <w:color w:val="auto"/>
                      <w:szCs w:val="21"/>
                      <w:lang w:eastAsia="zh-CN"/>
                    </w:rPr>
                    <w:t>，</w:t>
                  </w:r>
                  <w:r>
                    <w:rPr>
                      <w:rFonts w:hint="eastAsia"/>
                      <w:color w:val="auto"/>
                      <w:szCs w:val="21"/>
                      <w:lang w:val="en-US" w:eastAsia="zh-CN"/>
                    </w:rPr>
                    <w:t>运行过程中产生的有机废气</w:t>
                  </w:r>
                  <w:r>
                    <w:rPr>
                      <w:rFonts w:hint="default" w:ascii="Times New Roman" w:hAnsi="Times New Roman" w:eastAsia="宋体" w:cs="Times New Roman"/>
                      <w:color w:val="auto"/>
                      <w:kern w:val="2"/>
                      <w:sz w:val="21"/>
                      <w:szCs w:val="21"/>
                      <w:lang w:val="en-US" w:eastAsia="zh-CN" w:bidi="ar-SA"/>
                    </w:rPr>
                    <w:t>经</w:t>
                  </w:r>
                  <w:r>
                    <w:rPr>
                      <w:rFonts w:hint="eastAsia"/>
                      <w:color w:val="auto"/>
                      <w:szCs w:val="21"/>
                    </w:rPr>
                    <w:t>通风橱</w:t>
                  </w:r>
                  <w:r>
                    <w:rPr>
                      <w:rFonts w:hint="eastAsia"/>
                      <w:color w:val="auto"/>
                      <w:szCs w:val="21"/>
                      <w:lang w:val="en-US" w:eastAsia="zh-CN"/>
                    </w:rPr>
                    <w:t>/密闭式管道</w:t>
                  </w:r>
                  <w:r>
                    <w:rPr>
                      <w:rFonts w:hint="eastAsia"/>
                      <w:color w:val="auto"/>
                      <w:szCs w:val="21"/>
                    </w:rPr>
                    <w:t>+二级活性炭吸附</w:t>
                  </w:r>
                  <w:r>
                    <w:rPr>
                      <w:color w:val="auto"/>
                      <w:szCs w:val="21"/>
                    </w:rPr>
                    <w:t>+</w:t>
                  </w:r>
                  <w:r>
                    <w:rPr>
                      <w:rFonts w:hint="eastAsia"/>
                      <w:color w:val="auto"/>
                      <w:szCs w:val="21"/>
                      <w:lang w:val="en-US" w:eastAsia="zh-CN"/>
                    </w:rPr>
                    <w:t>15m</w:t>
                  </w:r>
                  <w:r>
                    <w:rPr>
                      <w:color w:val="auto"/>
                      <w:szCs w:val="21"/>
                    </w:rPr>
                    <w:t>排气筒</w:t>
                  </w:r>
                  <w:r>
                    <w:rPr>
                      <w:rFonts w:hint="eastAsia"/>
                      <w:color w:val="auto"/>
                    </w:rPr>
                    <w:t>（DA001）</w:t>
                  </w:r>
                  <w:r>
                    <w:rPr>
                      <w:rFonts w:hint="default" w:ascii="Times New Roman" w:hAnsi="Times New Roman" w:eastAsia="宋体" w:cs="Times New Roman"/>
                      <w:color w:val="auto"/>
                      <w:kern w:val="2"/>
                      <w:sz w:val="21"/>
                      <w:szCs w:val="21"/>
                      <w:lang w:val="en-US" w:eastAsia="zh-CN" w:bidi="ar-SA"/>
                    </w:rPr>
                    <w:t>处理后</w:t>
                  </w:r>
                  <w:r>
                    <w:rPr>
                      <w:rFonts w:hint="eastAsia" w:ascii="Times New Roman" w:hAnsi="Times New Roman" w:eastAsia="宋体" w:cs="Times New Roman"/>
                      <w:color w:val="auto"/>
                      <w:kern w:val="2"/>
                      <w:sz w:val="21"/>
                      <w:szCs w:val="21"/>
                      <w:lang w:val="en-US" w:eastAsia="zh-CN" w:bidi="ar-SA"/>
                    </w:rPr>
                    <w:t>达标</w:t>
                  </w:r>
                  <w:r>
                    <w:rPr>
                      <w:rFonts w:hint="default" w:ascii="Times New Roman" w:hAnsi="Times New Roman" w:eastAsia="宋体" w:cs="Times New Roman"/>
                      <w:color w:val="auto"/>
                      <w:kern w:val="2"/>
                      <w:sz w:val="21"/>
                      <w:szCs w:val="21"/>
                      <w:lang w:val="en-US" w:eastAsia="zh-CN" w:bidi="ar-SA"/>
                    </w:rPr>
                    <w:t>排放</w:t>
                  </w:r>
                  <w:r>
                    <w:rPr>
                      <w:rFonts w:hint="eastAsia"/>
                      <w:color w:val="auto"/>
                      <w:szCs w:val="21"/>
                      <w:lang w:eastAsia="zh-CN"/>
                    </w:rPr>
                    <w:t>。</w:t>
                  </w:r>
                </w:p>
              </w:tc>
              <w:tc>
                <w:tcPr>
                  <w:tcW w:w="508" w:type="pct"/>
                  <w:tcBorders>
                    <w:tl2br w:val="nil"/>
                    <w:tr2bl w:val="nil"/>
                  </w:tcBorders>
                  <w:shd w:val="clear" w:color="auto" w:fill="auto"/>
                  <w:noWrap w:val="0"/>
                  <w:vAlign w:val="center"/>
                </w:tcPr>
                <w:p w14:paraId="4222BBCB">
                  <w:pPr>
                    <w:autoSpaceDE w:val="0"/>
                    <w:autoSpaceDN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符合</w:t>
                  </w:r>
                </w:p>
              </w:tc>
            </w:tr>
            <w:tr w14:paraId="1963E2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6" w:hRule="atLeast"/>
                <w:jc w:val="center"/>
              </w:trPr>
              <w:tc>
                <w:tcPr>
                  <w:tcW w:w="881" w:type="pct"/>
                  <w:vMerge w:val="restart"/>
                  <w:tcBorders>
                    <w:tl2br w:val="nil"/>
                    <w:tr2bl w:val="nil"/>
                  </w:tcBorders>
                  <w:noWrap w:val="0"/>
                  <w:vAlign w:val="center"/>
                </w:tcPr>
                <w:p w14:paraId="55A1293B">
                  <w:pPr>
                    <w:autoSpaceDE w:val="0"/>
                    <w:autoSpaceDN w:val="0"/>
                    <w:adjustRightInd w:val="0"/>
                    <w:snapToGrid w:val="0"/>
                    <w:jc w:val="center"/>
                    <w:rPr>
                      <w:rFonts w:hint="default" w:ascii="Times New Roman" w:hAnsi="Times New Roman" w:eastAsia="宋体" w:cs="Times New Roman"/>
                      <w:color w:val="auto"/>
                      <w:kern w:val="21"/>
                      <w:sz w:val="21"/>
                      <w:szCs w:val="21"/>
                      <w:lang w:val="en-US" w:eastAsia="zh-CN"/>
                    </w:rPr>
                  </w:pPr>
                  <w:r>
                    <w:rPr>
                      <w:rFonts w:hint="eastAsia"/>
                      <w:color w:val="auto"/>
                      <w:szCs w:val="21"/>
                      <w:lang w:eastAsia="zh-CN"/>
                    </w:rPr>
                    <w:t>陕西省西咸新区党政办公室关于印发《西咸新区推进实现“十四五”空气质量目标暨大气污染治理专项行动2025年工作方案的通知》（陕西咸党政办函〔2025〕13号）</w:t>
                  </w:r>
                </w:p>
              </w:tc>
              <w:tc>
                <w:tcPr>
                  <w:tcW w:w="2421" w:type="pct"/>
                  <w:tcBorders>
                    <w:tl2br w:val="nil"/>
                    <w:tr2bl w:val="nil"/>
                  </w:tcBorders>
                  <w:noWrap w:val="0"/>
                  <w:vAlign w:val="center"/>
                </w:tcPr>
                <w:p w14:paraId="60474FFF">
                  <w:pPr>
                    <w:autoSpaceDE w:val="0"/>
                    <w:autoSpaceDN w:val="0"/>
                    <w:adjustRightInd w:val="0"/>
                    <w:snapToGrid w:val="0"/>
                    <w:rPr>
                      <w:rFonts w:hint="default" w:ascii="Times New Roman" w:hAnsi="Times New Roman" w:eastAsia="宋体" w:cs="Times New Roman"/>
                      <w:color w:val="auto"/>
                      <w:kern w:val="21"/>
                      <w:sz w:val="21"/>
                      <w:szCs w:val="21"/>
                      <w:lang w:val="en-US" w:eastAsia="zh-CN"/>
                    </w:rPr>
                  </w:pPr>
                  <w:r>
                    <w:rPr>
                      <w:rFonts w:hint="eastAsia" w:ascii="Times New Roman" w:hAnsi="Times New Roman" w:eastAsia="宋体" w:cs="Times New Roman"/>
                      <w:color w:val="auto"/>
                      <w:szCs w:val="21"/>
                    </w:rPr>
                    <w:t>强化源头管控。严格落实国家、省、市及新区产业规划、产业政策、生态环境分区管控、规划环评、重点污染物总量控制、污染物排放区域削减等要求，积极推行区域、规划环境影响评价，新改扩建化工、石化、建材、有色等项目的环境影响评价应满足区域和规划环评要求。</w:t>
                  </w:r>
                </w:p>
              </w:tc>
              <w:tc>
                <w:tcPr>
                  <w:tcW w:w="1189" w:type="pct"/>
                  <w:tcBorders>
                    <w:tl2br w:val="nil"/>
                    <w:tr2bl w:val="nil"/>
                  </w:tcBorders>
                  <w:noWrap w:val="0"/>
                  <w:vAlign w:val="center"/>
                </w:tcPr>
                <w:p w14:paraId="335525B1">
                  <w:pPr>
                    <w:autoSpaceDE w:val="0"/>
                    <w:autoSpaceDN w:val="0"/>
                    <w:adjustRightInd w:val="0"/>
                    <w:snapToGrid w:val="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本项目为</w:t>
                  </w:r>
                  <w:r>
                    <w:rPr>
                      <w:rFonts w:hint="default" w:ascii="Times New Roman" w:hAnsi="Times New Roman" w:eastAsia="宋体" w:cs="Times New Roman"/>
                      <w:color w:val="auto"/>
                      <w:kern w:val="0"/>
                      <w:szCs w:val="21"/>
                      <w:lang w:val="en-US" w:eastAsia="zh-CN"/>
                    </w:rPr>
                    <w:t>高效氢燃料电池膜电极产业化项目</w:t>
                  </w:r>
                  <w:r>
                    <w:rPr>
                      <w:rFonts w:hint="eastAsia" w:ascii="Times New Roman" w:hAnsi="Times New Roman" w:eastAsia="宋体" w:cs="Times New Roman"/>
                      <w:color w:val="auto"/>
                      <w:kern w:val="0"/>
                      <w:szCs w:val="21"/>
                      <w:lang w:val="en-US" w:eastAsia="zh-CN"/>
                    </w:rPr>
                    <w:t>，</w:t>
                  </w:r>
                  <w:r>
                    <w:rPr>
                      <w:rFonts w:hint="eastAsia"/>
                      <w:color w:val="auto"/>
                      <w:szCs w:val="21"/>
                      <w:lang w:val="en-US" w:eastAsia="zh-CN"/>
                    </w:rPr>
                    <w:t>不属于</w:t>
                  </w:r>
                  <w:r>
                    <w:rPr>
                      <w:rFonts w:hint="eastAsia" w:ascii="Times New Roman" w:hAnsi="Times New Roman" w:eastAsia="宋体" w:cs="Times New Roman"/>
                      <w:color w:val="auto"/>
                      <w:szCs w:val="21"/>
                    </w:rPr>
                    <w:t>新改扩建化工、石化、建材、有色等项目</w:t>
                  </w:r>
                  <w:r>
                    <w:rPr>
                      <w:rFonts w:hint="eastAsia" w:cs="Times New Roman"/>
                      <w:color w:val="auto"/>
                      <w:szCs w:val="21"/>
                      <w:lang w:eastAsia="zh-CN"/>
                    </w:rPr>
                    <w:t>；</w:t>
                  </w:r>
                  <w:r>
                    <w:rPr>
                      <w:rFonts w:hint="eastAsia" w:cs="Times New Roman"/>
                      <w:color w:val="auto"/>
                      <w:szCs w:val="21"/>
                      <w:lang w:val="en-US" w:eastAsia="zh-CN"/>
                    </w:rPr>
                    <w:t>本项目符合</w:t>
                  </w:r>
                  <w:r>
                    <w:rPr>
                      <w:rFonts w:hint="eastAsia" w:ascii="Times New Roman" w:hAnsi="Times New Roman" w:eastAsia="宋体" w:cs="Times New Roman"/>
                      <w:color w:val="auto"/>
                      <w:szCs w:val="21"/>
                    </w:rPr>
                    <w:t>国家、省、市及新区产业规划、产业政策、生态环境分区管控、规划环评、重点污染物总量控制等要求</w:t>
                  </w:r>
                  <w:r>
                    <w:rPr>
                      <w:rFonts w:hint="eastAsia" w:cs="Times New Roman"/>
                      <w:color w:val="auto"/>
                      <w:szCs w:val="21"/>
                      <w:lang w:eastAsia="zh-CN"/>
                    </w:rPr>
                    <w:t>。</w:t>
                  </w:r>
                </w:p>
              </w:tc>
              <w:tc>
                <w:tcPr>
                  <w:tcW w:w="508" w:type="pct"/>
                  <w:tcBorders>
                    <w:tl2br w:val="nil"/>
                    <w:tr2bl w:val="nil"/>
                  </w:tcBorders>
                  <w:noWrap w:val="0"/>
                  <w:vAlign w:val="center"/>
                </w:tcPr>
                <w:p w14:paraId="03932D99">
                  <w:pPr>
                    <w:autoSpaceDE w:val="0"/>
                    <w:autoSpaceDN w:val="0"/>
                    <w:adjustRightInd w:val="0"/>
                    <w:snapToGrid w:val="0"/>
                    <w:jc w:val="center"/>
                    <w:rPr>
                      <w:rFonts w:hint="default" w:ascii="Times New Roman" w:hAnsi="Times New Roman" w:eastAsia="宋体" w:cs="Times New Roman"/>
                      <w:color w:val="auto"/>
                      <w:sz w:val="21"/>
                      <w:szCs w:val="21"/>
                    </w:rPr>
                  </w:pPr>
                  <w:r>
                    <w:rPr>
                      <w:rFonts w:hint="eastAsia"/>
                      <w:color w:val="auto"/>
                      <w:szCs w:val="21"/>
                      <w:lang w:val="en-US" w:eastAsia="zh-CN"/>
                    </w:rPr>
                    <w:t>符合</w:t>
                  </w:r>
                </w:p>
              </w:tc>
            </w:tr>
            <w:tr w14:paraId="1B4788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6" w:hRule="atLeast"/>
                <w:jc w:val="center"/>
              </w:trPr>
              <w:tc>
                <w:tcPr>
                  <w:tcW w:w="881" w:type="pct"/>
                  <w:vMerge w:val="continue"/>
                  <w:tcBorders>
                    <w:tl2br w:val="nil"/>
                    <w:tr2bl w:val="nil"/>
                  </w:tcBorders>
                  <w:noWrap w:val="0"/>
                  <w:vAlign w:val="center"/>
                </w:tcPr>
                <w:p w14:paraId="1446CD3B">
                  <w:pPr>
                    <w:autoSpaceDE w:val="0"/>
                    <w:autoSpaceDN w:val="0"/>
                    <w:adjustRightInd w:val="0"/>
                    <w:snapToGrid w:val="0"/>
                    <w:jc w:val="center"/>
                    <w:rPr>
                      <w:color w:val="auto"/>
                    </w:rPr>
                  </w:pPr>
                </w:p>
              </w:tc>
              <w:tc>
                <w:tcPr>
                  <w:tcW w:w="2421" w:type="pct"/>
                  <w:tcBorders>
                    <w:tl2br w:val="nil"/>
                    <w:tr2bl w:val="nil"/>
                  </w:tcBorders>
                  <w:noWrap w:val="0"/>
                  <w:vAlign w:val="center"/>
                </w:tcPr>
                <w:p w14:paraId="356BA132">
                  <w:pPr>
                    <w:autoSpaceDE w:val="0"/>
                    <w:autoSpaceDN w:val="0"/>
                    <w:adjustRightInd w:val="0"/>
                    <w:snapToGrid w:val="0"/>
                    <w:rPr>
                      <w:rFonts w:hint="default" w:ascii="Times New Roman" w:hAnsi="Times New Roman" w:eastAsia="宋体" w:cs="Times New Roman"/>
                      <w:color w:val="auto"/>
                      <w:kern w:val="21"/>
                      <w:sz w:val="21"/>
                      <w:szCs w:val="21"/>
                      <w:lang w:val="en-US" w:eastAsia="zh-CN"/>
                    </w:rPr>
                  </w:pPr>
                  <w:r>
                    <w:rPr>
                      <w:rFonts w:hint="eastAsia" w:ascii="Times New Roman" w:hAnsi="Times New Roman" w:eastAsia="宋体" w:cs="Times New Roman"/>
                      <w:color w:val="auto"/>
                      <w:szCs w:val="21"/>
                    </w:rPr>
                    <w:t>严格审批手续，把好准入关。新改扩建涉气重点行业企业应达到环保绩效A级、绩效引领性水平。严格落实“三同</w:t>
                  </w:r>
                  <w:r>
                    <w:rPr>
                      <w:rFonts w:hint="eastAsia" w:cs="Times New Roman"/>
                      <w:color w:val="auto"/>
                      <w:szCs w:val="21"/>
                      <w:lang w:val="en-US" w:eastAsia="zh-CN"/>
                    </w:rPr>
                    <w:t>时”制度，加强建设期间监管。</w:t>
                  </w:r>
                </w:p>
              </w:tc>
              <w:tc>
                <w:tcPr>
                  <w:tcW w:w="1189" w:type="pct"/>
                  <w:tcBorders>
                    <w:tl2br w:val="nil"/>
                    <w:tr2bl w:val="nil"/>
                  </w:tcBorders>
                  <w:noWrap w:val="0"/>
                  <w:vAlign w:val="center"/>
                </w:tcPr>
                <w:p w14:paraId="0F197EA4">
                  <w:pPr>
                    <w:autoSpaceDE w:val="0"/>
                    <w:autoSpaceDN w:val="0"/>
                    <w:adjustRightInd w:val="0"/>
                    <w:snapToGrid w:val="0"/>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kern w:val="0"/>
                      <w:szCs w:val="21"/>
                    </w:rPr>
                    <w:t>本项目为</w:t>
                  </w:r>
                  <w:r>
                    <w:rPr>
                      <w:rFonts w:hint="default" w:ascii="Times New Roman" w:hAnsi="Times New Roman" w:eastAsia="宋体" w:cs="Times New Roman"/>
                      <w:color w:val="auto"/>
                      <w:kern w:val="0"/>
                      <w:szCs w:val="21"/>
                      <w:lang w:val="en-US" w:eastAsia="zh-CN"/>
                    </w:rPr>
                    <w:t>高效氢燃料电池膜电极产业化项目</w:t>
                  </w:r>
                  <w:r>
                    <w:rPr>
                      <w:rFonts w:hint="eastAsia" w:ascii="Times New Roman" w:hAnsi="Times New Roman" w:eastAsia="宋体" w:cs="Times New Roman"/>
                      <w:color w:val="auto"/>
                      <w:kern w:val="0"/>
                      <w:szCs w:val="21"/>
                      <w:lang w:val="en-US" w:eastAsia="zh-CN"/>
                    </w:rPr>
                    <w:t>，</w:t>
                  </w:r>
                  <w:r>
                    <w:rPr>
                      <w:rFonts w:hint="eastAsia" w:cs="Times New Roman"/>
                      <w:color w:val="auto"/>
                      <w:szCs w:val="21"/>
                      <w:lang w:val="en-US" w:eastAsia="zh-CN"/>
                    </w:rPr>
                    <w:t>不属于</w:t>
                  </w:r>
                  <w:r>
                    <w:rPr>
                      <w:rFonts w:hint="eastAsia" w:ascii="Times New Roman" w:hAnsi="Times New Roman" w:eastAsia="宋体" w:cs="Times New Roman"/>
                      <w:color w:val="auto"/>
                      <w:szCs w:val="21"/>
                    </w:rPr>
                    <w:t>新改扩建涉气重点行业</w:t>
                  </w:r>
                  <w:r>
                    <w:rPr>
                      <w:rFonts w:hint="eastAsia" w:cs="Times New Roman"/>
                      <w:color w:val="auto"/>
                      <w:szCs w:val="21"/>
                      <w:lang w:eastAsia="zh-CN"/>
                    </w:rPr>
                    <w:t>。</w:t>
                  </w:r>
                </w:p>
              </w:tc>
              <w:tc>
                <w:tcPr>
                  <w:tcW w:w="508" w:type="pct"/>
                  <w:tcBorders>
                    <w:tl2br w:val="nil"/>
                    <w:tr2bl w:val="nil"/>
                  </w:tcBorders>
                  <w:noWrap w:val="0"/>
                  <w:vAlign w:val="center"/>
                </w:tcPr>
                <w:p w14:paraId="730771F4">
                  <w:pPr>
                    <w:autoSpaceDE w:val="0"/>
                    <w:autoSpaceDN w:val="0"/>
                    <w:adjustRightInd w:val="0"/>
                    <w:snapToGrid w:val="0"/>
                    <w:jc w:val="center"/>
                    <w:rPr>
                      <w:rFonts w:hint="default" w:ascii="Times New Roman" w:hAnsi="Times New Roman" w:eastAsia="宋体" w:cs="Times New Roman"/>
                      <w:color w:val="auto"/>
                      <w:kern w:val="21"/>
                      <w:sz w:val="21"/>
                      <w:szCs w:val="21"/>
                      <w:lang w:val="en-US" w:eastAsia="zh-CN"/>
                    </w:rPr>
                  </w:pPr>
                  <w:r>
                    <w:rPr>
                      <w:rFonts w:hint="eastAsia"/>
                      <w:color w:val="auto"/>
                      <w:szCs w:val="21"/>
                      <w:lang w:val="en-US" w:eastAsia="zh-CN"/>
                    </w:rPr>
                    <w:t>符合</w:t>
                  </w:r>
                </w:p>
              </w:tc>
            </w:tr>
            <w:tr w14:paraId="11BF4E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6" w:hRule="atLeast"/>
                <w:jc w:val="center"/>
              </w:trPr>
              <w:tc>
                <w:tcPr>
                  <w:tcW w:w="881" w:type="pct"/>
                  <w:vMerge w:val="continue"/>
                  <w:tcBorders>
                    <w:tl2br w:val="nil"/>
                    <w:tr2bl w:val="nil"/>
                  </w:tcBorders>
                  <w:noWrap w:val="0"/>
                  <w:vAlign w:val="center"/>
                </w:tcPr>
                <w:p w14:paraId="7E54C5C5">
                  <w:pPr>
                    <w:autoSpaceDE w:val="0"/>
                    <w:autoSpaceDN w:val="0"/>
                    <w:adjustRightInd w:val="0"/>
                    <w:snapToGrid w:val="0"/>
                    <w:jc w:val="center"/>
                    <w:rPr>
                      <w:rFonts w:hint="default" w:ascii="Times New Roman" w:hAnsi="Times New Roman" w:eastAsia="宋体" w:cs="Times New Roman"/>
                      <w:color w:val="auto"/>
                      <w:kern w:val="21"/>
                      <w:sz w:val="21"/>
                      <w:szCs w:val="21"/>
                      <w:lang w:val="en-US" w:eastAsia="zh-CN"/>
                    </w:rPr>
                  </w:pPr>
                </w:p>
              </w:tc>
              <w:tc>
                <w:tcPr>
                  <w:tcW w:w="2421" w:type="pct"/>
                  <w:tcBorders>
                    <w:tl2br w:val="nil"/>
                    <w:tr2bl w:val="nil"/>
                  </w:tcBorders>
                  <w:noWrap w:val="0"/>
                  <w:vAlign w:val="center"/>
                </w:tcPr>
                <w:p w14:paraId="5E0D8073">
                  <w:pPr>
                    <w:autoSpaceDE w:val="0"/>
                    <w:autoSpaceDN w:val="0"/>
                    <w:adjustRightInd w:val="0"/>
                    <w:snapToGrid w:val="0"/>
                    <w:rPr>
                      <w:rFonts w:hint="default" w:ascii="Times New Roman" w:hAnsi="Times New Roman" w:eastAsia="宋体" w:cs="Times New Roman"/>
                      <w:color w:val="auto"/>
                      <w:kern w:val="21"/>
                      <w:sz w:val="21"/>
                      <w:szCs w:val="21"/>
                      <w:lang w:val="en-US" w:eastAsia="zh-CN"/>
                    </w:rPr>
                  </w:pPr>
                  <w:r>
                    <w:rPr>
                      <w:rFonts w:hint="eastAsia" w:cs="Times New Roman"/>
                      <w:color w:val="auto"/>
                      <w:szCs w:val="21"/>
                      <w:lang w:val="en-US" w:eastAsia="zh-CN"/>
                    </w:rPr>
                    <w:t>依法依规淘汰落后产能。按照产业结构调整指导目录要求，开展落后产能摸排，发现需要淘汰的落后产能及时列入年度计划，依法依规予以淘汰。</w:t>
                  </w:r>
                </w:p>
              </w:tc>
              <w:tc>
                <w:tcPr>
                  <w:tcW w:w="1189" w:type="pct"/>
                  <w:tcBorders>
                    <w:tl2br w:val="nil"/>
                    <w:tr2bl w:val="nil"/>
                  </w:tcBorders>
                  <w:noWrap w:val="0"/>
                  <w:vAlign w:val="center"/>
                </w:tcPr>
                <w:p w14:paraId="5EFFE281">
                  <w:pPr>
                    <w:autoSpaceDE w:val="0"/>
                    <w:autoSpaceDN w:val="0"/>
                    <w:adjustRightInd w:val="0"/>
                    <w:snapToGrid w:val="0"/>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szCs w:val="21"/>
                      <w:lang w:val="en-US" w:eastAsia="zh-CN"/>
                    </w:rPr>
                    <w:t>根据《产业结构调整目录（2024年本）》，本项目不属于其中的鼓励类、限制类、淘汰类项目，为允许类项目。</w:t>
                  </w:r>
                </w:p>
              </w:tc>
              <w:tc>
                <w:tcPr>
                  <w:tcW w:w="508" w:type="pct"/>
                  <w:tcBorders>
                    <w:tl2br w:val="nil"/>
                    <w:tr2bl w:val="nil"/>
                  </w:tcBorders>
                  <w:noWrap w:val="0"/>
                  <w:vAlign w:val="center"/>
                </w:tcPr>
                <w:p w14:paraId="14692EC0">
                  <w:pPr>
                    <w:autoSpaceDE w:val="0"/>
                    <w:autoSpaceDN w:val="0"/>
                    <w:adjustRightInd w:val="0"/>
                    <w:snapToGrid w:val="0"/>
                    <w:jc w:val="center"/>
                    <w:rPr>
                      <w:rFonts w:hint="default" w:ascii="Times New Roman" w:hAnsi="Times New Roman" w:eastAsia="宋体" w:cs="Times New Roman"/>
                      <w:color w:val="auto"/>
                      <w:kern w:val="21"/>
                      <w:sz w:val="21"/>
                      <w:szCs w:val="21"/>
                      <w:lang w:val="en-US" w:eastAsia="zh-CN"/>
                    </w:rPr>
                  </w:pPr>
                  <w:r>
                    <w:rPr>
                      <w:rFonts w:hint="eastAsia"/>
                      <w:color w:val="auto"/>
                      <w:szCs w:val="21"/>
                      <w:lang w:val="en-US" w:eastAsia="zh-CN"/>
                    </w:rPr>
                    <w:t>符合</w:t>
                  </w:r>
                </w:p>
              </w:tc>
            </w:tr>
            <w:tr w14:paraId="58772B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62" w:hRule="atLeast"/>
                <w:jc w:val="center"/>
              </w:trPr>
              <w:tc>
                <w:tcPr>
                  <w:tcW w:w="881" w:type="pct"/>
                  <w:tcBorders>
                    <w:tl2br w:val="nil"/>
                    <w:tr2bl w:val="nil"/>
                  </w:tcBorders>
                  <w:noWrap w:val="0"/>
                  <w:vAlign w:val="center"/>
                </w:tcPr>
                <w:p w14:paraId="7E047BE9">
                  <w:pPr>
                    <w:keepNext w:val="0"/>
                    <w:keepLines w:val="0"/>
                    <w:pageBreakBefore w:val="0"/>
                    <w:kinsoku/>
                    <w:overflowPunct/>
                    <w:topLinePunct w:val="0"/>
                    <w:autoSpaceDE/>
                    <w:autoSpaceDN/>
                    <w:bidi w:val="0"/>
                    <w:adjustRightInd w:val="0"/>
                    <w:snapToGrid w:val="0"/>
                    <w:spacing w:line="264" w:lineRule="auto"/>
                    <w:ind w:firstLine="0" w:firstLineChars="0"/>
                    <w:jc w:val="center"/>
                    <w:textAlignment w:val="auto"/>
                    <w:rPr>
                      <w:rFonts w:hint="default" w:ascii="Times New Roman" w:hAnsi="Times New Roman" w:eastAsia="宋体" w:cs="Times New Roman"/>
                      <w:color w:val="auto"/>
                      <w:kern w:val="21"/>
                      <w:sz w:val="21"/>
                      <w:szCs w:val="21"/>
                      <w:lang w:val="en-US" w:eastAsia="zh-CN" w:bidi="ar-SA"/>
                    </w:rPr>
                  </w:pPr>
                  <w:r>
                    <w:rPr>
                      <w:rFonts w:hint="default" w:ascii="Times New Roman" w:hAnsi="Times New Roman" w:eastAsia="宋体" w:cs="Times New Roman"/>
                      <w:color w:val="auto"/>
                      <w:kern w:val="21"/>
                      <w:sz w:val="21"/>
                      <w:szCs w:val="21"/>
                      <w:lang w:val="en-US" w:eastAsia="zh-CN"/>
                    </w:rPr>
                    <w:t>《泾河新城大气污染治理专项行动方案（2023</w:t>
                  </w:r>
                  <w:r>
                    <w:rPr>
                      <w:rFonts w:hint="eastAsia" w:ascii="Times New Roman" w:hAnsi="Times New Roman" w:eastAsia="宋体" w:cs="Times New Roman"/>
                      <w:color w:val="auto"/>
                      <w:kern w:val="21"/>
                      <w:sz w:val="21"/>
                      <w:szCs w:val="21"/>
                      <w:lang w:val="en-US" w:eastAsia="zh-CN"/>
                    </w:rPr>
                    <w:t>-</w:t>
                  </w:r>
                  <w:r>
                    <w:rPr>
                      <w:rFonts w:hint="default" w:ascii="Times New Roman" w:hAnsi="Times New Roman" w:eastAsia="宋体" w:cs="Times New Roman"/>
                      <w:color w:val="auto"/>
                      <w:kern w:val="21"/>
                      <w:sz w:val="21"/>
                      <w:szCs w:val="21"/>
                      <w:lang w:val="en-US" w:eastAsia="zh-CN"/>
                    </w:rPr>
                    <w:t>2027年）》</w:t>
                  </w:r>
                </w:p>
              </w:tc>
              <w:tc>
                <w:tcPr>
                  <w:tcW w:w="2421" w:type="pct"/>
                  <w:tcBorders>
                    <w:tl2br w:val="nil"/>
                    <w:tr2bl w:val="nil"/>
                  </w:tcBorders>
                  <w:noWrap w:val="0"/>
                  <w:vAlign w:val="center"/>
                </w:tcPr>
                <w:p w14:paraId="05227404">
                  <w:pPr>
                    <w:keepNext w:val="0"/>
                    <w:keepLines w:val="0"/>
                    <w:pageBreakBefore w:val="0"/>
                    <w:kinsoku/>
                    <w:overflowPunct/>
                    <w:topLinePunct w:val="0"/>
                    <w:autoSpaceDE/>
                    <w:autoSpaceDN/>
                    <w:bidi w:val="0"/>
                    <w:adjustRightInd w:val="0"/>
                    <w:snapToGrid w:val="0"/>
                    <w:spacing w:line="264" w:lineRule="auto"/>
                    <w:ind w:firstLine="0" w:firstLineChars="0"/>
                    <w:jc w:val="left"/>
                    <w:textAlignment w:val="auto"/>
                    <w:rPr>
                      <w:rFonts w:hint="default" w:ascii="Times New Roman" w:hAnsi="Times New Roman" w:eastAsia="宋体" w:cs="Times New Roman"/>
                      <w:color w:val="auto"/>
                      <w:kern w:val="21"/>
                      <w:sz w:val="21"/>
                      <w:szCs w:val="21"/>
                      <w:lang w:val="en-US" w:eastAsia="zh-CN" w:bidi="ar-SA"/>
                    </w:rPr>
                  </w:pPr>
                  <w:r>
                    <w:rPr>
                      <w:rFonts w:hint="default" w:ascii="Times New Roman" w:hAnsi="Times New Roman" w:eastAsia="宋体" w:cs="Times New Roman"/>
                      <w:color w:val="auto"/>
                      <w:kern w:val="21"/>
                      <w:sz w:val="21"/>
                      <w:szCs w:val="21"/>
                      <w:lang w:val="en-US" w:eastAsia="zh-CN"/>
                    </w:rPr>
                    <w:t>严格新、改、扩建涉气重点行业绩效评级限制条件。新城范围内新、改、扩建涉气重点行业企业应达到环保绩效A级、绩效引领性水平。</w:t>
                  </w:r>
                </w:p>
              </w:tc>
              <w:tc>
                <w:tcPr>
                  <w:tcW w:w="1189" w:type="pct"/>
                  <w:tcBorders>
                    <w:tl2br w:val="nil"/>
                    <w:tr2bl w:val="nil"/>
                  </w:tcBorders>
                  <w:noWrap w:val="0"/>
                  <w:vAlign w:val="center"/>
                </w:tcPr>
                <w:p w14:paraId="3B423728">
                  <w:pPr>
                    <w:keepNext w:val="0"/>
                    <w:keepLines w:val="0"/>
                    <w:pageBreakBefore w:val="0"/>
                    <w:kinsoku/>
                    <w:overflowPunct/>
                    <w:topLinePunct w:val="0"/>
                    <w:autoSpaceDE/>
                    <w:autoSpaceDN/>
                    <w:bidi w:val="0"/>
                    <w:adjustRightInd w:val="0"/>
                    <w:snapToGrid w:val="0"/>
                    <w:spacing w:line="264" w:lineRule="auto"/>
                    <w:ind w:firstLine="0" w:firstLineChars="0"/>
                    <w:jc w:val="left"/>
                    <w:textAlignment w:val="auto"/>
                    <w:rPr>
                      <w:rFonts w:hint="default" w:ascii="Times New Roman" w:hAnsi="Times New Roman" w:eastAsia="宋体" w:cs="Times New Roman"/>
                      <w:color w:val="auto"/>
                      <w:spacing w:val="-1"/>
                      <w:kern w:val="2"/>
                      <w:sz w:val="21"/>
                      <w:szCs w:val="21"/>
                      <w:lang w:val="en-US" w:eastAsia="zh-CN" w:bidi="ar-SA"/>
                    </w:rPr>
                  </w:pPr>
                  <w:r>
                    <w:rPr>
                      <w:rFonts w:hint="default" w:ascii="Times New Roman" w:hAnsi="Times New Roman" w:eastAsia="宋体" w:cs="Times New Roman"/>
                      <w:color w:val="auto"/>
                      <w:kern w:val="21"/>
                      <w:sz w:val="21"/>
                      <w:szCs w:val="21"/>
                      <w:lang w:val="en-US" w:eastAsia="zh-CN"/>
                    </w:rPr>
                    <w:t>本项目不属于《重污染天气重点行业应急减排措施制定技术指南（2020年修订版）》（环办大气函〔2020〕340号）中的行业。</w:t>
                  </w:r>
                </w:p>
              </w:tc>
              <w:tc>
                <w:tcPr>
                  <w:tcW w:w="508" w:type="pct"/>
                  <w:tcBorders>
                    <w:tl2br w:val="nil"/>
                    <w:tr2bl w:val="nil"/>
                  </w:tcBorders>
                  <w:noWrap w:val="0"/>
                  <w:vAlign w:val="center"/>
                </w:tcPr>
                <w:p w14:paraId="1CF854F5">
                  <w:pPr>
                    <w:keepNext w:val="0"/>
                    <w:keepLines w:val="0"/>
                    <w:pageBreakBefore w:val="0"/>
                    <w:widowControl/>
                    <w:kinsoku/>
                    <w:wordWrap/>
                    <w:overflowPunct/>
                    <w:topLinePunct w:val="0"/>
                    <w:autoSpaceDE/>
                    <w:autoSpaceDN/>
                    <w:bidi w:val="0"/>
                    <w:adjustRightInd/>
                    <w:snapToGrid/>
                    <w:spacing w:line="264"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符合</w:t>
                  </w:r>
                </w:p>
              </w:tc>
            </w:tr>
            <w:tr w14:paraId="7FE06A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881" w:type="pct"/>
                  <w:vMerge w:val="restart"/>
                  <w:tcBorders>
                    <w:tl2br w:val="nil"/>
                    <w:tr2bl w:val="nil"/>
                  </w:tcBorders>
                  <w:noWrap w:val="0"/>
                  <w:vAlign w:val="center"/>
                </w:tcPr>
                <w:p w14:paraId="2FFBA27F">
                  <w:pPr>
                    <w:autoSpaceDE w:val="0"/>
                    <w:autoSpaceDN w:val="0"/>
                    <w:adjustRightInd w:val="0"/>
                    <w:snapToGrid w:val="0"/>
                    <w:jc w:val="center"/>
                    <w:rPr>
                      <w:rFonts w:hint="default" w:ascii="Times New Roman" w:hAnsi="Times New Roman" w:eastAsia="宋体" w:cs="Times New Roman"/>
                      <w:color w:val="auto"/>
                      <w:kern w:val="21"/>
                      <w:sz w:val="21"/>
                      <w:szCs w:val="21"/>
                      <w:lang w:val="en-US" w:eastAsia="zh-CN"/>
                    </w:rPr>
                  </w:pPr>
                  <w:r>
                    <w:rPr>
                      <w:rFonts w:hint="eastAsia"/>
                      <w:color w:val="auto"/>
                      <w:szCs w:val="21"/>
                      <w:lang w:eastAsia="zh-CN"/>
                    </w:rPr>
                    <w:t>陕西省西咸新区泾河新城党政办公室关于印发《泾河新城推进实现“十四五”空气质量目标暨大气污染治理专项行动2025年工作方案》的通知（陕泾河办发〔2025〕6号）</w:t>
                  </w:r>
                </w:p>
              </w:tc>
              <w:tc>
                <w:tcPr>
                  <w:tcW w:w="2421" w:type="pct"/>
                  <w:tcBorders>
                    <w:tl2br w:val="nil"/>
                    <w:tr2bl w:val="nil"/>
                  </w:tcBorders>
                  <w:noWrap w:val="0"/>
                  <w:vAlign w:val="center"/>
                </w:tcPr>
                <w:p w14:paraId="4F203C11">
                  <w:pPr>
                    <w:autoSpaceDE w:val="0"/>
                    <w:autoSpaceDN w:val="0"/>
                    <w:adjustRightInd w:val="0"/>
                    <w:snapToGrid w:val="0"/>
                    <w:rPr>
                      <w:rFonts w:hint="default" w:ascii="Times New Roman" w:hAnsi="Times New Roman" w:eastAsia="宋体" w:cs="Times New Roman"/>
                      <w:color w:val="auto"/>
                      <w:kern w:val="21"/>
                      <w:sz w:val="21"/>
                      <w:szCs w:val="21"/>
                      <w:lang w:val="en-US" w:eastAsia="zh-CN"/>
                    </w:rPr>
                  </w:pPr>
                  <w:r>
                    <w:rPr>
                      <w:rFonts w:hint="eastAsia" w:ascii="Times New Roman" w:hAnsi="Times New Roman" w:eastAsia="宋体" w:cs="Times New Roman"/>
                      <w:color w:val="auto"/>
                      <w:szCs w:val="21"/>
                    </w:rPr>
                    <w:t>强化源头管控。严格落实国家、省、市及新区产业规划、产业政策、生态环境分区管控、规划环评、重点污染物总量控制、污染物排放区域削减等要求，积极推行区域、规划环境影响评价，新改扩建化工、石化、建材、有色等项目的环境影响评价应满足区域和规划环评要求。</w:t>
                  </w:r>
                </w:p>
              </w:tc>
              <w:tc>
                <w:tcPr>
                  <w:tcW w:w="1189" w:type="pct"/>
                  <w:tcBorders>
                    <w:tl2br w:val="nil"/>
                    <w:tr2bl w:val="nil"/>
                  </w:tcBorders>
                  <w:noWrap w:val="0"/>
                  <w:vAlign w:val="center"/>
                </w:tcPr>
                <w:p w14:paraId="3340BC83">
                  <w:pPr>
                    <w:autoSpaceDE w:val="0"/>
                    <w:autoSpaceDN w:val="0"/>
                    <w:adjustRightInd w:val="0"/>
                    <w:snapToGrid w:val="0"/>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kern w:val="0"/>
                      <w:szCs w:val="21"/>
                    </w:rPr>
                    <w:t>本项目为</w:t>
                  </w:r>
                  <w:r>
                    <w:rPr>
                      <w:rFonts w:hint="default" w:ascii="Times New Roman" w:hAnsi="Times New Roman" w:eastAsia="宋体" w:cs="Times New Roman"/>
                      <w:color w:val="auto"/>
                      <w:kern w:val="0"/>
                      <w:szCs w:val="21"/>
                      <w:lang w:val="en-US" w:eastAsia="zh-CN"/>
                    </w:rPr>
                    <w:t>高效氢燃料电池膜电极产业化项目</w:t>
                  </w:r>
                  <w:r>
                    <w:rPr>
                      <w:rFonts w:hint="eastAsia" w:ascii="Times New Roman" w:hAnsi="Times New Roman" w:eastAsia="宋体" w:cs="Times New Roman"/>
                      <w:color w:val="auto"/>
                      <w:kern w:val="0"/>
                      <w:szCs w:val="21"/>
                      <w:lang w:val="en-US" w:eastAsia="zh-CN"/>
                    </w:rPr>
                    <w:t>，</w:t>
                  </w:r>
                  <w:r>
                    <w:rPr>
                      <w:rFonts w:hint="eastAsia"/>
                      <w:color w:val="auto"/>
                      <w:szCs w:val="21"/>
                      <w:lang w:val="en-US" w:eastAsia="zh-CN"/>
                    </w:rPr>
                    <w:t>不属于</w:t>
                  </w:r>
                  <w:r>
                    <w:rPr>
                      <w:rFonts w:hint="eastAsia" w:ascii="Times New Roman" w:hAnsi="Times New Roman" w:eastAsia="宋体" w:cs="Times New Roman"/>
                      <w:color w:val="auto"/>
                      <w:szCs w:val="21"/>
                    </w:rPr>
                    <w:t>新改扩建化工、石化、建材、有色等项目</w:t>
                  </w:r>
                  <w:r>
                    <w:rPr>
                      <w:rFonts w:hint="eastAsia" w:cs="Times New Roman"/>
                      <w:color w:val="auto"/>
                      <w:szCs w:val="21"/>
                      <w:lang w:eastAsia="zh-CN"/>
                    </w:rPr>
                    <w:t>；</w:t>
                  </w:r>
                  <w:r>
                    <w:rPr>
                      <w:rFonts w:hint="eastAsia" w:cs="Times New Roman"/>
                      <w:color w:val="auto"/>
                      <w:szCs w:val="21"/>
                      <w:lang w:val="en-US" w:eastAsia="zh-CN"/>
                    </w:rPr>
                    <w:t>本项目符合</w:t>
                  </w:r>
                  <w:r>
                    <w:rPr>
                      <w:rFonts w:hint="eastAsia" w:ascii="Times New Roman" w:hAnsi="Times New Roman" w:eastAsia="宋体" w:cs="Times New Roman"/>
                      <w:color w:val="auto"/>
                      <w:szCs w:val="21"/>
                    </w:rPr>
                    <w:t>国家、省、市及新区产业规划、产业政策、生态环境分区管控、规划环评、重点污染物总量控制等要求</w:t>
                  </w:r>
                  <w:r>
                    <w:rPr>
                      <w:rFonts w:hint="eastAsia" w:cs="Times New Roman"/>
                      <w:color w:val="auto"/>
                      <w:szCs w:val="21"/>
                      <w:lang w:eastAsia="zh-CN"/>
                    </w:rPr>
                    <w:t>。</w:t>
                  </w:r>
                </w:p>
              </w:tc>
              <w:tc>
                <w:tcPr>
                  <w:tcW w:w="508" w:type="pct"/>
                  <w:tcBorders>
                    <w:tl2br w:val="nil"/>
                    <w:tr2bl w:val="nil"/>
                  </w:tcBorders>
                  <w:noWrap w:val="0"/>
                  <w:vAlign w:val="center"/>
                </w:tcPr>
                <w:p w14:paraId="6BAAF5CF">
                  <w:pPr>
                    <w:autoSpaceDE w:val="0"/>
                    <w:autoSpaceDN w:val="0"/>
                    <w:adjustRightInd w:val="0"/>
                    <w:snapToGrid w:val="0"/>
                    <w:jc w:val="center"/>
                    <w:rPr>
                      <w:rFonts w:hint="default" w:ascii="Times New Roman" w:hAnsi="Times New Roman" w:eastAsia="宋体" w:cs="Times New Roman"/>
                      <w:color w:val="auto"/>
                      <w:sz w:val="21"/>
                      <w:szCs w:val="21"/>
                      <w:lang w:val="en-US" w:eastAsia="zh-CN"/>
                    </w:rPr>
                  </w:pPr>
                  <w:r>
                    <w:rPr>
                      <w:rFonts w:hint="eastAsia"/>
                      <w:color w:val="auto"/>
                      <w:szCs w:val="21"/>
                      <w:lang w:val="en-US" w:eastAsia="zh-CN"/>
                    </w:rPr>
                    <w:t>符合</w:t>
                  </w:r>
                </w:p>
              </w:tc>
            </w:tr>
            <w:tr w14:paraId="03C5D4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494" w:hRule="atLeast"/>
                <w:jc w:val="center"/>
              </w:trPr>
              <w:tc>
                <w:tcPr>
                  <w:tcW w:w="881" w:type="pct"/>
                  <w:vMerge w:val="continue"/>
                  <w:tcBorders>
                    <w:tl2br w:val="nil"/>
                    <w:tr2bl w:val="nil"/>
                  </w:tcBorders>
                  <w:noWrap w:val="0"/>
                  <w:vAlign w:val="center"/>
                </w:tcPr>
                <w:p w14:paraId="1CDF2C93">
                  <w:pPr>
                    <w:autoSpaceDE w:val="0"/>
                    <w:autoSpaceDN w:val="0"/>
                    <w:adjustRightInd w:val="0"/>
                    <w:snapToGrid w:val="0"/>
                    <w:jc w:val="center"/>
                    <w:rPr>
                      <w:color w:val="auto"/>
                    </w:rPr>
                  </w:pPr>
                </w:p>
              </w:tc>
              <w:tc>
                <w:tcPr>
                  <w:tcW w:w="2421" w:type="pct"/>
                  <w:tcBorders>
                    <w:tl2br w:val="nil"/>
                    <w:tr2bl w:val="nil"/>
                  </w:tcBorders>
                  <w:noWrap w:val="0"/>
                  <w:vAlign w:val="center"/>
                </w:tcPr>
                <w:p w14:paraId="539E4098">
                  <w:pPr>
                    <w:autoSpaceDE w:val="0"/>
                    <w:autoSpaceDN w:val="0"/>
                    <w:adjustRightInd w:val="0"/>
                    <w:snapToGrid w:val="0"/>
                    <w:rPr>
                      <w:rFonts w:hint="default" w:ascii="Times New Roman" w:hAnsi="Times New Roman" w:eastAsia="宋体" w:cs="Times New Roman"/>
                      <w:color w:val="auto"/>
                      <w:kern w:val="21"/>
                      <w:sz w:val="21"/>
                      <w:szCs w:val="21"/>
                      <w:lang w:val="en-US" w:eastAsia="zh-CN"/>
                    </w:rPr>
                  </w:pPr>
                  <w:r>
                    <w:rPr>
                      <w:rFonts w:hint="eastAsia" w:ascii="Times New Roman" w:hAnsi="Times New Roman" w:eastAsia="宋体" w:cs="Times New Roman"/>
                      <w:color w:val="auto"/>
                      <w:szCs w:val="21"/>
                    </w:rPr>
                    <w:t>严格审批手续，把好准入关。新改扩建涉气重点行业企业应达到环保绩效A级、绩效引领性水平。严格落实“三同</w:t>
                  </w:r>
                  <w:r>
                    <w:rPr>
                      <w:rFonts w:hint="eastAsia" w:cs="Times New Roman"/>
                      <w:color w:val="auto"/>
                      <w:szCs w:val="21"/>
                      <w:lang w:val="en-US" w:eastAsia="zh-CN"/>
                    </w:rPr>
                    <w:t>时”制度，加强建设期间监管。</w:t>
                  </w:r>
                </w:p>
              </w:tc>
              <w:tc>
                <w:tcPr>
                  <w:tcW w:w="1189" w:type="pct"/>
                  <w:tcBorders>
                    <w:tl2br w:val="nil"/>
                    <w:tr2bl w:val="nil"/>
                  </w:tcBorders>
                  <w:noWrap w:val="0"/>
                  <w:vAlign w:val="center"/>
                </w:tcPr>
                <w:p w14:paraId="29836072">
                  <w:pPr>
                    <w:autoSpaceDE w:val="0"/>
                    <w:autoSpaceDN w:val="0"/>
                    <w:adjustRightInd w:val="0"/>
                    <w:snapToGrid w:val="0"/>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kern w:val="0"/>
                      <w:szCs w:val="21"/>
                    </w:rPr>
                    <w:t>本项目为</w:t>
                  </w:r>
                  <w:r>
                    <w:rPr>
                      <w:rFonts w:hint="default" w:ascii="Times New Roman" w:hAnsi="Times New Roman" w:eastAsia="宋体" w:cs="Times New Roman"/>
                      <w:color w:val="auto"/>
                      <w:kern w:val="0"/>
                      <w:szCs w:val="21"/>
                      <w:lang w:val="en-US" w:eastAsia="zh-CN"/>
                    </w:rPr>
                    <w:t>高效氢燃料电池膜电极产业化项目</w:t>
                  </w:r>
                  <w:r>
                    <w:rPr>
                      <w:rFonts w:hint="eastAsia" w:ascii="Times New Roman" w:hAnsi="Times New Roman" w:eastAsia="宋体" w:cs="Times New Roman"/>
                      <w:color w:val="auto"/>
                      <w:kern w:val="0"/>
                      <w:szCs w:val="21"/>
                      <w:lang w:val="en-US" w:eastAsia="zh-CN"/>
                    </w:rPr>
                    <w:t>，</w:t>
                  </w:r>
                  <w:r>
                    <w:rPr>
                      <w:rFonts w:hint="eastAsia" w:cs="Times New Roman"/>
                      <w:color w:val="auto"/>
                      <w:szCs w:val="21"/>
                      <w:lang w:val="en-US" w:eastAsia="zh-CN"/>
                    </w:rPr>
                    <w:t>不属于</w:t>
                  </w:r>
                  <w:r>
                    <w:rPr>
                      <w:rFonts w:hint="eastAsia" w:ascii="Times New Roman" w:hAnsi="Times New Roman" w:eastAsia="宋体" w:cs="Times New Roman"/>
                      <w:color w:val="auto"/>
                      <w:szCs w:val="21"/>
                    </w:rPr>
                    <w:t>新改扩建涉气重点行业</w:t>
                  </w:r>
                  <w:r>
                    <w:rPr>
                      <w:rFonts w:hint="eastAsia" w:cs="Times New Roman"/>
                      <w:color w:val="auto"/>
                      <w:szCs w:val="21"/>
                      <w:lang w:eastAsia="zh-CN"/>
                    </w:rPr>
                    <w:t>。</w:t>
                  </w:r>
                </w:p>
              </w:tc>
              <w:tc>
                <w:tcPr>
                  <w:tcW w:w="508" w:type="pct"/>
                  <w:tcBorders>
                    <w:tl2br w:val="nil"/>
                    <w:tr2bl w:val="nil"/>
                  </w:tcBorders>
                  <w:noWrap w:val="0"/>
                  <w:vAlign w:val="center"/>
                </w:tcPr>
                <w:p w14:paraId="17E2480B">
                  <w:pPr>
                    <w:autoSpaceDE w:val="0"/>
                    <w:autoSpaceDN w:val="0"/>
                    <w:adjustRightInd w:val="0"/>
                    <w:snapToGrid w:val="0"/>
                    <w:jc w:val="center"/>
                    <w:rPr>
                      <w:rFonts w:hint="default" w:ascii="Times New Roman" w:hAnsi="Times New Roman" w:eastAsia="宋体" w:cs="Times New Roman"/>
                      <w:color w:val="auto"/>
                      <w:kern w:val="21"/>
                      <w:sz w:val="21"/>
                      <w:szCs w:val="21"/>
                      <w:lang w:val="en-US" w:eastAsia="zh-CN"/>
                    </w:rPr>
                  </w:pPr>
                  <w:r>
                    <w:rPr>
                      <w:rFonts w:hint="eastAsia"/>
                      <w:color w:val="auto"/>
                      <w:szCs w:val="21"/>
                      <w:lang w:val="en-US" w:eastAsia="zh-CN"/>
                    </w:rPr>
                    <w:t>符合</w:t>
                  </w:r>
                </w:p>
              </w:tc>
            </w:tr>
            <w:tr w14:paraId="592865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494" w:hRule="atLeast"/>
                <w:jc w:val="center"/>
              </w:trPr>
              <w:tc>
                <w:tcPr>
                  <w:tcW w:w="881" w:type="pct"/>
                  <w:vMerge w:val="continue"/>
                  <w:tcBorders>
                    <w:tl2br w:val="nil"/>
                    <w:tr2bl w:val="nil"/>
                  </w:tcBorders>
                  <w:noWrap w:val="0"/>
                  <w:vAlign w:val="center"/>
                </w:tcPr>
                <w:p w14:paraId="2DBD5D4B">
                  <w:pPr>
                    <w:autoSpaceDE w:val="0"/>
                    <w:autoSpaceDN w:val="0"/>
                    <w:adjustRightInd w:val="0"/>
                    <w:snapToGrid w:val="0"/>
                    <w:jc w:val="center"/>
                    <w:rPr>
                      <w:rFonts w:hint="default" w:ascii="Times New Roman" w:hAnsi="Times New Roman" w:eastAsia="宋体" w:cs="Times New Roman"/>
                      <w:color w:val="auto"/>
                      <w:kern w:val="21"/>
                      <w:sz w:val="21"/>
                      <w:szCs w:val="21"/>
                      <w:lang w:val="en-US" w:eastAsia="zh-CN"/>
                    </w:rPr>
                  </w:pPr>
                </w:p>
              </w:tc>
              <w:tc>
                <w:tcPr>
                  <w:tcW w:w="2421" w:type="pct"/>
                  <w:tcBorders>
                    <w:tl2br w:val="nil"/>
                    <w:tr2bl w:val="nil"/>
                  </w:tcBorders>
                  <w:noWrap w:val="0"/>
                  <w:vAlign w:val="center"/>
                </w:tcPr>
                <w:p w14:paraId="2B02A100">
                  <w:pPr>
                    <w:autoSpaceDE w:val="0"/>
                    <w:autoSpaceDN w:val="0"/>
                    <w:adjustRightInd w:val="0"/>
                    <w:snapToGrid w:val="0"/>
                    <w:rPr>
                      <w:rFonts w:hint="default" w:ascii="Times New Roman" w:hAnsi="Times New Roman" w:eastAsia="宋体" w:cs="Times New Roman"/>
                      <w:color w:val="auto"/>
                      <w:kern w:val="21"/>
                      <w:sz w:val="21"/>
                      <w:szCs w:val="21"/>
                      <w:lang w:val="en-US" w:eastAsia="zh-CN"/>
                    </w:rPr>
                  </w:pPr>
                  <w:r>
                    <w:rPr>
                      <w:rFonts w:hint="eastAsia" w:cs="Times New Roman"/>
                      <w:color w:val="auto"/>
                      <w:szCs w:val="21"/>
                      <w:lang w:val="en-US" w:eastAsia="zh-CN"/>
                    </w:rPr>
                    <w:t>依法依规淘汰落后产能。按照产业结构调整指导目录要求，开展落后产能摸排，发现需要淘汰的落后产能及时列入年度计划，依法依规予以淘汰。</w:t>
                  </w:r>
                </w:p>
              </w:tc>
              <w:tc>
                <w:tcPr>
                  <w:tcW w:w="1189" w:type="pct"/>
                  <w:tcBorders>
                    <w:tl2br w:val="nil"/>
                    <w:tr2bl w:val="nil"/>
                  </w:tcBorders>
                  <w:noWrap w:val="0"/>
                  <w:vAlign w:val="center"/>
                </w:tcPr>
                <w:p w14:paraId="78C6FEA9">
                  <w:pPr>
                    <w:autoSpaceDE w:val="0"/>
                    <w:autoSpaceDN w:val="0"/>
                    <w:adjustRightInd w:val="0"/>
                    <w:snapToGrid w:val="0"/>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szCs w:val="21"/>
                      <w:lang w:val="en-US" w:eastAsia="zh-CN"/>
                    </w:rPr>
                    <w:t>根据《产业结构调整目录（2024年本）》，本项目不属于其中的鼓励类、限制类、淘汰类项目，为允许类项目。</w:t>
                  </w:r>
                </w:p>
              </w:tc>
              <w:tc>
                <w:tcPr>
                  <w:tcW w:w="508" w:type="pct"/>
                  <w:tcBorders>
                    <w:tl2br w:val="nil"/>
                    <w:tr2bl w:val="nil"/>
                  </w:tcBorders>
                  <w:noWrap w:val="0"/>
                  <w:vAlign w:val="center"/>
                </w:tcPr>
                <w:p w14:paraId="0FE079B5">
                  <w:pPr>
                    <w:autoSpaceDE w:val="0"/>
                    <w:autoSpaceDN w:val="0"/>
                    <w:adjustRightInd w:val="0"/>
                    <w:snapToGrid w:val="0"/>
                    <w:jc w:val="center"/>
                    <w:rPr>
                      <w:rFonts w:hint="default" w:ascii="Times New Roman" w:hAnsi="Times New Roman" w:eastAsia="宋体" w:cs="Times New Roman"/>
                      <w:color w:val="auto"/>
                      <w:kern w:val="21"/>
                      <w:sz w:val="21"/>
                      <w:szCs w:val="21"/>
                      <w:lang w:val="en-US" w:eastAsia="zh-CN"/>
                    </w:rPr>
                  </w:pPr>
                  <w:r>
                    <w:rPr>
                      <w:rFonts w:hint="eastAsia"/>
                      <w:color w:val="auto"/>
                      <w:szCs w:val="21"/>
                      <w:lang w:val="en-US" w:eastAsia="zh-CN"/>
                    </w:rPr>
                    <w:t>符合</w:t>
                  </w:r>
                </w:p>
              </w:tc>
            </w:tr>
            <w:tr w14:paraId="10DA80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62" w:hRule="atLeast"/>
                <w:jc w:val="center"/>
              </w:trPr>
              <w:tc>
                <w:tcPr>
                  <w:tcW w:w="881" w:type="pct"/>
                  <w:tcBorders>
                    <w:tl2br w:val="nil"/>
                    <w:tr2bl w:val="nil"/>
                  </w:tcBorders>
                  <w:noWrap w:val="0"/>
                  <w:vAlign w:val="center"/>
                </w:tcPr>
                <w:p w14:paraId="46AFBE93">
                  <w:pPr>
                    <w:jc w:val="center"/>
                    <w:rPr>
                      <w:rFonts w:hint="default" w:ascii="Times New Roman" w:hAnsi="Times New Roman" w:cs="Times New Roman"/>
                      <w:b w:val="0"/>
                      <w:bCs/>
                      <w:color w:val="auto"/>
                      <w:kern w:val="0"/>
                      <w:sz w:val="21"/>
                      <w:szCs w:val="21"/>
                      <w:highlight w:val="none"/>
                      <w:vertAlign w:val="baseline"/>
                      <w:lang w:val="en-US" w:eastAsia="zh-CN" w:bidi="ar-SA"/>
                    </w:rPr>
                  </w:pPr>
                  <w:r>
                    <w:rPr>
                      <w:color w:val="auto"/>
                      <w:szCs w:val="21"/>
                    </w:rPr>
                    <w:t>《挥发性有机物（VOCs）污染防治技术政策》（环保部2013年 第31号）</w:t>
                  </w:r>
                </w:p>
              </w:tc>
              <w:tc>
                <w:tcPr>
                  <w:tcW w:w="2421" w:type="pct"/>
                  <w:tcBorders>
                    <w:tl2br w:val="nil"/>
                    <w:tr2bl w:val="nil"/>
                  </w:tcBorders>
                  <w:noWrap w:val="0"/>
                  <w:vAlign w:val="center"/>
                </w:tcPr>
                <w:p w14:paraId="2D08B4F1">
                  <w:pPr>
                    <w:rPr>
                      <w:rFonts w:hint="default" w:ascii="Times New Roman" w:hAnsi="Times New Roman" w:eastAsia="宋体" w:cs="Times New Roman"/>
                      <w:b w:val="0"/>
                      <w:bCs/>
                      <w:color w:val="auto"/>
                      <w:kern w:val="0"/>
                      <w:sz w:val="21"/>
                      <w:szCs w:val="21"/>
                      <w:highlight w:val="none"/>
                      <w:vertAlign w:val="baseline"/>
                      <w:lang w:val="en-US" w:eastAsia="zh-CN" w:bidi="ar-SA"/>
                    </w:rPr>
                  </w:pPr>
                  <w:r>
                    <w:rPr>
                      <w:color w:val="auto"/>
                      <w:szCs w:val="21"/>
                    </w:rPr>
                    <w:t>对于含低浓度VOCs的废气，有回收价值时可采用吸附技术、吸收技术对有机溶剂回收后达标排放；不宜回收时，可采用吸附浓缩燃烧技术、生物技术、吸收技术、等离子体技术或紫外光高级氧化技术等净化后达标排放</w:t>
                  </w:r>
                  <w:r>
                    <w:rPr>
                      <w:rFonts w:hint="eastAsia"/>
                      <w:color w:val="auto"/>
                      <w:szCs w:val="21"/>
                    </w:rPr>
                    <w:t>。</w:t>
                  </w:r>
                </w:p>
              </w:tc>
              <w:tc>
                <w:tcPr>
                  <w:tcW w:w="1189" w:type="pct"/>
                  <w:tcBorders>
                    <w:tl2br w:val="nil"/>
                    <w:tr2bl w:val="nil"/>
                  </w:tcBorders>
                  <w:noWrap w:val="0"/>
                  <w:vAlign w:val="center"/>
                </w:tcPr>
                <w:p w14:paraId="59846D13">
                  <w:pPr>
                    <w:rPr>
                      <w:rFonts w:hint="default" w:ascii="Times New Roman" w:hAnsi="Times New Roman" w:eastAsia="宋体" w:cs="Times New Roman"/>
                      <w:color w:val="auto"/>
                      <w:kern w:val="0"/>
                      <w:sz w:val="21"/>
                      <w:szCs w:val="21"/>
                      <w:lang w:val="en-US" w:eastAsia="zh-CN" w:bidi="ar"/>
                    </w:rPr>
                  </w:pPr>
                  <w:r>
                    <w:rPr>
                      <w:color w:val="auto"/>
                      <w:szCs w:val="21"/>
                    </w:rPr>
                    <w:t>本项目的含低浓度VOCs</w:t>
                  </w:r>
                  <w:r>
                    <w:rPr>
                      <w:rFonts w:hint="eastAsia"/>
                      <w:color w:val="auto"/>
                      <w:szCs w:val="21"/>
                    </w:rPr>
                    <w:t>废气</w:t>
                  </w:r>
                  <w:r>
                    <w:rPr>
                      <w:color w:val="auto"/>
                      <w:szCs w:val="21"/>
                    </w:rPr>
                    <w:t>经</w:t>
                  </w:r>
                  <w:r>
                    <w:rPr>
                      <w:rFonts w:hint="eastAsia"/>
                      <w:color w:val="auto"/>
                      <w:szCs w:val="21"/>
                    </w:rPr>
                    <w:t>二级活性炭</w:t>
                  </w:r>
                  <w:r>
                    <w:rPr>
                      <w:color w:val="auto"/>
                      <w:szCs w:val="21"/>
                    </w:rPr>
                    <w:t>吸附</w:t>
                  </w:r>
                  <w:r>
                    <w:rPr>
                      <w:rFonts w:hint="eastAsia"/>
                      <w:color w:val="auto"/>
                    </w:rPr>
                    <w:t>处理</w:t>
                  </w:r>
                  <w:r>
                    <w:rPr>
                      <w:color w:val="auto"/>
                      <w:szCs w:val="21"/>
                    </w:rPr>
                    <w:t>后，经</w:t>
                  </w:r>
                  <w:r>
                    <w:rPr>
                      <w:rFonts w:hint="eastAsia"/>
                      <w:color w:val="auto"/>
                      <w:szCs w:val="21"/>
                      <w:lang w:val="en-US" w:eastAsia="zh-CN"/>
                    </w:rPr>
                    <w:t>15m</w:t>
                  </w:r>
                  <w:r>
                    <w:rPr>
                      <w:color w:val="auto"/>
                      <w:szCs w:val="21"/>
                    </w:rPr>
                    <w:t>高排气筒达标排放，对环境影响较小。</w:t>
                  </w:r>
                </w:p>
              </w:tc>
              <w:tc>
                <w:tcPr>
                  <w:tcW w:w="508" w:type="pct"/>
                  <w:tcBorders>
                    <w:tl2br w:val="nil"/>
                    <w:tr2bl w:val="nil"/>
                  </w:tcBorders>
                  <w:noWrap w:val="0"/>
                  <w:vAlign w:val="center"/>
                </w:tcPr>
                <w:p w14:paraId="192C5649">
                  <w:pPr>
                    <w:jc w:val="center"/>
                    <w:rPr>
                      <w:rFonts w:hint="default" w:ascii="Times New Roman" w:hAnsi="Times New Roman" w:eastAsia="宋体" w:cs="Times New Roman"/>
                      <w:snapToGrid w:val="0"/>
                      <w:color w:val="auto"/>
                      <w:kern w:val="0"/>
                      <w:sz w:val="21"/>
                      <w:szCs w:val="21"/>
                      <w:lang w:val="en-US" w:eastAsia="zh-CN" w:bidi="ar-SA"/>
                    </w:rPr>
                  </w:pPr>
                  <w:r>
                    <w:rPr>
                      <w:color w:val="auto"/>
                      <w:szCs w:val="21"/>
                    </w:rPr>
                    <w:t>符合</w:t>
                  </w:r>
                </w:p>
              </w:tc>
            </w:tr>
          </w:tbl>
          <w:p w14:paraId="7E1EA20F">
            <w:pPr>
              <w:numPr>
                <w:ilvl w:val="0"/>
                <w:numId w:val="2"/>
              </w:numPr>
              <w:spacing w:line="360" w:lineRule="auto"/>
              <w:ind w:left="0" w:leftChars="0" w:firstLine="0" w:firstLineChars="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选址合理性分析</w:t>
            </w:r>
          </w:p>
          <w:p w14:paraId="6941EFE6">
            <w:pPr>
              <w:numPr>
                <w:ilvl w:val="0"/>
                <w:numId w:val="0"/>
              </w:numPr>
              <w:spacing w:line="360" w:lineRule="auto"/>
              <w:ind w:leftChars="0" w:firstLine="480" w:firstLineChars="200"/>
              <w:rPr>
                <w:rFonts w:hint="default" w:ascii="Times New Roman" w:hAnsi="Times New Roman" w:cs="Times New Roman"/>
                <w:b w:val="0"/>
                <w:bCs/>
                <w:color w:val="auto"/>
                <w:sz w:val="24"/>
              </w:rPr>
            </w:pPr>
            <w:r>
              <w:rPr>
                <w:rFonts w:hint="default" w:ascii="Times New Roman" w:hAnsi="Times New Roman" w:cs="Times New Roman"/>
                <w:b w:val="0"/>
                <w:bCs w:val="0"/>
                <w:color w:val="auto"/>
                <w:sz w:val="24"/>
                <w:szCs w:val="24"/>
                <w:lang w:val="en-US" w:eastAsia="zh-CN"/>
              </w:rPr>
              <w:t>本项目位于</w:t>
            </w:r>
            <w:r>
              <w:rPr>
                <w:rFonts w:hint="eastAsia" w:ascii="Times New Roman" w:hAnsi="Times New Roman" w:cs="Times New Roman"/>
                <w:b w:val="0"/>
                <w:bCs w:val="0"/>
                <w:color w:val="auto"/>
                <w:sz w:val="24"/>
                <w:szCs w:val="24"/>
                <w:lang w:val="en-US" w:eastAsia="zh-CN"/>
              </w:rPr>
              <w:t>陕西省西咸新区泾河新城永乐镇泾河智造创新产业园18#3层</w:t>
            </w:r>
            <w:r>
              <w:rPr>
                <w:rFonts w:hint="default" w:ascii="Times New Roman" w:hAnsi="Times New Roman" w:cs="Times New Roman"/>
                <w:b w:val="0"/>
                <w:bCs w:val="0"/>
                <w:color w:val="auto"/>
                <w:sz w:val="24"/>
                <w:szCs w:val="24"/>
                <w:lang w:val="en-US" w:eastAsia="zh-CN"/>
              </w:rPr>
              <w:t>，租用</w:t>
            </w:r>
            <w:r>
              <w:rPr>
                <w:rFonts w:hint="eastAsia" w:ascii="Times New Roman" w:hAnsi="Times New Roman" w:cs="Times New Roman"/>
                <w:b w:val="0"/>
                <w:bCs w:val="0"/>
                <w:color w:val="auto"/>
                <w:sz w:val="24"/>
                <w:szCs w:val="24"/>
                <w:lang w:val="en-US" w:eastAsia="zh-CN"/>
              </w:rPr>
              <w:t>西咸新区泾河新城产业园区发展有限公司</w:t>
            </w:r>
            <w:r>
              <w:rPr>
                <w:rFonts w:hint="default" w:ascii="Times New Roman" w:hAnsi="Times New Roman" w:cs="Times New Roman"/>
                <w:b w:val="0"/>
                <w:bCs w:val="0"/>
                <w:color w:val="auto"/>
                <w:sz w:val="24"/>
                <w:szCs w:val="24"/>
                <w:lang w:val="en-US" w:eastAsia="zh-CN"/>
              </w:rPr>
              <w:t>现有厂房，厂房租赁合同见附件</w:t>
            </w:r>
            <w:r>
              <w:rPr>
                <w:rFonts w:hint="eastAsia" w:ascii="Times New Roman" w:hAnsi="Times New Roman" w:cs="Times New Roman"/>
                <w:b w:val="0"/>
                <w:bCs w:val="0"/>
                <w:color w:val="auto"/>
                <w:sz w:val="24"/>
                <w:szCs w:val="24"/>
                <w:lang w:val="en-US" w:eastAsia="zh-CN"/>
              </w:rPr>
              <w:t>4</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color w:val="auto"/>
                <w:sz w:val="24"/>
                <w:lang w:val="en-US" w:eastAsia="zh-CN"/>
              </w:rPr>
              <w:t>陕西氢动盛世能源科技有限公司</w:t>
            </w:r>
            <w:r>
              <w:rPr>
                <w:rFonts w:hint="default" w:ascii="Times New Roman" w:hAnsi="Times New Roman" w:cs="Times New Roman"/>
                <w:b w:val="0"/>
                <w:bCs/>
                <w:color w:val="auto"/>
                <w:sz w:val="24"/>
              </w:rPr>
              <w:t>租赁</w:t>
            </w:r>
            <w:r>
              <w:rPr>
                <w:rFonts w:hint="eastAsia" w:ascii="Times New Roman" w:hAnsi="Times New Roman" w:cs="Times New Roman"/>
                <w:b w:val="0"/>
                <w:bCs w:val="0"/>
                <w:color w:val="auto"/>
                <w:sz w:val="24"/>
                <w:szCs w:val="24"/>
                <w:lang w:val="en-US" w:eastAsia="zh-CN"/>
              </w:rPr>
              <w:t>西咸新区泾河新城产业园区发展有限公司</w:t>
            </w:r>
            <w:r>
              <w:rPr>
                <w:rFonts w:hint="default" w:ascii="Times New Roman" w:hAnsi="Times New Roman" w:cs="Times New Roman"/>
                <w:b w:val="0"/>
                <w:bCs/>
                <w:color w:val="auto"/>
                <w:sz w:val="24"/>
              </w:rPr>
              <w:t>厂房</w:t>
            </w:r>
            <w:r>
              <w:rPr>
                <w:rFonts w:hint="default" w:ascii="Times New Roman" w:hAnsi="Times New Roman" w:cs="Times New Roman"/>
                <w:b w:val="0"/>
                <w:bCs/>
                <w:color w:val="auto"/>
                <w:sz w:val="24"/>
                <w:lang w:eastAsia="zh-CN"/>
              </w:rPr>
              <w:t>，</w:t>
            </w:r>
            <w:r>
              <w:rPr>
                <w:rFonts w:hint="default" w:ascii="Times New Roman" w:hAnsi="Times New Roman" w:cs="Times New Roman"/>
                <w:b w:val="0"/>
                <w:bCs/>
                <w:color w:val="auto"/>
                <w:sz w:val="24"/>
              </w:rPr>
              <w:t>陕西</w:t>
            </w:r>
            <w:r>
              <w:rPr>
                <w:rFonts w:hint="eastAsia" w:ascii="Times New Roman" w:hAnsi="Times New Roman" w:cs="Times New Roman"/>
                <w:b w:val="0"/>
                <w:bCs/>
                <w:color w:val="auto"/>
                <w:sz w:val="24"/>
                <w:lang w:val="en-US" w:eastAsia="zh-CN"/>
              </w:rPr>
              <w:t>盛世氢芯科技</w:t>
            </w:r>
            <w:r>
              <w:rPr>
                <w:rFonts w:hint="default" w:ascii="Times New Roman" w:hAnsi="Times New Roman" w:cs="Times New Roman"/>
                <w:b w:val="0"/>
                <w:bCs/>
                <w:color w:val="auto"/>
                <w:sz w:val="24"/>
              </w:rPr>
              <w:t>有限公司</w:t>
            </w:r>
            <w:r>
              <w:rPr>
                <w:rFonts w:hint="eastAsia" w:ascii="Times New Roman" w:hAnsi="Times New Roman" w:cs="Times New Roman"/>
                <w:b w:val="0"/>
                <w:bCs/>
                <w:color w:val="auto"/>
                <w:sz w:val="24"/>
                <w:lang w:val="en-US" w:eastAsia="zh-CN"/>
              </w:rPr>
              <w:t>与其共同使用厂房，共同使用厂房情况说明见附件5。陕西氢动盛世能源科技有限公司与</w:t>
            </w:r>
            <w:r>
              <w:rPr>
                <w:rFonts w:hint="default" w:ascii="Times New Roman" w:hAnsi="Times New Roman" w:cs="Times New Roman"/>
                <w:b w:val="0"/>
                <w:bCs/>
                <w:color w:val="auto"/>
                <w:sz w:val="24"/>
              </w:rPr>
              <w:t>陕西</w:t>
            </w:r>
            <w:r>
              <w:rPr>
                <w:rFonts w:hint="eastAsia" w:ascii="Times New Roman" w:hAnsi="Times New Roman" w:cs="Times New Roman"/>
                <w:b w:val="0"/>
                <w:bCs/>
                <w:color w:val="auto"/>
                <w:sz w:val="24"/>
                <w:lang w:val="en-US" w:eastAsia="zh-CN"/>
              </w:rPr>
              <w:t>盛世氢芯科技</w:t>
            </w:r>
            <w:r>
              <w:rPr>
                <w:rFonts w:hint="default" w:ascii="Times New Roman" w:hAnsi="Times New Roman" w:cs="Times New Roman"/>
                <w:b w:val="0"/>
                <w:bCs/>
                <w:color w:val="auto"/>
                <w:sz w:val="24"/>
              </w:rPr>
              <w:t>有限公司</w:t>
            </w:r>
            <w:r>
              <w:rPr>
                <w:rFonts w:hint="eastAsia" w:ascii="Times New Roman" w:hAnsi="Times New Roman" w:cs="Times New Roman"/>
                <w:b w:val="0"/>
                <w:bCs/>
                <w:color w:val="auto"/>
                <w:sz w:val="24"/>
                <w:lang w:val="en-US" w:eastAsia="zh-CN"/>
              </w:rPr>
              <w:t>均属于盛世盈创氢能科技（陕西）有限公司的全资子公司，属于同一企业集团下的关联企业</w:t>
            </w:r>
            <w:r>
              <w:rPr>
                <w:rFonts w:hint="default" w:ascii="Times New Roman" w:hAnsi="Times New Roman" w:cs="Times New Roman"/>
                <w:b w:val="0"/>
                <w:bCs/>
                <w:color w:val="auto"/>
                <w:sz w:val="24"/>
              </w:rPr>
              <w:t>。</w:t>
            </w:r>
          </w:p>
          <w:p w14:paraId="2A2EC321">
            <w:pPr>
              <w:numPr>
                <w:ilvl w:val="0"/>
                <w:numId w:val="0"/>
              </w:numPr>
              <w:spacing w:line="360" w:lineRule="auto"/>
              <w:ind w:leftChars="0" w:firstLine="480" w:firstLineChars="200"/>
              <w:rPr>
                <w:rFonts w:hint="default" w:ascii="Times New Roman" w:hAnsi="Times New Roman" w:cs="Times New Roman"/>
                <w:b w:val="0"/>
                <w:bCs w:val="0"/>
                <w:color w:val="auto"/>
                <w:sz w:val="24"/>
                <w:szCs w:val="24"/>
                <w:lang w:val="en-US" w:eastAsia="zh-CN"/>
              </w:rPr>
            </w:pPr>
            <w:r>
              <w:rPr>
                <w:rFonts w:hint="eastAsia"/>
                <w:color w:val="auto"/>
                <w:sz w:val="24"/>
              </w:rPr>
              <w:t>项目用地性质为工业用地，土地证见附件</w:t>
            </w:r>
            <w:r>
              <w:rPr>
                <w:rFonts w:hint="eastAsia"/>
                <w:color w:val="auto"/>
                <w:sz w:val="24"/>
                <w:lang w:val="en-US" w:eastAsia="zh-CN"/>
              </w:rPr>
              <w:t>3，与《西咸新区详细规划管控一张图》（见附图6）所示工业用地相符。本项目产业空间布局、用地规划符合《西咸新区-泾河新城分区规划修编（2016-2035）》要求，满足《陕西省西咸新区泾河新城分区规划（2016-2035）环境影响报告书》及审查意见的空间布局准入、污染物排放管控要求</w:t>
            </w:r>
            <w:r>
              <w:rPr>
                <w:rFonts w:hint="default" w:ascii="Times New Roman" w:hAnsi="Times New Roman" w:cs="Times New Roman"/>
                <w:b w:val="0"/>
                <w:bCs w:val="0"/>
                <w:color w:val="auto"/>
                <w:sz w:val="24"/>
                <w:szCs w:val="24"/>
                <w:lang w:val="en-US" w:eastAsia="zh-CN"/>
              </w:rPr>
              <w:t>。</w:t>
            </w:r>
          </w:p>
          <w:p w14:paraId="6574D16B">
            <w:pPr>
              <w:numPr>
                <w:ilvl w:val="0"/>
                <w:numId w:val="0"/>
              </w:numPr>
              <w:spacing w:line="360" w:lineRule="auto"/>
              <w:ind w:leftChars="0" w:firstLine="480" w:firstLineChars="200"/>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项目所在地地理位置优越，交通便利，供水、供电、供气和通讯等基础配套设施完善，可以满足本项目建设及运营需要；项目周边500m范围内无集中式饮用水水源地、自然保护区、风景名胜区等特殊环境保护目标，也无环境保护方面制约因素。本项目实施后，污染物产生量较小，在落实环评提出的各项污染治理措施后，各污染物均可做到达标排放，对周围环境影响较小。</w:t>
            </w:r>
          </w:p>
          <w:p w14:paraId="204F0473">
            <w:pPr>
              <w:spacing w:line="360" w:lineRule="auto"/>
              <w:ind w:firstLine="480" w:firstLineChars="200"/>
              <w:outlineLvl w:val="0"/>
              <w:rPr>
                <w:rFonts w:hint="default" w:eastAsia="黑体" w:cs="Times New Roman"/>
                <w:color w:val="auto"/>
                <w:sz w:val="30"/>
                <w:vertAlign w:val="baseline"/>
                <w:lang w:val="en-US" w:eastAsia="zh-CN"/>
              </w:rPr>
            </w:pPr>
            <w:r>
              <w:rPr>
                <w:rFonts w:hint="default" w:ascii="Times New Roman" w:hAnsi="Times New Roman" w:cs="Times New Roman"/>
                <w:b w:val="0"/>
                <w:bCs w:val="0"/>
                <w:color w:val="auto"/>
                <w:sz w:val="24"/>
                <w:szCs w:val="24"/>
                <w:lang w:val="en-US" w:eastAsia="zh-CN"/>
              </w:rPr>
              <w:t>综上，项目选址合理。</w:t>
            </w:r>
          </w:p>
        </w:tc>
      </w:tr>
    </w:tbl>
    <w:p w14:paraId="4821FA7C">
      <w:pPr>
        <w:spacing w:line="360" w:lineRule="auto"/>
        <w:outlineLvl w:val="0"/>
        <w:rPr>
          <w:rFonts w:hint="default" w:eastAsia="黑体" w:cs="Times New Roman"/>
          <w:sz w:val="30"/>
          <w:lang w:val="en-US" w:eastAsia="zh-CN"/>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14:paraId="4E5B768D">
      <w:pPr>
        <w:pStyle w:val="23"/>
        <w:jc w:val="center"/>
        <w:outlineLvl w:val="0"/>
        <w:rPr>
          <w:rFonts w:hint="default" w:ascii="Times New Roman" w:hAnsi="Times New Roman" w:eastAsia="黑体" w:cs="Times New Roman"/>
          <w:snapToGrid w:val="0"/>
          <w:sz w:val="30"/>
          <w:szCs w:val="30"/>
        </w:rPr>
      </w:pPr>
      <w:bookmarkStart w:id="6" w:name="_Toc9183"/>
      <w:r>
        <w:rPr>
          <w:rFonts w:hint="default" w:ascii="Times New Roman" w:hAnsi="Times New Roman" w:eastAsia="黑体" w:cs="Times New Roman"/>
          <w:snapToGrid w:val="0"/>
          <w:sz w:val="30"/>
          <w:szCs w:val="30"/>
        </w:rPr>
        <w:t>二、建设项目工程分析</w:t>
      </w:r>
      <w:bookmarkEnd w:id="6"/>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6"/>
        <w:gridCol w:w="8538"/>
      </w:tblGrid>
      <w:tr w14:paraId="59D783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446" w:type="dxa"/>
            <w:noWrap w:val="0"/>
            <w:vAlign w:val="center"/>
          </w:tcPr>
          <w:p w14:paraId="22FA724C">
            <w:pPr>
              <w:pStyle w:val="23"/>
              <w:adjustRightInd w:val="0"/>
              <w:snapToGrid w:val="0"/>
              <w:spacing w:before="0" w:beforeAutospacing="0" w:after="0" w:afterAutospacing="0"/>
              <w:jc w:val="center"/>
              <w:rPr>
                <w:rFonts w:hint="default" w:ascii="Times New Roman" w:hAnsi="Times New Roman" w:cs="Times New Roman"/>
                <w:b/>
                <w:bCs/>
                <w:color w:val="auto"/>
                <w:sz w:val="24"/>
                <w:szCs w:val="24"/>
              </w:rPr>
            </w:pPr>
            <w:r>
              <w:rPr>
                <w:rFonts w:hint="default" w:ascii="Times New Roman" w:hAnsi="Times New Roman" w:cs="Times New Roman"/>
                <w:b w:val="0"/>
                <w:bCs w:val="0"/>
                <w:color w:val="auto"/>
                <w:sz w:val="24"/>
                <w:szCs w:val="24"/>
              </w:rPr>
              <w:t>建设内容</w:t>
            </w:r>
          </w:p>
        </w:tc>
        <w:tc>
          <w:tcPr>
            <w:tcW w:w="8538" w:type="dxa"/>
            <w:noWrap w:val="0"/>
            <w:vAlign w:val="top"/>
          </w:tcPr>
          <w:p w14:paraId="0E57E9C6">
            <w:pPr>
              <w:spacing w:line="360" w:lineRule="auto"/>
              <w:ind w:firstLine="482" w:firstLineChars="200"/>
              <w:rPr>
                <w:b/>
                <w:bCs/>
                <w:color w:val="auto"/>
                <w:sz w:val="24"/>
              </w:rPr>
            </w:pPr>
            <w:r>
              <w:rPr>
                <w:rFonts w:hint="eastAsia"/>
                <w:b/>
                <w:color w:val="auto"/>
                <w:sz w:val="24"/>
              </w:rPr>
              <w:t>1</w:t>
            </w:r>
            <w:r>
              <w:rPr>
                <w:rFonts w:hint="eastAsia"/>
                <w:b/>
                <w:bCs/>
                <w:color w:val="auto"/>
                <w:sz w:val="24"/>
              </w:rPr>
              <w:t>、项目基本情况</w:t>
            </w:r>
          </w:p>
          <w:p w14:paraId="641F0BA4">
            <w:pPr>
              <w:spacing w:line="360" w:lineRule="auto"/>
              <w:ind w:firstLine="480" w:firstLineChars="200"/>
              <w:rPr>
                <w:color w:val="auto"/>
                <w:sz w:val="24"/>
              </w:rPr>
            </w:pPr>
            <w:r>
              <w:rPr>
                <w:color w:val="auto"/>
                <w:sz w:val="24"/>
              </w:rPr>
              <w:t>项目名称：</w:t>
            </w:r>
            <w:r>
              <w:rPr>
                <w:rFonts w:hint="eastAsia"/>
                <w:color w:val="auto"/>
                <w:sz w:val="24"/>
                <w:lang w:val="en-US" w:eastAsia="zh-CN"/>
              </w:rPr>
              <w:t>高效氢燃料电池膜电极产业化</w:t>
            </w:r>
            <w:r>
              <w:rPr>
                <w:rFonts w:hint="default"/>
                <w:color w:val="auto"/>
                <w:sz w:val="24"/>
                <w:lang w:val="en-US" w:eastAsia="zh-CN"/>
              </w:rPr>
              <w:t>项目</w:t>
            </w:r>
          </w:p>
          <w:p w14:paraId="0287427E">
            <w:pPr>
              <w:spacing w:line="360" w:lineRule="auto"/>
              <w:ind w:firstLine="480" w:firstLineChars="200"/>
              <w:rPr>
                <w:color w:val="auto"/>
                <w:sz w:val="24"/>
              </w:rPr>
            </w:pPr>
            <w:r>
              <w:rPr>
                <w:color w:val="auto"/>
                <w:sz w:val="24"/>
              </w:rPr>
              <w:t>建设单位：</w:t>
            </w:r>
            <w:r>
              <w:rPr>
                <w:rFonts w:hint="default"/>
                <w:color w:val="auto"/>
                <w:sz w:val="24"/>
                <w:lang w:val="en-US" w:eastAsia="zh-CN"/>
              </w:rPr>
              <w:t>陕西</w:t>
            </w:r>
            <w:r>
              <w:rPr>
                <w:rFonts w:hint="eastAsia"/>
                <w:color w:val="auto"/>
                <w:sz w:val="24"/>
                <w:lang w:val="en-US" w:eastAsia="zh-CN"/>
              </w:rPr>
              <w:t>盛世氢芯科技</w:t>
            </w:r>
            <w:r>
              <w:rPr>
                <w:rFonts w:hint="default"/>
                <w:color w:val="auto"/>
                <w:sz w:val="24"/>
                <w:lang w:val="en-US" w:eastAsia="zh-CN"/>
              </w:rPr>
              <w:t>有限公司</w:t>
            </w:r>
          </w:p>
          <w:p w14:paraId="31AD6766">
            <w:pPr>
              <w:spacing w:line="360" w:lineRule="auto"/>
              <w:ind w:firstLine="480" w:firstLineChars="200"/>
              <w:rPr>
                <w:color w:val="auto"/>
                <w:sz w:val="24"/>
              </w:rPr>
            </w:pPr>
            <w:r>
              <w:rPr>
                <w:color w:val="auto"/>
                <w:sz w:val="24"/>
              </w:rPr>
              <w:t>建设性质：</w:t>
            </w:r>
            <w:r>
              <w:rPr>
                <w:rFonts w:hint="eastAsia"/>
                <w:color w:val="auto"/>
                <w:sz w:val="24"/>
              </w:rPr>
              <w:t>新建</w:t>
            </w:r>
          </w:p>
          <w:p w14:paraId="246DBDE0">
            <w:pPr>
              <w:spacing w:line="360" w:lineRule="auto"/>
              <w:ind w:firstLine="480" w:firstLineChars="200"/>
              <w:rPr>
                <w:color w:val="auto"/>
                <w:sz w:val="24"/>
              </w:rPr>
            </w:pPr>
            <w:r>
              <w:rPr>
                <w:color w:val="auto"/>
                <w:sz w:val="24"/>
              </w:rPr>
              <w:t>项目投资：项目总投资为</w:t>
            </w:r>
            <w:r>
              <w:rPr>
                <w:rFonts w:hint="eastAsia"/>
                <w:color w:val="auto"/>
                <w:sz w:val="24"/>
                <w:lang w:val="en-US" w:eastAsia="zh-CN"/>
              </w:rPr>
              <w:t>32000</w:t>
            </w:r>
            <w:r>
              <w:rPr>
                <w:color w:val="auto"/>
                <w:sz w:val="24"/>
              </w:rPr>
              <w:t>万元，资金</w:t>
            </w:r>
            <w:r>
              <w:rPr>
                <w:rFonts w:hint="eastAsia"/>
                <w:color w:val="auto"/>
                <w:sz w:val="24"/>
              </w:rPr>
              <w:t>全部由</w:t>
            </w:r>
            <w:r>
              <w:rPr>
                <w:color w:val="auto"/>
                <w:sz w:val="24"/>
              </w:rPr>
              <w:t>企业自筹。</w:t>
            </w:r>
          </w:p>
          <w:p w14:paraId="4245A1A0">
            <w:pPr>
              <w:spacing w:line="360" w:lineRule="auto"/>
              <w:ind w:firstLine="480" w:firstLineChars="200"/>
              <w:rPr>
                <w:color w:val="auto"/>
                <w:sz w:val="24"/>
              </w:rPr>
            </w:pPr>
            <w:r>
              <w:rPr>
                <w:color w:val="auto"/>
                <w:sz w:val="24"/>
              </w:rPr>
              <w:t>建设地点：</w:t>
            </w:r>
            <w:r>
              <w:rPr>
                <w:rFonts w:hint="eastAsia"/>
                <w:color w:val="auto"/>
                <w:sz w:val="24"/>
              </w:rPr>
              <w:t>项目位于</w:t>
            </w:r>
            <w:r>
              <w:rPr>
                <w:rFonts w:hint="default" w:ascii="Times New Roman" w:hAnsi="Times New Roman" w:eastAsia="宋体" w:cs="Times New Roman"/>
                <w:color w:val="auto"/>
                <w:sz w:val="24"/>
                <w:szCs w:val="24"/>
                <w:lang w:val="en-US" w:eastAsia="zh-CN"/>
              </w:rPr>
              <w:t>陕西省西咸新区泾河新城永乐镇泾河智造创新产业园18#3层</w:t>
            </w:r>
            <w:r>
              <w:rPr>
                <w:color w:val="auto"/>
                <w:sz w:val="24"/>
              </w:rPr>
              <w:t>，中心位置地理为</w:t>
            </w:r>
            <w:r>
              <w:rPr>
                <w:rFonts w:hint="default" w:ascii="Times New Roman" w:hAnsi="Times New Roman" w:cs="Times New Roman"/>
                <w:color w:val="auto"/>
                <w:sz w:val="24"/>
                <w:szCs w:val="24"/>
                <w:u w:val="none"/>
                <w:lang w:val="en-US" w:eastAsia="zh-CN"/>
              </w:rPr>
              <w:t>东经108°57'28.63</w:t>
            </w:r>
            <w:r>
              <w:rPr>
                <w:rFonts w:hint="eastAsia" w:ascii="Times New Roman" w:hAnsi="Times New Roman" w:cs="Times New Roman"/>
                <w:color w:val="auto"/>
                <w:sz w:val="24"/>
                <w:szCs w:val="24"/>
                <w:u w:val="none"/>
                <w:lang w:val="en-US" w:eastAsia="zh-CN"/>
              </w:rPr>
              <w:t>9</w:t>
            </w:r>
            <w:r>
              <w:rPr>
                <w:rFonts w:hint="default" w:ascii="Times New Roman" w:hAnsi="Times New Roman" w:cs="Times New Roman"/>
                <w:color w:val="auto"/>
                <w:sz w:val="24"/>
                <w:szCs w:val="24"/>
                <w:u w:val="none"/>
                <w:lang w:val="en-US" w:eastAsia="zh-CN"/>
              </w:rPr>
              <w:t>"</w:t>
            </w:r>
            <w:r>
              <w:rPr>
                <w:rFonts w:hint="default" w:ascii="Times New Roman" w:hAnsi="Times New Roman" w:cs="Times New Roman"/>
                <w:color w:val="auto"/>
                <w:sz w:val="24"/>
                <w:szCs w:val="24"/>
                <w:u w:val="none"/>
              </w:rPr>
              <w:t>，</w:t>
            </w:r>
            <w:r>
              <w:rPr>
                <w:rFonts w:hint="default" w:ascii="Times New Roman" w:hAnsi="Times New Roman" w:cs="Times New Roman"/>
                <w:color w:val="auto"/>
                <w:sz w:val="24"/>
                <w:szCs w:val="24"/>
                <w:u w:val="none"/>
                <w:lang w:val="en-US" w:eastAsia="zh-CN"/>
              </w:rPr>
              <w:t>北纬34°32'09.176"</w:t>
            </w:r>
            <w:r>
              <w:rPr>
                <w:color w:val="auto"/>
                <w:sz w:val="24"/>
              </w:rPr>
              <w:t>。详见附图1地理位置图。</w:t>
            </w:r>
          </w:p>
          <w:p w14:paraId="622D0D3B">
            <w:pPr>
              <w:spacing w:line="360" w:lineRule="auto"/>
              <w:ind w:firstLine="480" w:firstLineChars="200"/>
              <w:rPr>
                <w:color w:val="auto"/>
                <w:sz w:val="24"/>
              </w:rPr>
            </w:pPr>
            <w:r>
              <w:rPr>
                <w:color w:val="auto"/>
                <w:sz w:val="24"/>
              </w:rPr>
              <w:t>四邻关系：</w:t>
            </w:r>
            <w:r>
              <w:rPr>
                <w:rFonts w:hint="default" w:ascii="Times New Roman" w:hAnsi="Times New Roman" w:cs="Times New Roman"/>
                <w:b w:val="0"/>
                <w:bCs w:val="0"/>
                <w:color w:val="auto"/>
                <w:sz w:val="24"/>
                <w:szCs w:val="24"/>
                <w:lang w:val="en-US" w:eastAsia="zh-CN"/>
              </w:rPr>
              <w:t>本项目所在</w:t>
            </w:r>
            <w:r>
              <w:rPr>
                <w:rFonts w:hint="eastAsia" w:ascii="Times New Roman" w:hAnsi="Times New Roman" w:cs="Times New Roman"/>
                <w:b w:val="0"/>
                <w:bCs w:val="0"/>
                <w:color w:val="auto"/>
                <w:sz w:val="24"/>
                <w:szCs w:val="24"/>
                <w:lang w:val="en-US" w:eastAsia="zh-CN"/>
              </w:rPr>
              <w:t>18</w:t>
            </w:r>
            <w:r>
              <w:rPr>
                <w:rFonts w:hint="default" w:ascii="Times New Roman" w:hAnsi="Times New Roman" w:cs="Times New Roman"/>
                <w:b w:val="0"/>
                <w:bCs w:val="0"/>
                <w:color w:val="auto"/>
                <w:sz w:val="24"/>
                <w:szCs w:val="24"/>
                <w:lang w:val="en-US" w:eastAsia="zh-CN"/>
              </w:rPr>
              <w:t>栋</w:t>
            </w:r>
            <w:r>
              <w:rPr>
                <w:rFonts w:hint="eastAsia" w:ascii="Times New Roman" w:hAnsi="Times New Roman" w:cs="Times New Roman"/>
                <w:b w:val="0"/>
                <w:bCs w:val="0"/>
                <w:color w:val="auto"/>
                <w:sz w:val="24"/>
                <w:szCs w:val="24"/>
                <w:lang w:val="en-US" w:eastAsia="zh-CN"/>
              </w:rPr>
              <w:t>厂房</w:t>
            </w:r>
            <w:r>
              <w:rPr>
                <w:rFonts w:hint="default" w:ascii="Times New Roman" w:hAnsi="Times New Roman" w:cs="Times New Roman"/>
                <w:b w:val="0"/>
                <w:bCs w:val="0"/>
                <w:color w:val="auto"/>
                <w:sz w:val="24"/>
                <w:szCs w:val="24"/>
                <w:lang w:val="en-US" w:eastAsia="zh-CN"/>
              </w:rPr>
              <w:t>共</w:t>
            </w:r>
            <w:r>
              <w:rPr>
                <w:rFonts w:hint="eastAsia" w:ascii="Times New Roman" w:hAnsi="Times New Roman" w:cs="Times New Roman"/>
                <w:b w:val="0"/>
                <w:bCs w:val="0"/>
                <w:color w:val="auto"/>
                <w:sz w:val="24"/>
                <w:szCs w:val="24"/>
                <w:lang w:val="en-US" w:eastAsia="zh-CN"/>
              </w:rPr>
              <w:t>4</w:t>
            </w:r>
            <w:r>
              <w:rPr>
                <w:rFonts w:hint="default" w:ascii="Times New Roman" w:hAnsi="Times New Roman" w:cs="Times New Roman"/>
                <w:b w:val="0"/>
                <w:bCs w:val="0"/>
                <w:color w:val="auto"/>
                <w:sz w:val="24"/>
                <w:szCs w:val="24"/>
                <w:lang w:val="en-US" w:eastAsia="zh-CN"/>
              </w:rPr>
              <w:t>层，</w:t>
            </w:r>
            <w:r>
              <w:rPr>
                <w:rFonts w:hint="eastAsia" w:ascii="Times New Roman" w:hAnsi="Times New Roman" w:cs="Times New Roman"/>
                <w:b w:val="0"/>
                <w:bCs w:val="0"/>
                <w:color w:val="auto"/>
                <w:sz w:val="24"/>
                <w:szCs w:val="24"/>
                <w:lang w:val="en-US" w:eastAsia="zh-CN"/>
              </w:rPr>
              <w:t>1层和2层为陕西旭氢时代科技有限公司，4层为</w:t>
            </w:r>
            <w:r>
              <w:rPr>
                <w:rFonts w:hint="eastAsia" w:ascii="Times New Roman" w:hAnsi="Times New Roman" w:cs="Times New Roman"/>
                <w:b w:val="0"/>
                <w:bCs/>
                <w:color w:val="auto"/>
                <w:sz w:val="24"/>
                <w:lang w:val="en-US" w:eastAsia="zh-CN"/>
              </w:rPr>
              <w:t>盛世盈创氢能科技（陕西）有限公司</w:t>
            </w:r>
            <w:r>
              <w:rPr>
                <w:rFonts w:hint="eastAsia" w:cs="Times New Roman"/>
                <w:b w:val="0"/>
                <w:bCs/>
                <w:color w:val="auto"/>
                <w:sz w:val="24"/>
                <w:lang w:val="en-US" w:eastAsia="zh-CN"/>
              </w:rPr>
              <w:t>，本项目与</w:t>
            </w:r>
            <w:r>
              <w:rPr>
                <w:rFonts w:hint="eastAsia" w:ascii="Times New Roman" w:hAnsi="Times New Roman" w:cs="Times New Roman"/>
                <w:b w:val="0"/>
                <w:bCs/>
                <w:color w:val="auto"/>
                <w:sz w:val="24"/>
                <w:lang w:val="en-US" w:eastAsia="zh-CN"/>
              </w:rPr>
              <w:t>陕西氢动盛世能源科技有限公司</w:t>
            </w:r>
            <w:r>
              <w:rPr>
                <w:rFonts w:hint="eastAsia" w:cs="Times New Roman"/>
                <w:b w:val="0"/>
                <w:bCs/>
                <w:color w:val="auto"/>
                <w:sz w:val="24"/>
                <w:lang w:val="en-US" w:eastAsia="zh-CN"/>
              </w:rPr>
              <w:t>两轮电动车的组装项目</w:t>
            </w:r>
            <w:r>
              <w:rPr>
                <w:rFonts w:hint="eastAsia" w:ascii="Times New Roman" w:hAnsi="Times New Roman" w:cs="Times New Roman"/>
                <w:b w:val="0"/>
                <w:bCs/>
                <w:color w:val="auto"/>
                <w:sz w:val="24"/>
                <w:lang w:val="en-US" w:eastAsia="zh-CN"/>
              </w:rPr>
              <w:t>位于3层</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项目</w:t>
            </w:r>
            <w:r>
              <w:rPr>
                <w:rFonts w:hint="default" w:ascii="Times New Roman" w:hAnsi="Times New Roman" w:cs="Times New Roman"/>
                <w:b w:val="0"/>
                <w:bCs w:val="0"/>
                <w:color w:val="auto"/>
                <w:sz w:val="24"/>
                <w:szCs w:val="24"/>
                <w:lang w:val="en-US" w:eastAsia="zh-CN"/>
              </w:rPr>
              <w:t>东侧</w:t>
            </w:r>
            <w:r>
              <w:rPr>
                <w:rFonts w:hint="eastAsia" w:ascii="Times New Roman" w:hAnsi="Times New Roman" w:cs="Times New Roman"/>
                <w:b w:val="0"/>
                <w:bCs w:val="0"/>
                <w:color w:val="auto"/>
                <w:sz w:val="24"/>
                <w:szCs w:val="24"/>
                <w:lang w:val="en-US" w:eastAsia="zh-CN"/>
              </w:rPr>
              <w:t>和西侧分别</w:t>
            </w:r>
            <w:r>
              <w:rPr>
                <w:rFonts w:hint="default" w:ascii="Times New Roman" w:hAnsi="Times New Roman" w:cs="Times New Roman"/>
                <w:b w:val="0"/>
                <w:bCs w:val="0"/>
                <w:color w:val="auto"/>
                <w:sz w:val="24"/>
                <w:szCs w:val="24"/>
                <w:lang w:val="en-US" w:eastAsia="zh-CN"/>
              </w:rPr>
              <w:t>为</w:t>
            </w:r>
            <w:r>
              <w:rPr>
                <w:rFonts w:hint="eastAsia" w:ascii="Times New Roman" w:hAnsi="Times New Roman" w:cs="Times New Roman"/>
                <w:b w:val="0"/>
                <w:bCs w:val="0"/>
                <w:color w:val="auto"/>
                <w:sz w:val="24"/>
                <w:szCs w:val="24"/>
                <w:lang w:val="en-US" w:eastAsia="zh-CN"/>
              </w:rPr>
              <w:t>西咸新区泾河新城产业园区发展有限公司</w:t>
            </w:r>
            <w:r>
              <w:rPr>
                <w:rFonts w:hint="default" w:ascii="Times New Roman" w:hAnsi="Times New Roman" w:cs="Times New Roman"/>
                <w:b w:val="0"/>
                <w:bCs w:val="0"/>
                <w:color w:val="auto"/>
                <w:sz w:val="24"/>
                <w:szCs w:val="24"/>
                <w:lang w:val="en-US" w:eastAsia="zh-CN"/>
              </w:rPr>
              <w:t>12#</w:t>
            </w:r>
            <w:r>
              <w:rPr>
                <w:rFonts w:hint="eastAsia" w:cs="Times New Roman"/>
                <w:b w:val="0"/>
                <w:bCs w:val="0"/>
                <w:color w:val="auto"/>
                <w:sz w:val="24"/>
                <w:szCs w:val="24"/>
                <w:lang w:val="en-US" w:eastAsia="zh-CN"/>
              </w:rPr>
              <w:t>空</w:t>
            </w:r>
            <w:r>
              <w:rPr>
                <w:rFonts w:hint="default" w:ascii="Times New Roman" w:hAnsi="Times New Roman" w:cs="Times New Roman"/>
                <w:b w:val="0"/>
                <w:bCs w:val="0"/>
                <w:color w:val="auto"/>
                <w:sz w:val="24"/>
                <w:szCs w:val="24"/>
                <w:lang w:val="en-US" w:eastAsia="zh-CN"/>
              </w:rPr>
              <w:t>厂房</w:t>
            </w:r>
            <w:r>
              <w:rPr>
                <w:rFonts w:hint="eastAsia" w:ascii="Times New Roman" w:hAnsi="Times New Roman" w:cs="Times New Roman"/>
                <w:b w:val="0"/>
                <w:bCs w:val="0"/>
                <w:color w:val="auto"/>
                <w:sz w:val="24"/>
                <w:szCs w:val="24"/>
                <w:lang w:val="en-US" w:eastAsia="zh-CN"/>
              </w:rPr>
              <w:t>和22#</w:t>
            </w:r>
            <w:r>
              <w:rPr>
                <w:rFonts w:hint="eastAsia" w:cs="Times New Roman"/>
                <w:b w:val="0"/>
                <w:bCs w:val="0"/>
                <w:color w:val="auto"/>
                <w:sz w:val="24"/>
                <w:szCs w:val="24"/>
                <w:lang w:val="en-US" w:eastAsia="zh-CN"/>
              </w:rPr>
              <w:t>空</w:t>
            </w:r>
            <w:r>
              <w:rPr>
                <w:rFonts w:hint="eastAsia" w:ascii="Times New Roman" w:hAnsi="Times New Roman" w:cs="Times New Roman"/>
                <w:b w:val="0"/>
                <w:bCs w:val="0"/>
                <w:color w:val="auto"/>
                <w:sz w:val="24"/>
                <w:szCs w:val="24"/>
                <w:lang w:val="en-US" w:eastAsia="zh-CN"/>
              </w:rPr>
              <w:t>厂房</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北</w:t>
            </w:r>
            <w:r>
              <w:rPr>
                <w:rFonts w:hint="default" w:ascii="Times New Roman" w:hAnsi="Times New Roman" w:cs="Times New Roman"/>
                <w:b w:val="0"/>
                <w:bCs w:val="0"/>
                <w:color w:val="auto"/>
                <w:sz w:val="24"/>
                <w:szCs w:val="24"/>
                <w:lang w:val="en-US" w:eastAsia="zh-CN"/>
              </w:rPr>
              <w:t>侧为</w:t>
            </w:r>
            <w:r>
              <w:rPr>
                <w:rFonts w:hint="eastAsia" w:ascii="Times New Roman" w:hAnsi="Times New Roman" w:cs="Times New Roman"/>
                <w:b w:val="0"/>
                <w:bCs w:val="0"/>
                <w:color w:val="auto"/>
                <w:sz w:val="24"/>
                <w:szCs w:val="24"/>
                <w:lang w:val="en-US" w:eastAsia="zh-CN"/>
              </w:rPr>
              <w:t>燃料电池中试测试平台</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南</w:t>
            </w:r>
            <w:r>
              <w:rPr>
                <w:rFonts w:hint="default" w:ascii="Times New Roman" w:hAnsi="Times New Roman" w:cs="Times New Roman"/>
                <w:b w:val="0"/>
                <w:bCs w:val="0"/>
                <w:color w:val="auto"/>
                <w:sz w:val="24"/>
                <w:szCs w:val="24"/>
                <w:lang w:val="en-US" w:eastAsia="zh-CN"/>
              </w:rPr>
              <w:t>侧为</w:t>
            </w:r>
            <w:r>
              <w:rPr>
                <w:rFonts w:hint="eastAsia" w:ascii="Times New Roman" w:hAnsi="Times New Roman" w:cs="Times New Roman"/>
                <w:b w:val="0"/>
                <w:bCs w:val="0"/>
                <w:color w:val="auto"/>
                <w:sz w:val="24"/>
                <w:szCs w:val="24"/>
                <w:lang w:val="en-US" w:eastAsia="zh-CN"/>
              </w:rPr>
              <w:t>陕西秦源泰动力设备有限公司</w:t>
            </w:r>
            <w:r>
              <w:rPr>
                <w:rFonts w:hint="eastAsia"/>
                <w:color w:val="auto"/>
                <w:sz w:val="24"/>
              </w:rPr>
              <w:t>。</w:t>
            </w:r>
            <w:r>
              <w:rPr>
                <w:color w:val="auto"/>
                <w:sz w:val="24"/>
              </w:rPr>
              <w:t>详见附图</w:t>
            </w:r>
            <w:r>
              <w:rPr>
                <w:rFonts w:hint="eastAsia"/>
                <w:color w:val="auto"/>
                <w:sz w:val="24"/>
              </w:rPr>
              <w:t>2</w:t>
            </w:r>
            <w:r>
              <w:rPr>
                <w:color w:val="auto"/>
                <w:sz w:val="24"/>
              </w:rPr>
              <w:t>四邻关系图。</w:t>
            </w:r>
          </w:p>
          <w:p w14:paraId="66361BAD">
            <w:pPr>
              <w:spacing w:line="360" w:lineRule="auto"/>
              <w:ind w:firstLine="482" w:firstLineChars="200"/>
              <w:rPr>
                <w:b/>
                <w:bCs/>
                <w:color w:val="auto"/>
                <w:sz w:val="24"/>
              </w:rPr>
            </w:pPr>
            <w:r>
              <w:rPr>
                <w:rFonts w:hint="eastAsia"/>
                <w:b/>
                <w:bCs/>
                <w:color w:val="auto"/>
                <w:sz w:val="24"/>
              </w:rPr>
              <w:t>2</w:t>
            </w:r>
            <w:r>
              <w:rPr>
                <w:b/>
                <w:bCs/>
                <w:color w:val="auto"/>
                <w:sz w:val="24"/>
              </w:rPr>
              <w:t>、建设规模及建设内容</w:t>
            </w:r>
          </w:p>
          <w:p w14:paraId="473ECA80">
            <w:pPr>
              <w:widowControl/>
              <w:spacing w:line="360" w:lineRule="auto"/>
              <w:ind w:firstLine="480" w:firstLineChars="200"/>
              <w:rPr>
                <w:color w:val="auto"/>
                <w:sz w:val="24"/>
              </w:rPr>
            </w:pPr>
            <w:r>
              <w:rPr>
                <w:rFonts w:hint="eastAsia" w:ascii="Times New Roman" w:hAnsi="Times New Roman" w:cs="Times New Roman"/>
                <w:b w:val="0"/>
                <w:bCs/>
                <w:color w:val="auto"/>
                <w:sz w:val="24"/>
                <w:lang w:val="en-US" w:eastAsia="zh-CN"/>
              </w:rPr>
              <w:t>陕西氢动盛世能源科技有限公司</w:t>
            </w:r>
            <w:r>
              <w:rPr>
                <w:rFonts w:hint="default" w:ascii="Times New Roman" w:hAnsi="Times New Roman" w:cs="Times New Roman"/>
                <w:b w:val="0"/>
                <w:bCs/>
                <w:color w:val="auto"/>
                <w:sz w:val="24"/>
              </w:rPr>
              <w:t>租赁</w:t>
            </w:r>
            <w:r>
              <w:rPr>
                <w:rFonts w:hint="eastAsia" w:ascii="Times New Roman" w:hAnsi="Times New Roman" w:cs="Times New Roman"/>
                <w:b w:val="0"/>
                <w:bCs w:val="0"/>
                <w:color w:val="auto"/>
                <w:sz w:val="24"/>
                <w:szCs w:val="24"/>
                <w:lang w:val="en-US" w:eastAsia="zh-CN"/>
              </w:rPr>
              <w:t>西咸新区泾河新城产业园区发展有限公司18</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3层</w:t>
            </w:r>
            <w:r>
              <w:rPr>
                <w:rFonts w:hint="default" w:ascii="Times New Roman" w:hAnsi="Times New Roman" w:cs="Times New Roman"/>
                <w:b w:val="0"/>
                <w:bCs/>
                <w:color w:val="auto"/>
                <w:sz w:val="24"/>
              </w:rPr>
              <w:t>厂房</w:t>
            </w:r>
            <w:r>
              <w:rPr>
                <w:rFonts w:hint="default" w:ascii="Times New Roman" w:hAnsi="Times New Roman" w:cs="Times New Roman"/>
                <w:b w:val="0"/>
                <w:bCs/>
                <w:color w:val="auto"/>
                <w:sz w:val="24"/>
                <w:lang w:eastAsia="zh-CN"/>
              </w:rPr>
              <w:t>，</w:t>
            </w:r>
            <w:r>
              <w:rPr>
                <w:rFonts w:hint="default" w:ascii="Times New Roman" w:hAnsi="Times New Roman" w:cs="Times New Roman"/>
                <w:b w:val="0"/>
                <w:bCs/>
                <w:color w:val="auto"/>
                <w:sz w:val="24"/>
              </w:rPr>
              <w:t>陕西</w:t>
            </w:r>
            <w:r>
              <w:rPr>
                <w:rFonts w:hint="eastAsia" w:ascii="Times New Roman" w:hAnsi="Times New Roman" w:cs="Times New Roman"/>
                <w:b w:val="0"/>
                <w:bCs/>
                <w:color w:val="auto"/>
                <w:sz w:val="24"/>
                <w:lang w:val="en-US" w:eastAsia="zh-CN"/>
              </w:rPr>
              <w:t>盛世氢芯科技</w:t>
            </w:r>
            <w:r>
              <w:rPr>
                <w:rFonts w:hint="default" w:ascii="Times New Roman" w:hAnsi="Times New Roman" w:cs="Times New Roman"/>
                <w:b w:val="0"/>
                <w:bCs/>
                <w:color w:val="auto"/>
                <w:sz w:val="24"/>
              </w:rPr>
              <w:t>有限公司</w:t>
            </w:r>
            <w:r>
              <w:rPr>
                <w:rFonts w:hint="eastAsia" w:ascii="Times New Roman" w:hAnsi="Times New Roman" w:cs="Times New Roman"/>
                <w:b w:val="0"/>
                <w:bCs/>
                <w:color w:val="auto"/>
                <w:sz w:val="24"/>
                <w:lang w:val="en-US" w:eastAsia="zh-CN"/>
              </w:rPr>
              <w:t>与其共同使用该租赁厂房建设本项目，使用面积为690平方米，共同使用厂房情况说明见附件5。</w:t>
            </w:r>
            <w:r>
              <w:rPr>
                <w:rFonts w:hint="eastAsia"/>
                <w:color w:val="auto"/>
                <w:sz w:val="24"/>
                <w:lang w:val="en-US" w:eastAsia="zh-CN"/>
              </w:rPr>
              <w:t>建设一条膜电极生产线及一条氢气泄漏检测胶带生产线</w:t>
            </w:r>
            <w:r>
              <w:rPr>
                <w:rFonts w:hint="eastAsia"/>
                <w:color w:val="auto"/>
                <w:sz w:val="24"/>
              </w:rPr>
              <w:t>，</w:t>
            </w:r>
            <w:r>
              <w:rPr>
                <w:rFonts w:hint="eastAsia"/>
                <w:color w:val="auto"/>
                <w:sz w:val="24"/>
                <w:lang w:val="en-US" w:eastAsia="zh-CN"/>
              </w:rPr>
              <w:t>计划年生产规模为膜电极300000片、氢气泄漏检测胶带5000卷</w:t>
            </w:r>
            <w:r>
              <w:rPr>
                <w:rFonts w:hint="eastAsia"/>
                <w:color w:val="auto"/>
                <w:sz w:val="24"/>
              </w:rPr>
              <w:t>。</w:t>
            </w:r>
          </w:p>
          <w:p w14:paraId="78C9DA0E">
            <w:pPr>
              <w:numPr>
                <w:ilvl w:val="0"/>
                <w:numId w:val="0"/>
              </w:numPr>
              <w:adjustRightInd w:val="0"/>
              <w:snapToGrid w:val="0"/>
              <w:spacing w:line="360" w:lineRule="auto"/>
              <w:ind w:firstLine="480" w:firstLineChars="200"/>
              <w:jc w:val="both"/>
              <w:rPr>
                <w:rFonts w:hint="default" w:ascii="Times New Roman" w:hAnsi="Times New Roman" w:cs="Times New Roman"/>
                <w:b w:val="0"/>
                <w:bCs w:val="0"/>
                <w:color w:val="auto"/>
                <w:sz w:val="24"/>
                <w:szCs w:val="24"/>
                <w:lang w:val="en-US" w:eastAsia="zh-CN"/>
              </w:rPr>
            </w:pPr>
            <w:r>
              <w:rPr>
                <w:rFonts w:hint="eastAsia"/>
                <w:color w:val="auto"/>
                <w:sz w:val="24"/>
              </w:rPr>
              <w:t>本项目工程组成见表2-1。</w:t>
            </w:r>
          </w:p>
          <w:p w14:paraId="50428DD3">
            <w:pPr>
              <w:numPr>
                <w:ilvl w:val="0"/>
                <w:numId w:val="0"/>
              </w:numPr>
              <w:adjustRightInd w:val="0"/>
              <w:snapToGrid w:val="0"/>
              <w:spacing w:line="240" w:lineRule="auto"/>
              <w:ind w:left="0" w:leftChars="0" w:firstLine="0" w:firstLineChars="0"/>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表2-1</w:t>
            </w:r>
            <w:r>
              <w:rPr>
                <w:rFonts w:hint="eastAsia" w:ascii="Times New Roman" w:hAnsi="Times New Roman" w:cs="Times New Roman"/>
                <w:b/>
                <w:bCs/>
                <w:color w:val="auto"/>
                <w:sz w:val="24"/>
                <w:szCs w:val="24"/>
                <w:lang w:val="en-US" w:eastAsia="zh-CN"/>
              </w:rPr>
              <w:t xml:space="preserve">  </w:t>
            </w:r>
            <w:r>
              <w:rPr>
                <w:rFonts w:hint="default" w:ascii="Times New Roman" w:hAnsi="Times New Roman" w:cs="Times New Roman"/>
                <w:b/>
                <w:bCs/>
                <w:color w:val="auto"/>
                <w:sz w:val="24"/>
                <w:szCs w:val="24"/>
                <w:lang w:val="en-US" w:eastAsia="zh-CN"/>
              </w:rPr>
              <w:t>项目建设内容一览表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38"/>
              <w:gridCol w:w="1048"/>
              <w:gridCol w:w="6124"/>
            </w:tblGrid>
            <w:tr w14:paraId="44F60E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tcBorders>
                    <w:tl2br w:val="nil"/>
                    <w:tr2bl w:val="nil"/>
                  </w:tcBorders>
                  <w:noWrap w:val="0"/>
                  <w:vAlign w:val="center"/>
                </w:tcPr>
                <w:p w14:paraId="24024D0E">
                  <w:pPr>
                    <w:tabs>
                      <w:tab w:val="left" w:pos="1260"/>
                    </w:tabs>
                    <w:adjustRightInd w:val="0"/>
                    <w:snapToGrid w:val="0"/>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val="en-US" w:eastAsia="zh-CN"/>
                    </w:rPr>
                    <w:t>类别</w:t>
                  </w:r>
                </w:p>
              </w:tc>
              <w:tc>
                <w:tcPr>
                  <w:tcW w:w="893" w:type="pct"/>
                  <w:gridSpan w:val="2"/>
                  <w:tcBorders>
                    <w:tl2br w:val="nil"/>
                    <w:tr2bl w:val="nil"/>
                  </w:tcBorders>
                  <w:noWrap w:val="0"/>
                  <w:vAlign w:val="center"/>
                </w:tcPr>
                <w:p w14:paraId="3000875F">
                  <w:pPr>
                    <w:tabs>
                      <w:tab w:val="left" w:pos="1260"/>
                    </w:tabs>
                    <w:adjustRightInd w:val="0"/>
                    <w:snapToGrid w:val="0"/>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rPr>
                    <w:t>项目</w:t>
                  </w:r>
                  <w:r>
                    <w:rPr>
                      <w:rFonts w:hint="default" w:ascii="Times New Roman" w:hAnsi="Times New Roman" w:cs="Times New Roman"/>
                      <w:b/>
                      <w:bCs/>
                      <w:color w:val="auto"/>
                      <w:sz w:val="21"/>
                      <w:szCs w:val="21"/>
                      <w:lang w:val="en-US" w:eastAsia="zh-CN"/>
                    </w:rPr>
                    <w:t>组成</w:t>
                  </w:r>
                </w:p>
              </w:tc>
              <w:tc>
                <w:tcPr>
                  <w:tcW w:w="3680" w:type="pct"/>
                  <w:tcBorders>
                    <w:tl2br w:val="nil"/>
                    <w:tr2bl w:val="nil"/>
                  </w:tcBorders>
                  <w:noWrap w:val="0"/>
                  <w:vAlign w:val="center"/>
                </w:tcPr>
                <w:p w14:paraId="232F3FE1">
                  <w:pPr>
                    <w:tabs>
                      <w:tab w:val="left" w:pos="1260"/>
                    </w:tabs>
                    <w:adjustRightInd w:val="0"/>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建设</w:t>
                  </w:r>
                  <w:r>
                    <w:rPr>
                      <w:rFonts w:hint="default" w:ascii="Times New Roman" w:hAnsi="Times New Roman" w:cs="Times New Roman"/>
                      <w:b/>
                      <w:bCs/>
                      <w:color w:val="auto"/>
                      <w:sz w:val="21"/>
                      <w:szCs w:val="21"/>
                    </w:rPr>
                    <w:t>内容</w:t>
                  </w:r>
                  <w:r>
                    <w:rPr>
                      <w:rFonts w:hint="default" w:ascii="Times New Roman" w:hAnsi="Times New Roman" w:cs="Times New Roman"/>
                      <w:b/>
                      <w:bCs/>
                      <w:color w:val="auto"/>
                      <w:sz w:val="21"/>
                      <w:szCs w:val="21"/>
                      <w:lang w:val="en-US" w:eastAsia="zh-CN"/>
                    </w:rPr>
                    <w:t>及规模</w:t>
                  </w:r>
                </w:p>
              </w:tc>
            </w:tr>
            <w:tr w14:paraId="312E19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vMerge w:val="restart"/>
                  <w:tcBorders>
                    <w:tl2br w:val="nil"/>
                    <w:tr2bl w:val="nil"/>
                  </w:tcBorders>
                  <w:noWrap w:val="0"/>
                  <w:vAlign w:val="center"/>
                </w:tcPr>
                <w:p w14:paraId="20D9AE13">
                  <w:pPr>
                    <w:tabs>
                      <w:tab w:val="left" w:pos="1260"/>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主体工程</w:t>
                  </w:r>
                </w:p>
              </w:tc>
              <w:tc>
                <w:tcPr>
                  <w:tcW w:w="893" w:type="pct"/>
                  <w:gridSpan w:val="2"/>
                  <w:tcBorders>
                    <w:tl2br w:val="nil"/>
                    <w:tr2bl w:val="nil"/>
                  </w:tcBorders>
                  <w:noWrap w:val="0"/>
                  <w:vAlign w:val="center"/>
                </w:tcPr>
                <w:p w14:paraId="61D57424">
                  <w:pPr>
                    <w:tabs>
                      <w:tab w:val="left" w:pos="1260"/>
                    </w:tabs>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膜电极</w:t>
                  </w:r>
                  <w:r>
                    <w:rPr>
                      <w:rFonts w:hint="eastAsia" w:ascii="Times New Roman" w:hAnsi="Times New Roman" w:eastAsia="宋体" w:cs="Times New Roman"/>
                      <w:color w:val="auto"/>
                      <w:sz w:val="21"/>
                      <w:szCs w:val="21"/>
                      <w:lang w:val="en-US" w:eastAsia="zh-CN"/>
                    </w:rPr>
                    <w:t>生产线</w:t>
                  </w:r>
                </w:p>
              </w:tc>
              <w:tc>
                <w:tcPr>
                  <w:tcW w:w="3680" w:type="pct"/>
                  <w:tcBorders>
                    <w:tl2br w:val="nil"/>
                    <w:tr2bl w:val="nil"/>
                  </w:tcBorders>
                  <w:noWrap w:val="0"/>
                  <w:vAlign w:val="center"/>
                </w:tcPr>
                <w:p w14:paraId="188084F6">
                  <w:pPr>
                    <w:tabs>
                      <w:tab w:val="left" w:pos="1260"/>
                    </w:tabs>
                    <w:adjustRightInd w:val="0"/>
                    <w:snapToGrid w:val="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位于</w:t>
                  </w:r>
                  <w:r>
                    <w:rPr>
                      <w:rFonts w:hint="eastAsia" w:ascii="Times New Roman" w:hAnsi="Times New Roman" w:eastAsia="宋体" w:cs="Times New Roman"/>
                      <w:color w:val="auto"/>
                      <w:sz w:val="21"/>
                      <w:szCs w:val="21"/>
                      <w:lang w:val="en-US" w:eastAsia="zh-CN"/>
                    </w:rPr>
                    <w:t>厂房中部</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rPr>
                    <w:t>建筑面积约</w:t>
                  </w:r>
                  <w:r>
                    <w:rPr>
                      <w:rFonts w:hint="eastAsia" w:ascii="Times New Roman" w:hAnsi="Times New Roman" w:cs="Times New Roman"/>
                      <w:color w:val="auto"/>
                      <w:sz w:val="21"/>
                      <w:szCs w:val="21"/>
                      <w:lang w:val="en-US" w:eastAsia="zh-CN"/>
                    </w:rPr>
                    <w:t>330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主要设置</w:t>
                  </w:r>
                  <w:r>
                    <w:rPr>
                      <w:rFonts w:hint="eastAsia" w:ascii="宋体" w:hAnsi="宋体" w:eastAsia="宋体" w:cs="宋体"/>
                      <w:color w:val="auto"/>
                      <w:kern w:val="0"/>
                      <w:sz w:val="21"/>
                      <w:szCs w:val="21"/>
                      <w:lang w:val="en-US" w:eastAsia="zh-CN" w:bidi="ar"/>
                    </w:rPr>
                    <w:t>精密视觉裁切机</w:t>
                  </w:r>
                  <w:r>
                    <w:rPr>
                      <w:rFonts w:hint="default" w:ascii="Times New Roman" w:hAnsi="Times New Roman" w:cs="Times New Roman"/>
                      <w:color w:val="auto"/>
                      <w:sz w:val="21"/>
                      <w:szCs w:val="21"/>
                    </w:rPr>
                    <w:t>、</w:t>
                  </w:r>
                  <w:r>
                    <w:rPr>
                      <w:rFonts w:hint="eastAsia" w:ascii="宋体" w:hAnsi="宋体" w:eastAsia="宋体" w:cs="宋体"/>
                      <w:color w:val="auto"/>
                      <w:kern w:val="0"/>
                      <w:sz w:val="21"/>
                      <w:szCs w:val="21"/>
                      <w:lang w:val="en-US" w:eastAsia="zh-CN" w:bidi="ar"/>
                    </w:rPr>
                    <w:t>伺服热压机</w:t>
                  </w:r>
                  <w:r>
                    <w:rPr>
                      <w:rFonts w:hint="default" w:ascii="Times New Roman" w:hAnsi="Times New Roman" w:eastAsia="宋体" w:cs="Times New Roman"/>
                      <w:color w:val="auto"/>
                      <w:sz w:val="21"/>
                      <w:szCs w:val="21"/>
                      <w:lang w:val="en-US" w:eastAsia="zh-CN"/>
                    </w:rPr>
                    <w:t>等</w:t>
                  </w:r>
                  <w:r>
                    <w:rPr>
                      <w:rFonts w:hint="default" w:ascii="Times New Roman" w:hAnsi="Times New Roman" w:cs="Times New Roman"/>
                      <w:color w:val="auto"/>
                      <w:sz w:val="21"/>
                      <w:szCs w:val="21"/>
                      <w:lang w:val="en-US" w:eastAsia="zh-CN"/>
                    </w:rPr>
                    <w:t>加工设备，进行膜电极的生产。</w:t>
                  </w:r>
                </w:p>
              </w:tc>
            </w:tr>
            <w:tr w14:paraId="5C8228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vMerge w:val="continue"/>
                  <w:tcBorders>
                    <w:tl2br w:val="nil"/>
                    <w:tr2bl w:val="nil"/>
                  </w:tcBorders>
                  <w:noWrap w:val="0"/>
                  <w:vAlign w:val="center"/>
                </w:tcPr>
                <w:p w14:paraId="769FC58F">
                  <w:pPr>
                    <w:tabs>
                      <w:tab w:val="left" w:pos="1260"/>
                    </w:tabs>
                    <w:adjustRightInd w:val="0"/>
                    <w:snapToGrid w:val="0"/>
                    <w:jc w:val="center"/>
                    <w:rPr>
                      <w:rFonts w:hint="default" w:ascii="Times New Roman" w:hAnsi="Times New Roman" w:cs="Times New Roman"/>
                      <w:color w:val="auto"/>
                      <w:sz w:val="21"/>
                      <w:szCs w:val="21"/>
                    </w:rPr>
                  </w:pPr>
                </w:p>
              </w:tc>
              <w:tc>
                <w:tcPr>
                  <w:tcW w:w="893" w:type="pct"/>
                  <w:gridSpan w:val="2"/>
                  <w:tcBorders>
                    <w:tl2br w:val="nil"/>
                    <w:tr2bl w:val="nil"/>
                  </w:tcBorders>
                  <w:noWrap w:val="0"/>
                  <w:vAlign w:val="center"/>
                </w:tcPr>
                <w:p w14:paraId="29B253B1">
                  <w:pPr>
                    <w:tabs>
                      <w:tab w:val="left" w:pos="1260"/>
                    </w:tabs>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氢气泄漏检测胶带生产线</w:t>
                  </w:r>
                </w:p>
              </w:tc>
              <w:tc>
                <w:tcPr>
                  <w:tcW w:w="3680" w:type="pct"/>
                  <w:tcBorders>
                    <w:tl2br w:val="nil"/>
                    <w:tr2bl w:val="nil"/>
                  </w:tcBorders>
                  <w:noWrap w:val="0"/>
                  <w:vAlign w:val="center"/>
                </w:tcPr>
                <w:p w14:paraId="06935FE2">
                  <w:pPr>
                    <w:tabs>
                      <w:tab w:val="left" w:pos="1260"/>
                    </w:tabs>
                    <w:adjustRightInd w:val="0"/>
                    <w:snapToGrid w:val="0"/>
                    <w:jc w:val="left"/>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位于厂房东部，建筑面积约100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主要设置</w:t>
                  </w:r>
                  <w:r>
                    <w:rPr>
                      <w:rFonts w:hint="eastAsia" w:ascii="宋体" w:hAnsi="宋体" w:eastAsia="宋体" w:cs="宋体"/>
                      <w:color w:val="auto"/>
                      <w:kern w:val="0"/>
                      <w:sz w:val="21"/>
                      <w:szCs w:val="21"/>
                      <w:lang w:val="en-US" w:eastAsia="zh-CN" w:bidi="ar"/>
                    </w:rPr>
                    <w:t>卷材涂布机</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鼓风干燥箱</w:t>
                  </w:r>
                  <w:r>
                    <w:rPr>
                      <w:rFonts w:hint="default" w:ascii="Times New Roman" w:hAnsi="Times New Roman" w:eastAsia="宋体" w:cs="Times New Roman"/>
                      <w:color w:val="auto"/>
                      <w:sz w:val="21"/>
                      <w:szCs w:val="21"/>
                      <w:lang w:val="en-US" w:eastAsia="zh-CN"/>
                    </w:rPr>
                    <w:t>等</w:t>
                  </w:r>
                  <w:r>
                    <w:rPr>
                      <w:rFonts w:hint="default" w:ascii="Times New Roman" w:hAnsi="Times New Roman" w:cs="Times New Roman"/>
                      <w:color w:val="auto"/>
                      <w:sz w:val="21"/>
                      <w:szCs w:val="21"/>
                      <w:lang w:val="en-US" w:eastAsia="zh-CN"/>
                    </w:rPr>
                    <w:t>加工设备，进行氢气泄漏检测胶带的生产。</w:t>
                  </w:r>
                </w:p>
              </w:tc>
            </w:tr>
            <w:tr w14:paraId="5A44AC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vMerge w:val="continue"/>
                  <w:tcBorders>
                    <w:tl2br w:val="nil"/>
                    <w:tr2bl w:val="nil"/>
                  </w:tcBorders>
                  <w:noWrap w:val="0"/>
                  <w:vAlign w:val="center"/>
                </w:tcPr>
                <w:p w14:paraId="72427030">
                  <w:pPr>
                    <w:tabs>
                      <w:tab w:val="left" w:pos="1260"/>
                    </w:tabs>
                    <w:adjustRightInd w:val="0"/>
                    <w:snapToGrid w:val="0"/>
                    <w:jc w:val="center"/>
                    <w:rPr>
                      <w:rFonts w:hint="default" w:ascii="Times New Roman" w:hAnsi="Times New Roman" w:cs="Times New Roman"/>
                      <w:color w:val="auto"/>
                      <w:sz w:val="21"/>
                      <w:szCs w:val="21"/>
                    </w:rPr>
                  </w:pPr>
                </w:p>
              </w:tc>
              <w:tc>
                <w:tcPr>
                  <w:tcW w:w="893" w:type="pct"/>
                  <w:gridSpan w:val="2"/>
                  <w:tcBorders>
                    <w:tl2br w:val="nil"/>
                    <w:tr2bl w:val="nil"/>
                  </w:tcBorders>
                  <w:noWrap w:val="0"/>
                  <w:vAlign w:val="center"/>
                </w:tcPr>
                <w:p w14:paraId="51EAA352">
                  <w:pPr>
                    <w:tabs>
                      <w:tab w:val="left" w:pos="1260"/>
                    </w:tabs>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调配</w:t>
                  </w:r>
                  <w:r>
                    <w:rPr>
                      <w:rFonts w:hint="eastAsia" w:ascii="Times New Roman" w:hAnsi="Times New Roman" w:eastAsia="宋体" w:cs="Times New Roman"/>
                      <w:color w:val="auto"/>
                      <w:sz w:val="21"/>
                      <w:szCs w:val="21"/>
                      <w:lang w:val="en-US" w:eastAsia="zh-CN"/>
                    </w:rPr>
                    <w:t>室</w:t>
                  </w:r>
                </w:p>
              </w:tc>
              <w:tc>
                <w:tcPr>
                  <w:tcW w:w="3680" w:type="pct"/>
                  <w:tcBorders>
                    <w:tl2br w:val="nil"/>
                    <w:tr2bl w:val="nil"/>
                  </w:tcBorders>
                  <w:noWrap w:val="0"/>
                  <w:vAlign w:val="center"/>
                </w:tcPr>
                <w:p w14:paraId="198D6217">
                  <w:pPr>
                    <w:tabs>
                      <w:tab w:val="left" w:pos="1260"/>
                    </w:tabs>
                    <w:adjustRightInd w:val="0"/>
                    <w:snapToGrid w:val="0"/>
                    <w:jc w:val="left"/>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sz w:val="21"/>
                      <w:szCs w:val="21"/>
                      <w:lang w:val="en-US" w:eastAsia="zh-CN"/>
                    </w:rPr>
                    <w:t>位于</w:t>
                  </w:r>
                  <w:r>
                    <w:rPr>
                      <w:rFonts w:hint="eastAsia" w:ascii="Times New Roman" w:hAnsi="Times New Roman" w:eastAsia="宋体" w:cs="Times New Roman"/>
                      <w:color w:val="auto"/>
                      <w:sz w:val="21"/>
                      <w:szCs w:val="21"/>
                      <w:lang w:val="en-US" w:eastAsia="zh-CN"/>
                    </w:rPr>
                    <w:t>厂房东北侧</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rPr>
                    <w:t>建筑面积约</w:t>
                  </w:r>
                  <w:r>
                    <w:rPr>
                      <w:rFonts w:hint="eastAsia" w:ascii="Times New Roman" w:hAnsi="Times New Roman" w:cs="Times New Roman"/>
                      <w:color w:val="auto"/>
                      <w:sz w:val="21"/>
                      <w:szCs w:val="21"/>
                      <w:lang w:val="en-US" w:eastAsia="zh-CN"/>
                    </w:rPr>
                    <w:t>40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主要</w:t>
                  </w:r>
                  <w:r>
                    <w:rPr>
                      <w:rFonts w:hint="eastAsia" w:ascii="Times New Roman" w:hAnsi="Times New Roman" w:cs="Times New Roman"/>
                      <w:color w:val="auto"/>
                      <w:sz w:val="21"/>
                      <w:szCs w:val="21"/>
                      <w:lang w:val="en-US" w:eastAsia="zh-CN"/>
                    </w:rPr>
                    <w:t>用于试剂</w:t>
                  </w:r>
                  <w:r>
                    <w:rPr>
                      <w:rFonts w:hint="eastAsia" w:cs="Times New Roman"/>
                      <w:color w:val="auto"/>
                      <w:sz w:val="21"/>
                      <w:szCs w:val="21"/>
                      <w:lang w:val="en-US" w:eastAsia="zh-CN"/>
                    </w:rPr>
                    <w:t>浆料</w:t>
                  </w:r>
                  <w:r>
                    <w:rPr>
                      <w:rFonts w:hint="eastAsia" w:ascii="Times New Roman" w:hAnsi="Times New Roman" w:cs="Times New Roman"/>
                      <w:color w:val="auto"/>
                      <w:sz w:val="21"/>
                      <w:szCs w:val="21"/>
                      <w:lang w:val="en-US" w:eastAsia="zh-CN"/>
                    </w:rPr>
                    <w:t>的调配</w:t>
                  </w:r>
                  <w:r>
                    <w:rPr>
                      <w:rFonts w:hint="eastAsia" w:cs="Times New Roman"/>
                      <w:color w:val="auto"/>
                      <w:sz w:val="21"/>
                      <w:szCs w:val="21"/>
                      <w:lang w:val="en-US" w:eastAsia="zh-CN"/>
                    </w:rPr>
                    <w:t>，设置一台通风橱</w:t>
                  </w:r>
                  <w:r>
                    <w:rPr>
                      <w:rFonts w:hint="default" w:ascii="Times New Roman" w:hAnsi="Times New Roman" w:cs="Times New Roman"/>
                      <w:color w:val="auto"/>
                      <w:sz w:val="21"/>
                      <w:szCs w:val="21"/>
                      <w:lang w:val="en-US" w:eastAsia="zh-CN"/>
                    </w:rPr>
                    <w:t>。</w:t>
                  </w:r>
                </w:p>
              </w:tc>
            </w:tr>
            <w:tr w14:paraId="56F716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tcBorders>
                    <w:tl2br w:val="nil"/>
                    <w:tr2bl w:val="nil"/>
                  </w:tcBorders>
                  <w:noWrap w:val="0"/>
                  <w:vAlign w:val="center"/>
                </w:tcPr>
                <w:p w14:paraId="44E01B1A">
                  <w:pPr>
                    <w:tabs>
                      <w:tab w:val="left" w:pos="1260"/>
                    </w:tabs>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储运工程</w:t>
                  </w:r>
                </w:p>
              </w:tc>
              <w:tc>
                <w:tcPr>
                  <w:tcW w:w="893" w:type="pct"/>
                  <w:gridSpan w:val="2"/>
                  <w:tcBorders>
                    <w:tl2br w:val="nil"/>
                    <w:tr2bl w:val="nil"/>
                  </w:tcBorders>
                  <w:noWrap w:val="0"/>
                  <w:vAlign w:val="center"/>
                </w:tcPr>
                <w:p w14:paraId="23BFFD49">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仓库</w:t>
                  </w:r>
                </w:p>
              </w:tc>
              <w:tc>
                <w:tcPr>
                  <w:tcW w:w="3680" w:type="pct"/>
                  <w:tcBorders>
                    <w:tl2br w:val="nil"/>
                    <w:tr2bl w:val="nil"/>
                  </w:tcBorders>
                  <w:noWrap w:val="0"/>
                  <w:vAlign w:val="center"/>
                </w:tcPr>
                <w:p w14:paraId="2BFE816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位于</w:t>
                  </w:r>
                  <w:r>
                    <w:rPr>
                      <w:rFonts w:hint="eastAsia" w:ascii="Times New Roman" w:hAnsi="Times New Roman" w:eastAsia="宋体" w:cs="Times New Roman"/>
                      <w:color w:val="auto"/>
                      <w:sz w:val="21"/>
                      <w:szCs w:val="21"/>
                      <w:lang w:val="en-US" w:eastAsia="zh-CN"/>
                    </w:rPr>
                    <w:t>厂房西北角</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rPr>
                    <w:t>建筑面积约</w:t>
                  </w:r>
                  <w:r>
                    <w:rPr>
                      <w:rFonts w:hint="eastAsia"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，主要储存原材料以及成品</w:t>
                  </w:r>
                  <w:r>
                    <w:rPr>
                      <w:rFonts w:hint="default" w:ascii="Times New Roman" w:hAnsi="Times New Roman" w:cs="Times New Roman"/>
                      <w:color w:val="auto"/>
                      <w:sz w:val="21"/>
                      <w:szCs w:val="21"/>
                      <w:lang w:eastAsia="zh-CN"/>
                    </w:rPr>
                    <w:t>。</w:t>
                  </w:r>
                </w:p>
              </w:tc>
            </w:tr>
            <w:tr w14:paraId="3EE140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tcBorders>
                    <w:tl2br w:val="nil"/>
                    <w:tr2bl w:val="nil"/>
                  </w:tcBorders>
                  <w:noWrap w:val="0"/>
                  <w:vAlign w:val="center"/>
                </w:tcPr>
                <w:p w14:paraId="4A3820F7">
                  <w:pPr>
                    <w:tabs>
                      <w:tab w:val="left" w:pos="1260"/>
                    </w:tabs>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辅助工程</w:t>
                  </w:r>
                </w:p>
              </w:tc>
              <w:tc>
                <w:tcPr>
                  <w:tcW w:w="893" w:type="pct"/>
                  <w:gridSpan w:val="2"/>
                  <w:tcBorders>
                    <w:tl2br w:val="nil"/>
                    <w:tr2bl w:val="nil"/>
                  </w:tcBorders>
                  <w:noWrap w:val="0"/>
                  <w:vAlign w:val="center"/>
                </w:tcPr>
                <w:p w14:paraId="3ED3D742">
                  <w:pPr>
                    <w:tabs>
                      <w:tab w:val="left" w:pos="1260"/>
                    </w:tabs>
                    <w:adjustRightInd w:val="0"/>
                    <w:snapToGrid w:val="0"/>
                    <w:jc w:val="center"/>
                    <w:rPr>
                      <w:rFonts w:hint="default" w:ascii="Times New Roman" w:hAnsi="Times New Roman" w:eastAsia="宋体" w:cs="Times New Roman"/>
                      <w:color w:val="auto"/>
                      <w:sz w:val="21"/>
                      <w:szCs w:val="21"/>
                      <w:highlight w:val="green"/>
                      <w:lang w:val="en-US" w:eastAsia="zh-CN"/>
                    </w:rPr>
                  </w:pPr>
                  <w:r>
                    <w:rPr>
                      <w:rFonts w:hint="default" w:ascii="Times New Roman" w:hAnsi="Times New Roman" w:cs="Times New Roman"/>
                      <w:color w:val="auto"/>
                      <w:sz w:val="21"/>
                      <w:szCs w:val="21"/>
                      <w:highlight w:val="none"/>
                      <w:lang w:val="en-US" w:eastAsia="zh-CN"/>
                    </w:rPr>
                    <w:t>办公区</w:t>
                  </w:r>
                </w:p>
              </w:tc>
              <w:tc>
                <w:tcPr>
                  <w:tcW w:w="3680" w:type="pct"/>
                  <w:tcBorders>
                    <w:tl2br w:val="nil"/>
                    <w:tr2bl w:val="nil"/>
                  </w:tcBorders>
                  <w:noWrap w:val="0"/>
                  <w:vAlign w:val="center"/>
                </w:tcPr>
                <w:p w14:paraId="23305F8E">
                  <w:pPr>
                    <w:tabs>
                      <w:tab w:val="left" w:pos="1260"/>
                    </w:tabs>
                    <w:adjustRightInd w:val="0"/>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位于</w:t>
                  </w:r>
                  <w:r>
                    <w:rPr>
                      <w:rFonts w:hint="eastAsia" w:ascii="Times New Roman" w:hAnsi="Times New Roman" w:eastAsia="宋体" w:cs="Times New Roman"/>
                      <w:color w:val="auto"/>
                      <w:sz w:val="21"/>
                      <w:szCs w:val="21"/>
                      <w:lang w:val="en-US" w:eastAsia="zh-CN"/>
                    </w:rPr>
                    <w:t>厂房西</w:t>
                  </w:r>
                  <w:r>
                    <w:rPr>
                      <w:rFonts w:hint="default" w:ascii="Times New Roman" w:hAnsi="Times New Roman" w:eastAsia="宋体" w:cs="Times New Roman"/>
                      <w:color w:val="auto"/>
                      <w:sz w:val="21"/>
                      <w:szCs w:val="21"/>
                      <w:lang w:val="en-US" w:eastAsia="zh-CN"/>
                    </w:rPr>
                    <w:t>侧，建筑面积约</w:t>
                  </w:r>
                  <w:r>
                    <w:rPr>
                      <w:rFonts w:hint="eastAsia" w:ascii="Times New Roman" w:hAnsi="Times New Roman" w:eastAsia="宋体" w:cs="Times New Roman"/>
                      <w:color w:val="auto"/>
                      <w:sz w:val="21"/>
                      <w:szCs w:val="21"/>
                      <w:lang w:val="en-US" w:eastAsia="zh-CN"/>
                    </w:rPr>
                    <w:t>30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，用于办公。</w:t>
                  </w:r>
                </w:p>
              </w:tc>
            </w:tr>
            <w:tr w14:paraId="3F48A8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vMerge w:val="restart"/>
                  <w:tcBorders>
                    <w:tl2br w:val="nil"/>
                    <w:tr2bl w:val="nil"/>
                  </w:tcBorders>
                  <w:noWrap w:val="0"/>
                  <w:vAlign w:val="center"/>
                </w:tcPr>
                <w:p w14:paraId="64BA8BCB">
                  <w:pPr>
                    <w:tabs>
                      <w:tab w:val="left" w:pos="1260"/>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公用工程</w:t>
                  </w:r>
                </w:p>
              </w:tc>
              <w:tc>
                <w:tcPr>
                  <w:tcW w:w="893" w:type="pct"/>
                  <w:gridSpan w:val="2"/>
                  <w:vMerge w:val="restart"/>
                  <w:tcBorders>
                    <w:tl2br w:val="nil"/>
                    <w:tr2bl w:val="nil"/>
                  </w:tcBorders>
                  <w:noWrap w:val="0"/>
                  <w:vAlign w:val="center"/>
                </w:tcPr>
                <w:p w14:paraId="0E0FCEB6">
                  <w:pPr>
                    <w:tabs>
                      <w:tab w:val="left" w:pos="1260"/>
                    </w:tabs>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供水</w:t>
                  </w:r>
                </w:p>
              </w:tc>
              <w:tc>
                <w:tcPr>
                  <w:tcW w:w="3680" w:type="pct"/>
                  <w:tcBorders>
                    <w:tl2br w:val="nil"/>
                    <w:tr2bl w:val="nil"/>
                  </w:tcBorders>
                  <w:noWrap w:val="0"/>
                  <w:vAlign w:val="center"/>
                </w:tcPr>
                <w:p w14:paraId="235DFDC3">
                  <w:pPr>
                    <w:tabs>
                      <w:tab w:val="left" w:pos="1260"/>
                    </w:tabs>
                    <w:adjustRightInd w:val="0"/>
                    <w:snapToGrid w:val="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由市政供水管网供给</w:t>
                  </w:r>
                  <w:r>
                    <w:rPr>
                      <w:rFonts w:hint="default" w:ascii="Times New Roman" w:hAnsi="Times New Roman" w:cs="Times New Roman"/>
                      <w:color w:val="auto"/>
                      <w:sz w:val="21"/>
                      <w:szCs w:val="21"/>
                      <w:lang w:eastAsia="zh-CN"/>
                    </w:rPr>
                    <w:t>。</w:t>
                  </w:r>
                </w:p>
              </w:tc>
            </w:tr>
            <w:tr w14:paraId="0033F1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vMerge w:val="continue"/>
                  <w:tcBorders>
                    <w:tl2br w:val="nil"/>
                    <w:tr2bl w:val="nil"/>
                  </w:tcBorders>
                  <w:noWrap w:val="0"/>
                  <w:vAlign w:val="center"/>
                </w:tcPr>
                <w:p w14:paraId="056CA48E">
                  <w:pPr>
                    <w:tabs>
                      <w:tab w:val="left" w:pos="1260"/>
                    </w:tabs>
                    <w:adjustRightInd w:val="0"/>
                    <w:snapToGrid w:val="0"/>
                    <w:jc w:val="center"/>
                    <w:rPr>
                      <w:rFonts w:hint="default" w:ascii="Times New Roman" w:hAnsi="Times New Roman" w:cs="Times New Roman"/>
                      <w:color w:val="auto"/>
                      <w:sz w:val="21"/>
                      <w:szCs w:val="21"/>
                    </w:rPr>
                  </w:pPr>
                </w:p>
              </w:tc>
              <w:tc>
                <w:tcPr>
                  <w:tcW w:w="893" w:type="pct"/>
                  <w:gridSpan w:val="2"/>
                  <w:vMerge w:val="continue"/>
                  <w:tcBorders>
                    <w:tl2br w:val="nil"/>
                    <w:tr2bl w:val="nil"/>
                  </w:tcBorders>
                  <w:noWrap w:val="0"/>
                  <w:vAlign w:val="center"/>
                </w:tcPr>
                <w:p w14:paraId="5A631D5A">
                  <w:pPr>
                    <w:tabs>
                      <w:tab w:val="left" w:pos="1260"/>
                    </w:tabs>
                    <w:adjustRightInd w:val="0"/>
                    <w:snapToGrid w:val="0"/>
                    <w:jc w:val="center"/>
                    <w:rPr>
                      <w:rFonts w:hint="default" w:ascii="Times New Roman" w:hAnsi="Times New Roman" w:cs="Times New Roman"/>
                      <w:color w:val="auto"/>
                      <w:sz w:val="21"/>
                      <w:szCs w:val="21"/>
                    </w:rPr>
                  </w:pPr>
                </w:p>
              </w:tc>
              <w:tc>
                <w:tcPr>
                  <w:tcW w:w="3680" w:type="pct"/>
                  <w:tcBorders>
                    <w:tl2br w:val="nil"/>
                    <w:tr2bl w:val="nil"/>
                  </w:tcBorders>
                  <w:noWrap w:val="0"/>
                  <w:vAlign w:val="center"/>
                </w:tcPr>
                <w:p w14:paraId="65423B92">
                  <w:pPr>
                    <w:tabs>
                      <w:tab w:val="left" w:pos="1260"/>
                    </w:tabs>
                    <w:adjustRightInd w:val="0"/>
                    <w:snapToGrid w:val="0"/>
                    <w:jc w:val="left"/>
                    <w:rPr>
                      <w:rFonts w:hint="default" w:ascii="Times New Roman" w:hAnsi="Times New Roman" w:eastAsia="宋体" w:cs="Times New Roman"/>
                      <w:color w:val="auto"/>
                      <w:sz w:val="21"/>
                      <w:szCs w:val="21"/>
                      <w:lang w:val="en-US" w:eastAsia="zh-CN"/>
                    </w:rPr>
                  </w:pPr>
                  <w:r>
                    <w:rPr>
                      <w:color w:val="auto"/>
                      <w:szCs w:val="21"/>
                    </w:rPr>
                    <w:t>纯水</w:t>
                  </w:r>
                  <w:r>
                    <w:rPr>
                      <w:rFonts w:hint="eastAsia"/>
                      <w:color w:val="auto"/>
                      <w:szCs w:val="21"/>
                      <w:lang w:val="en-US" w:eastAsia="zh-CN"/>
                    </w:rPr>
                    <w:t>使用纯水机制备，制备能力为100L/h。</w:t>
                  </w:r>
                </w:p>
              </w:tc>
            </w:tr>
            <w:tr w14:paraId="691276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vMerge w:val="continue"/>
                  <w:tcBorders>
                    <w:tl2br w:val="nil"/>
                    <w:tr2bl w:val="nil"/>
                  </w:tcBorders>
                  <w:noWrap w:val="0"/>
                  <w:vAlign w:val="center"/>
                </w:tcPr>
                <w:p w14:paraId="51663DFD">
                  <w:pPr>
                    <w:tabs>
                      <w:tab w:val="left" w:pos="1260"/>
                    </w:tabs>
                    <w:adjustRightInd w:val="0"/>
                    <w:snapToGrid w:val="0"/>
                    <w:jc w:val="center"/>
                    <w:rPr>
                      <w:rFonts w:hint="default" w:ascii="Times New Roman" w:hAnsi="Times New Roman" w:cs="Times New Roman"/>
                      <w:color w:val="auto"/>
                      <w:sz w:val="21"/>
                      <w:szCs w:val="21"/>
                    </w:rPr>
                  </w:pPr>
                </w:p>
              </w:tc>
              <w:tc>
                <w:tcPr>
                  <w:tcW w:w="893" w:type="pct"/>
                  <w:gridSpan w:val="2"/>
                  <w:tcBorders>
                    <w:tl2br w:val="nil"/>
                    <w:tr2bl w:val="nil"/>
                  </w:tcBorders>
                  <w:noWrap w:val="0"/>
                  <w:vAlign w:val="center"/>
                </w:tcPr>
                <w:p w14:paraId="09562386">
                  <w:pPr>
                    <w:tabs>
                      <w:tab w:val="left" w:pos="126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排水</w:t>
                  </w:r>
                </w:p>
              </w:tc>
              <w:tc>
                <w:tcPr>
                  <w:tcW w:w="3680" w:type="pct"/>
                  <w:tcBorders>
                    <w:tl2br w:val="nil"/>
                    <w:tr2bl w:val="nil"/>
                  </w:tcBorders>
                  <w:noWrap w:val="0"/>
                  <w:vAlign w:val="center"/>
                </w:tcPr>
                <w:p w14:paraId="4B3682B6">
                  <w:pPr>
                    <w:tabs>
                      <w:tab w:val="left" w:pos="1260"/>
                    </w:tabs>
                    <w:adjustRightInd w:val="0"/>
                    <w:snapToGrid w:val="0"/>
                    <w:jc w:val="left"/>
                    <w:rPr>
                      <w:rFonts w:hint="eastAsia" w:ascii="Times New Roman" w:hAnsi="Times New Roman" w:eastAsia="宋体" w:cs="Times New Roman"/>
                      <w:color w:val="auto"/>
                      <w:kern w:val="2"/>
                      <w:sz w:val="21"/>
                      <w:szCs w:val="21"/>
                      <w:lang w:val="en-US" w:eastAsia="zh-CN" w:bidi="ar-SA"/>
                    </w:rPr>
                  </w:pPr>
                  <w:r>
                    <w:rPr>
                      <w:color w:val="auto"/>
                      <w:szCs w:val="21"/>
                    </w:rPr>
                    <w:t>生活污水</w:t>
                  </w:r>
                  <w:r>
                    <w:rPr>
                      <w:rFonts w:hint="eastAsia"/>
                      <w:color w:val="auto"/>
                      <w:szCs w:val="21"/>
                      <w:lang w:eastAsia="zh-CN"/>
                    </w:rPr>
                    <w:t>、</w:t>
                  </w:r>
                  <w:r>
                    <w:rPr>
                      <w:rFonts w:hint="eastAsia"/>
                      <w:color w:val="auto"/>
                      <w:szCs w:val="21"/>
                      <w:lang w:val="en-US" w:eastAsia="zh-CN"/>
                    </w:rPr>
                    <w:t>纯水机浓水、</w:t>
                  </w:r>
                  <w:r>
                    <w:rPr>
                      <w:rFonts w:hint="eastAsia"/>
                      <w:color w:val="auto"/>
                      <w:szCs w:val="21"/>
                    </w:rPr>
                    <w:t>器皿清洗废水</w:t>
                  </w:r>
                  <w:r>
                    <w:rPr>
                      <w:color w:val="auto"/>
                      <w:szCs w:val="21"/>
                    </w:rPr>
                    <w:t>进入化粪池处理达标后排入市政污水管网</w:t>
                  </w:r>
                  <w:r>
                    <w:rPr>
                      <w:rFonts w:hint="eastAsia"/>
                      <w:color w:val="auto"/>
                      <w:szCs w:val="21"/>
                      <w:lang w:eastAsia="zh-CN"/>
                    </w:rPr>
                    <w:t>。</w:t>
                  </w:r>
                </w:p>
              </w:tc>
            </w:tr>
            <w:tr w14:paraId="2B0643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vMerge w:val="continue"/>
                  <w:tcBorders>
                    <w:tl2br w:val="nil"/>
                    <w:tr2bl w:val="nil"/>
                  </w:tcBorders>
                  <w:noWrap w:val="0"/>
                  <w:vAlign w:val="center"/>
                </w:tcPr>
                <w:p w14:paraId="32272223">
                  <w:pPr>
                    <w:tabs>
                      <w:tab w:val="left" w:pos="1260"/>
                    </w:tabs>
                    <w:adjustRightInd w:val="0"/>
                    <w:snapToGrid w:val="0"/>
                    <w:jc w:val="center"/>
                    <w:rPr>
                      <w:rFonts w:hint="default" w:ascii="Times New Roman" w:hAnsi="Times New Roman" w:cs="Times New Roman"/>
                      <w:color w:val="auto"/>
                      <w:sz w:val="21"/>
                      <w:szCs w:val="21"/>
                    </w:rPr>
                  </w:pPr>
                </w:p>
              </w:tc>
              <w:tc>
                <w:tcPr>
                  <w:tcW w:w="893" w:type="pct"/>
                  <w:gridSpan w:val="2"/>
                  <w:tcBorders>
                    <w:tl2br w:val="nil"/>
                    <w:tr2bl w:val="nil"/>
                  </w:tcBorders>
                  <w:noWrap w:val="0"/>
                  <w:vAlign w:val="center"/>
                </w:tcPr>
                <w:p w14:paraId="7C1658A2">
                  <w:pPr>
                    <w:tabs>
                      <w:tab w:val="left" w:pos="1260"/>
                    </w:tabs>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供电</w:t>
                  </w:r>
                </w:p>
              </w:tc>
              <w:tc>
                <w:tcPr>
                  <w:tcW w:w="3680" w:type="pct"/>
                  <w:tcBorders>
                    <w:tl2br w:val="nil"/>
                    <w:tr2bl w:val="nil"/>
                  </w:tcBorders>
                  <w:noWrap w:val="0"/>
                  <w:vAlign w:val="center"/>
                </w:tcPr>
                <w:p w14:paraId="047D4895">
                  <w:pPr>
                    <w:tabs>
                      <w:tab w:val="left" w:pos="1260"/>
                    </w:tabs>
                    <w:adjustRightInd w:val="0"/>
                    <w:snapToGrid w:val="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由市政供电管网供给</w:t>
                  </w:r>
                  <w:r>
                    <w:rPr>
                      <w:rFonts w:hint="default" w:ascii="Times New Roman" w:hAnsi="Times New Roman" w:cs="Times New Roman"/>
                      <w:color w:val="auto"/>
                      <w:sz w:val="21"/>
                      <w:szCs w:val="21"/>
                      <w:lang w:eastAsia="zh-CN"/>
                    </w:rPr>
                    <w:t>。</w:t>
                  </w:r>
                </w:p>
              </w:tc>
            </w:tr>
            <w:tr w14:paraId="08F41B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vMerge w:val="continue"/>
                  <w:tcBorders>
                    <w:tl2br w:val="nil"/>
                    <w:tr2bl w:val="nil"/>
                  </w:tcBorders>
                  <w:noWrap w:val="0"/>
                  <w:vAlign w:val="center"/>
                </w:tcPr>
                <w:p w14:paraId="680AA7D0">
                  <w:pPr>
                    <w:tabs>
                      <w:tab w:val="left" w:pos="1260"/>
                    </w:tabs>
                    <w:adjustRightInd w:val="0"/>
                    <w:snapToGrid w:val="0"/>
                    <w:jc w:val="center"/>
                    <w:rPr>
                      <w:rFonts w:hint="default" w:ascii="Times New Roman" w:hAnsi="Times New Roman" w:cs="Times New Roman"/>
                      <w:color w:val="auto"/>
                      <w:sz w:val="21"/>
                      <w:szCs w:val="21"/>
                    </w:rPr>
                  </w:pPr>
                </w:p>
              </w:tc>
              <w:tc>
                <w:tcPr>
                  <w:tcW w:w="893" w:type="pct"/>
                  <w:gridSpan w:val="2"/>
                  <w:tcBorders>
                    <w:tl2br w:val="nil"/>
                    <w:tr2bl w:val="nil"/>
                  </w:tcBorders>
                  <w:noWrap w:val="0"/>
                  <w:vAlign w:val="center"/>
                </w:tcPr>
                <w:p w14:paraId="77E008B0">
                  <w:pPr>
                    <w:pStyle w:val="17"/>
                    <w:adjustRightInd w:val="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lang w:val="en-US" w:eastAsia="zh-CN"/>
                    </w:rPr>
                    <w:t>采暖与</w:t>
                  </w:r>
                  <w:r>
                    <w:rPr>
                      <w:rFonts w:hint="default" w:ascii="Times New Roman" w:hAnsi="Times New Roman" w:cs="Times New Roman"/>
                      <w:bCs/>
                      <w:color w:val="auto"/>
                      <w:sz w:val="21"/>
                      <w:szCs w:val="21"/>
                    </w:rPr>
                    <w:t>制冷</w:t>
                  </w:r>
                </w:p>
              </w:tc>
              <w:tc>
                <w:tcPr>
                  <w:tcW w:w="3680" w:type="pct"/>
                  <w:tcBorders>
                    <w:tl2br w:val="nil"/>
                    <w:tr2bl w:val="nil"/>
                  </w:tcBorders>
                  <w:noWrap w:val="0"/>
                  <w:vAlign w:val="center"/>
                </w:tcPr>
                <w:p w14:paraId="10E8B7E1">
                  <w:pPr>
                    <w:adjustRightInd w:val="0"/>
                    <w:snapToGrid w:val="0"/>
                    <w:jc w:val="left"/>
                    <w:rPr>
                      <w:rFonts w:hint="eastAsia" w:ascii="Times New Roman" w:hAnsi="Times New Roman" w:eastAsia="宋体" w:cs="Times New Roman"/>
                      <w:color w:val="auto"/>
                      <w:sz w:val="21"/>
                      <w:szCs w:val="21"/>
                      <w:lang w:val="en-US" w:eastAsia="zh-CN"/>
                    </w:rPr>
                  </w:pPr>
                  <w:r>
                    <w:rPr>
                      <w:rFonts w:hint="eastAsia"/>
                      <w:color w:val="auto"/>
                      <w:szCs w:val="21"/>
                    </w:rPr>
                    <w:t>采取空调供暖制冷</w:t>
                  </w:r>
                  <w:r>
                    <w:rPr>
                      <w:rFonts w:hint="eastAsia"/>
                      <w:color w:val="auto"/>
                      <w:szCs w:val="21"/>
                      <w:lang w:eastAsia="zh-CN"/>
                    </w:rPr>
                    <w:t>。</w:t>
                  </w:r>
                </w:p>
              </w:tc>
            </w:tr>
            <w:tr w14:paraId="0A4A36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vMerge w:val="restart"/>
                  <w:tcBorders>
                    <w:tl2br w:val="nil"/>
                    <w:tr2bl w:val="nil"/>
                  </w:tcBorders>
                  <w:noWrap w:val="0"/>
                  <w:vAlign w:val="center"/>
                </w:tcPr>
                <w:p w14:paraId="016B912E">
                  <w:pPr>
                    <w:tabs>
                      <w:tab w:val="left" w:pos="1260"/>
                    </w:tabs>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环保工程</w:t>
                  </w:r>
                </w:p>
              </w:tc>
              <w:tc>
                <w:tcPr>
                  <w:tcW w:w="893" w:type="pct"/>
                  <w:gridSpan w:val="2"/>
                  <w:tcBorders>
                    <w:tl2br w:val="nil"/>
                    <w:tr2bl w:val="nil"/>
                  </w:tcBorders>
                  <w:noWrap w:val="0"/>
                  <w:vAlign w:val="center"/>
                </w:tcPr>
                <w:p w14:paraId="0658A7B3">
                  <w:pPr>
                    <w:tabs>
                      <w:tab w:val="left" w:pos="1260"/>
                    </w:tabs>
                    <w:adjustRightInd w:val="0"/>
                    <w:snapToGrid w:val="0"/>
                    <w:jc w:val="center"/>
                    <w:rPr>
                      <w:rFonts w:hint="default" w:ascii="Times New Roman" w:hAnsi="Times New Roman" w:cs="Times New Roman"/>
                      <w:color w:val="auto"/>
                      <w:sz w:val="21"/>
                      <w:szCs w:val="21"/>
                      <w:highlight w:val="green"/>
                      <w:lang w:val="en-US" w:eastAsia="zh-CN"/>
                    </w:rPr>
                  </w:pPr>
                  <w:r>
                    <w:rPr>
                      <w:rFonts w:hint="default" w:ascii="Times New Roman" w:hAnsi="Times New Roman" w:cs="Times New Roman"/>
                      <w:color w:val="auto"/>
                      <w:lang w:val="en-US" w:eastAsia="zh-CN"/>
                    </w:rPr>
                    <w:t>废气</w:t>
                  </w:r>
                </w:p>
              </w:tc>
              <w:tc>
                <w:tcPr>
                  <w:tcW w:w="3680" w:type="pct"/>
                  <w:tcBorders>
                    <w:tl2br w:val="nil"/>
                    <w:tr2bl w:val="nil"/>
                  </w:tcBorders>
                  <w:noWrap w:val="0"/>
                  <w:vAlign w:val="center"/>
                </w:tcPr>
                <w:p w14:paraId="5EBF26C8">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催化浆料配制工序废气、变色材料制备工序废气采用通风橱收集，催化剂涂覆膜制备工序废气、敏感层制备工序废气采用密闭式管道收集，经“二级活性炭吸附装置”处理后通过</w:t>
                  </w:r>
                  <w:r>
                    <w:rPr>
                      <w:rFonts w:hint="eastAsia" w:cs="Times New Roman"/>
                      <w:color w:val="auto"/>
                      <w:lang w:val="en-US" w:eastAsia="zh-CN"/>
                    </w:rPr>
                    <w:t>15m</w:t>
                  </w:r>
                  <w:r>
                    <w:rPr>
                      <w:rFonts w:hint="default" w:ascii="Times New Roman" w:hAnsi="Times New Roman" w:cs="Times New Roman"/>
                      <w:color w:val="auto"/>
                      <w:lang w:val="en-US" w:eastAsia="zh-CN"/>
                    </w:rPr>
                    <w:t>高排气筒（DA001）排放。</w:t>
                  </w:r>
                </w:p>
              </w:tc>
            </w:tr>
            <w:tr w14:paraId="478AD5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vMerge w:val="continue"/>
                  <w:tcBorders>
                    <w:tl2br w:val="nil"/>
                    <w:tr2bl w:val="nil"/>
                  </w:tcBorders>
                  <w:noWrap w:val="0"/>
                  <w:vAlign w:val="center"/>
                </w:tcPr>
                <w:p w14:paraId="0123385D">
                  <w:pPr>
                    <w:tabs>
                      <w:tab w:val="left" w:pos="1260"/>
                    </w:tabs>
                    <w:adjustRightInd w:val="0"/>
                    <w:snapToGrid w:val="0"/>
                    <w:jc w:val="center"/>
                    <w:rPr>
                      <w:rFonts w:hint="default" w:ascii="Times New Roman" w:hAnsi="Times New Roman" w:cs="Times New Roman"/>
                      <w:color w:val="auto"/>
                      <w:sz w:val="21"/>
                      <w:szCs w:val="21"/>
                      <w:lang w:val="en-US" w:eastAsia="zh-CN"/>
                    </w:rPr>
                  </w:pPr>
                </w:p>
              </w:tc>
              <w:tc>
                <w:tcPr>
                  <w:tcW w:w="893" w:type="pct"/>
                  <w:gridSpan w:val="2"/>
                  <w:tcBorders>
                    <w:tl2br w:val="nil"/>
                    <w:tr2bl w:val="nil"/>
                  </w:tcBorders>
                  <w:noWrap w:val="0"/>
                  <w:vAlign w:val="center"/>
                </w:tcPr>
                <w:p w14:paraId="0F510F8A">
                  <w:pPr>
                    <w:tabs>
                      <w:tab w:val="left" w:pos="1260"/>
                    </w:tabs>
                    <w:adjustRightInd w:val="0"/>
                    <w:snapToGrid w:val="0"/>
                    <w:jc w:val="center"/>
                    <w:rPr>
                      <w:rFonts w:hint="default" w:ascii="Times New Roman" w:hAnsi="Times New Roman" w:cs="Times New Roman"/>
                      <w:color w:val="auto"/>
                      <w:kern w:val="2"/>
                      <w:sz w:val="21"/>
                      <w:szCs w:val="21"/>
                      <w:highlight w:val="green"/>
                      <w:lang w:val="en-US" w:eastAsia="zh-CN" w:bidi="ar-SA"/>
                    </w:rPr>
                  </w:pPr>
                  <w:r>
                    <w:rPr>
                      <w:rFonts w:hint="default" w:ascii="Times New Roman" w:hAnsi="Times New Roman" w:cs="Times New Roman"/>
                      <w:color w:val="auto"/>
                      <w:sz w:val="21"/>
                      <w:szCs w:val="21"/>
                      <w:lang w:val="en-US" w:eastAsia="zh-CN"/>
                    </w:rPr>
                    <w:t>废水</w:t>
                  </w:r>
                </w:p>
              </w:tc>
              <w:tc>
                <w:tcPr>
                  <w:tcW w:w="3680" w:type="pct"/>
                  <w:tcBorders>
                    <w:tl2br w:val="nil"/>
                    <w:tr2bl w:val="nil"/>
                  </w:tcBorders>
                  <w:noWrap w:val="0"/>
                  <w:vAlign w:val="center"/>
                </w:tcPr>
                <w:p w14:paraId="39BCC1B7">
                  <w:pPr>
                    <w:tabs>
                      <w:tab w:val="left" w:pos="1260"/>
                    </w:tabs>
                    <w:adjustRightInd w:val="0"/>
                    <w:snapToGrid w:val="0"/>
                    <w:jc w:val="both"/>
                    <w:rPr>
                      <w:rFonts w:hint="default" w:ascii="Times New Roman" w:hAnsi="Times New Roman" w:eastAsia="宋体" w:cs="Times New Roman"/>
                      <w:color w:val="auto"/>
                      <w:kern w:val="2"/>
                      <w:sz w:val="21"/>
                      <w:szCs w:val="21"/>
                      <w:highlight w:val="green"/>
                      <w:lang w:val="en-US" w:eastAsia="zh-CN" w:bidi="ar-SA"/>
                    </w:rPr>
                  </w:pPr>
                  <w:r>
                    <w:rPr>
                      <w:color w:val="auto"/>
                      <w:szCs w:val="21"/>
                    </w:rPr>
                    <w:t>生活污水</w:t>
                  </w:r>
                  <w:r>
                    <w:rPr>
                      <w:rFonts w:hint="eastAsia"/>
                      <w:color w:val="auto"/>
                      <w:szCs w:val="21"/>
                      <w:lang w:eastAsia="zh-CN"/>
                    </w:rPr>
                    <w:t>、</w:t>
                  </w:r>
                  <w:r>
                    <w:rPr>
                      <w:rFonts w:hint="eastAsia"/>
                      <w:color w:val="auto"/>
                      <w:szCs w:val="21"/>
                      <w:lang w:val="en-US" w:eastAsia="zh-CN"/>
                    </w:rPr>
                    <w:t>纯水机浓水、</w:t>
                  </w:r>
                  <w:r>
                    <w:rPr>
                      <w:rFonts w:hint="eastAsia"/>
                      <w:color w:val="auto"/>
                      <w:szCs w:val="21"/>
                    </w:rPr>
                    <w:t>器皿清洗废水</w:t>
                  </w:r>
                  <w:r>
                    <w:rPr>
                      <w:color w:val="auto"/>
                      <w:szCs w:val="21"/>
                    </w:rPr>
                    <w:t>进入</w:t>
                  </w:r>
                  <w:r>
                    <w:rPr>
                      <w:rFonts w:hint="eastAsia"/>
                      <w:color w:val="auto"/>
                      <w:szCs w:val="21"/>
                      <w:lang w:val="en-US" w:eastAsia="zh-CN"/>
                    </w:rPr>
                    <w:t>位于园区23号和24号厂房中间的</w:t>
                  </w:r>
                  <w:r>
                    <w:rPr>
                      <w:color w:val="auto"/>
                      <w:szCs w:val="21"/>
                    </w:rPr>
                    <w:t>化粪池</w:t>
                  </w:r>
                  <w:r>
                    <w:rPr>
                      <w:rFonts w:hint="eastAsia"/>
                      <w:color w:val="auto"/>
                      <w:szCs w:val="21"/>
                      <w:lang w:eastAsia="zh-CN"/>
                    </w:rPr>
                    <w:t>（</w:t>
                  </w:r>
                  <w:r>
                    <w:rPr>
                      <w:rFonts w:hint="eastAsia"/>
                      <w:color w:val="auto"/>
                      <w:szCs w:val="21"/>
                      <w:lang w:val="en-US" w:eastAsia="zh-CN"/>
                    </w:rPr>
                    <w:t>100m</w:t>
                  </w:r>
                  <w:r>
                    <w:rPr>
                      <w:rFonts w:hint="eastAsia"/>
                      <w:color w:val="auto"/>
                      <w:szCs w:val="21"/>
                      <w:vertAlign w:val="superscript"/>
                      <w:lang w:val="en-US" w:eastAsia="zh-CN"/>
                    </w:rPr>
                    <w:t>3</w:t>
                  </w:r>
                  <w:r>
                    <w:rPr>
                      <w:rFonts w:hint="eastAsia"/>
                      <w:color w:val="auto"/>
                      <w:szCs w:val="21"/>
                      <w:lang w:eastAsia="zh-CN"/>
                    </w:rPr>
                    <w:t>）</w:t>
                  </w:r>
                  <w:r>
                    <w:rPr>
                      <w:color w:val="auto"/>
                      <w:szCs w:val="21"/>
                    </w:rPr>
                    <w:t>处理达标后排入市政污水管网</w:t>
                  </w:r>
                  <w:r>
                    <w:rPr>
                      <w:rFonts w:hint="eastAsia"/>
                      <w:color w:val="auto"/>
                      <w:szCs w:val="21"/>
                      <w:lang w:eastAsia="zh-CN"/>
                    </w:rPr>
                    <w:t>。</w:t>
                  </w:r>
                </w:p>
              </w:tc>
            </w:tr>
            <w:tr w14:paraId="487404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vMerge w:val="continue"/>
                  <w:tcBorders>
                    <w:tl2br w:val="nil"/>
                    <w:tr2bl w:val="nil"/>
                  </w:tcBorders>
                  <w:noWrap w:val="0"/>
                  <w:vAlign w:val="center"/>
                </w:tcPr>
                <w:p w14:paraId="4468CCD0">
                  <w:pPr>
                    <w:tabs>
                      <w:tab w:val="left" w:pos="1260"/>
                    </w:tabs>
                    <w:adjustRightInd w:val="0"/>
                    <w:snapToGrid w:val="0"/>
                    <w:jc w:val="center"/>
                    <w:rPr>
                      <w:rFonts w:hint="default" w:ascii="Times New Roman" w:hAnsi="Times New Roman" w:cs="Times New Roman"/>
                      <w:color w:val="auto"/>
                      <w:sz w:val="21"/>
                      <w:szCs w:val="21"/>
                    </w:rPr>
                  </w:pPr>
                </w:p>
              </w:tc>
              <w:tc>
                <w:tcPr>
                  <w:tcW w:w="893" w:type="pct"/>
                  <w:gridSpan w:val="2"/>
                  <w:tcBorders>
                    <w:tl2br w:val="nil"/>
                    <w:tr2bl w:val="nil"/>
                  </w:tcBorders>
                  <w:noWrap w:val="0"/>
                  <w:vAlign w:val="center"/>
                </w:tcPr>
                <w:p w14:paraId="0DADBF16">
                  <w:pPr>
                    <w:tabs>
                      <w:tab w:val="left" w:pos="1260"/>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3680" w:type="pct"/>
                  <w:tcBorders>
                    <w:tl2br w:val="nil"/>
                    <w:tr2bl w:val="nil"/>
                  </w:tcBorders>
                  <w:noWrap w:val="0"/>
                  <w:vAlign w:val="center"/>
                </w:tcPr>
                <w:p w14:paraId="7F99BCC7">
                  <w:pPr>
                    <w:tabs>
                      <w:tab w:val="left" w:pos="1260"/>
                    </w:tabs>
                    <w:adjustRightInd w:val="0"/>
                    <w:snapToGrid w:val="0"/>
                    <w:jc w:val="both"/>
                    <w:rPr>
                      <w:rFonts w:hint="default" w:ascii="Times New Roman" w:hAnsi="Times New Roman" w:cs="Times New Roman"/>
                      <w:color w:val="auto"/>
                      <w:sz w:val="21"/>
                      <w:szCs w:val="21"/>
                      <w:lang w:val="en-US"/>
                    </w:rPr>
                  </w:pPr>
                  <w:r>
                    <w:rPr>
                      <w:rFonts w:hint="eastAsia"/>
                      <w:color w:val="auto"/>
                      <w:kern w:val="0"/>
                      <w:szCs w:val="21"/>
                      <w:lang w:bidi="ar"/>
                    </w:rPr>
                    <w:t>选用低噪声</w:t>
                  </w:r>
                  <w:r>
                    <w:rPr>
                      <w:rFonts w:hint="eastAsia"/>
                      <w:color w:val="auto"/>
                      <w:kern w:val="0"/>
                      <w:szCs w:val="21"/>
                      <w:lang w:val="en-US" w:eastAsia="zh-CN" w:bidi="ar"/>
                    </w:rPr>
                    <w:t>设备</w:t>
                  </w:r>
                  <w:r>
                    <w:rPr>
                      <w:rFonts w:hint="eastAsia"/>
                      <w:color w:val="auto"/>
                      <w:kern w:val="0"/>
                      <w:szCs w:val="21"/>
                      <w:lang w:bidi="ar"/>
                    </w:rPr>
                    <w:t>，</w:t>
                  </w:r>
                  <w:r>
                    <w:rPr>
                      <w:rFonts w:hint="eastAsia"/>
                      <w:color w:val="auto"/>
                      <w:szCs w:val="21"/>
                      <w:highlight w:val="none"/>
                      <w:lang w:val="en-US" w:eastAsia="zh-CN"/>
                    </w:rPr>
                    <w:t>采用基础减振降噪措施</w:t>
                  </w:r>
                  <w:r>
                    <w:rPr>
                      <w:rFonts w:hint="default" w:ascii="Times New Roman" w:hAnsi="Times New Roman" w:eastAsia="宋体" w:cs="Times New Roman"/>
                      <w:color w:val="auto"/>
                      <w:kern w:val="0"/>
                      <w:sz w:val="21"/>
                      <w:szCs w:val="21"/>
                      <w:lang w:val="en-US" w:eastAsia="zh-CN"/>
                    </w:rPr>
                    <w:t>。</w:t>
                  </w:r>
                </w:p>
              </w:tc>
            </w:tr>
            <w:tr w14:paraId="5B87D7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vMerge w:val="continue"/>
                  <w:tcBorders>
                    <w:tl2br w:val="nil"/>
                    <w:tr2bl w:val="nil"/>
                  </w:tcBorders>
                  <w:noWrap w:val="0"/>
                  <w:vAlign w:val="center"/>
                </w:tcPr>
                <w:p w14:paraId="62E3956D">
                  <w:pPr>
                    <w:tabs>
                      <w:tab w:val="left" w:pos="1260"/>
                    </w:tabs>
                    <w:adjustRightInd w:val="0"/>
                    <w:snapToGrid w:val="0"/>
                    <w:jc w:val="center"/>
                    <w:rPr>
                      <w:rFonts w:hint="default" w:ascii="Times New Roman" w:hAnsi="Times New Roman" w:cs="Times New Roman"/>
                      <w:color w:val="auto"/>
                      <w:sz w:val="21"/>
                      <w:szCs w:val="21"/>
                    </w:rPr>
                  </w:pPr>
                </w:p>
              </w:tc>
              <w:tc>
                <w:tcPr>
                  <w:tcW w:w="263" w:type="pct"/>
                  <w:vMerge w:val="restart"/>
                  <w:tcBorders>
                    <w:tl2br w:val="nil"/>
                    <w:tr2bl w:val="nil"/>
                  </w:tcBorders>
                  <w:noWrap w:val="0"/>
                  <w:vAlign w:val="center"/>
                </w:tcPr>
                <w:p w14:paraId="40B4FB47">
                  <w:pPr>
                    <w:tabs>
                      <w:tab w:val="left" w:pos="1260"/>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固废治理</w:t>
                  </w:r>
                </w:p>
              </w:tc>
              <w:tc>
                <w:tcPr>
                  <w:tcW w:w="629" w:type="pct"/>
                  <w:tcBorders>
                    <w:tl2br w:val="nil"/>
                    <w:tr2bl w:val="nil"/>
                  </w:tcBorders>
                  <w:noWrap w:val="0"/>
                  <w:vAlign w:val="center"/>
                </w:tcPr>
                <w:p w14:paraId="63AB0392">
                  <w:pPr>
                    <w:tabs>
                      <w:tab w:val="left" w:pos="1260"/>
                    </w:tabs>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生活垃圾</w:t>
                  </w:r>
                </w:p>
              </w:tc>
              <w:tc>
                <w:tcPr>
                  <w:tcW w:w="3680" w:type="pct"/>
                  <w:tcBorders>
                    <w:tl2br w:val="nil"/>
                    <w:tr2bl w:val="nil"/>
                  </w:tcBorders>
                  <w:noWrap w:val="0"/>
                  <w:vAlign w:val="center"/>
                </w:tcPr>
                <w:p w14:paraId="02549E50">
                  <w:pPr>
                    <w:tabs>
                      <w:tab w:val="left" w:pos="1260"/>
                    </w:tabs>
                    <w:adjustRightInd w:val="0"/>
                    <w:snapToGrid w:val="0"/>
                    <w:jc w:val="left"/>
                    <w:rPr>
                      <w:rFonts w:hint="default" w:ascii="Times New Roman" w:hAnsi="Times New Roman" w:eastAsia="宋体" w:cs="Times New Roman"/>
                      <w:color w:val="auto"/>
                      <w:sz w:val="21"/>
                      <w:szCs w:val="21"/>
                      <w:lang w:eastAsia="zh-CN"/>
                    </w:rPr>
                  </w:pPr>
                  <w:r>
                    <w:rPr>
                      <w:rFonts w:hint="eastAsia"/>
                      <w:color w:val="auto"/>
                      <w:kern w:val="0"/>
                      <w:szCs w:val="21"/>
                      <w:lang w:bidi="ar"/>
                    </w:rPr>
                    <w:t>分类收集后统一交由环卫部门处置</w:t>
                  </w:r>
                  <w:r>
                    <w:rPr>
                      <w:rFonts w:hint="default" w:ascii="Times New Roman" w:hAnsi="Times New Roman" w:cs="Times New Roman"/>
                      <w:color w:val="auto"/>
                      <w:sz w:val="21"/>
                      <w:szCs w:val="21"/>
                      <w:highlight w:val="none"/>
                      <w:lang w:eastAsia="zh-CN" w:bidi="ar"/>
                    </w:rPr>
                    <w:t>。</w:t>
                  </w:r>
                </w:p>
              </w:tc>
            </w:tr>
            <w:tr w14:paraId="461001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vMerge w:val="continue"/>
                  <w:tcBorders>
                    <w:tl2br w:val="nil"/>
                    <w:tr2bl w:val="nil"/>
                  </w:tcBorders>
                  <w:noWrap w:val="0"/>
                  <w:vAlign w:val="center"/>
                </w:tcPr>
                <w:p w14:paraId="3B7D0A75">
                  <w:pPr>
                    <w:tabs>
                      <w:tab w:val="left" w:pos="1260"/>
                    </w:tabs>
                    <w:adjustRightInd w:val="0"/>
                    <w:snapToGrid w:val="0"/>
                    <w:jc w:val="center"/>
                    <w:rPr>
                      <w:rFonts w:hint="default" w:ascii="Times New Roman" w:hAnsi="Times New Roman" w:cs="Times New Roman"/>
                      <w:color w:val="auto"/>
                      <w:sz w:val="21"/>
                      <w:szCs w:val="21"/>
                    </w:rPr>
                  </w:pPr>
                </w:p>
              </w:tc>
              <w:tc>
                <w:tcPr>
                  <w:tcW w:w="263" w:type="pct"/>
                  <w:vMerge w:val="continue"/>
                  <w:tcBorders>
                    <w:tl2br w:val="nil"/>
                    <w:tr2bl w:val="nil"/>
                  </w:tcBorders>
                  <w:noWrap w:val="0"/>
                  <w:vAlign w:val="center"/>
                </w:tcPr>
                <w:p w14:paraId="32189BE5">
                  <w:pPr>
                    <w:tabs>
                      <w:tab w:val="left" w:pos="1260"/>
                    </w:tabs>
                    <w:adjustRightInd w:val="0"/>
                    <w:snapToGrid w:val="0"/>
                    <w:jc w:val="center"/>
                    <w:rPr>
                      <w:rFonts w:hint="default" w:ascii="Times New Roman" w:hAnsi="Times New Roman" w:cs="Times New Roman"/>
                      <w:color w:val="auto"/>
                      <w:sz w:val="21"/>
                      <w:szCs w:val="21"/>
                    </w:rPr>
                  </w:pPr>
                </w:p>
              </w:tc>
              <w:tc>
                <w:tcPr>
                  <w:tcW w:w="629" w:type="pct"/>
                  <w:tcBorders>
                    <w:tl2br w:val="nil"/>
                    <w:tr2bl w:val="nil"/>
                  </w:tcBorders>
                  <w:noWrap w:val="0"/>
                  <w:vAlign w:val="center"/>
                </w:tcPr>
                <w:p w14:paraId="6FA148E7">
                  <w:pPr>
                    <w:tabs>
                      <w:tab w:val="left" w:pos="1260"/>
                    </w:tabs>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一般</w:t>
                  </w:r>
                </w:p>
                <w:p w14:paraId="4642071A">
                  <w:pPr>
                    <w:tabs>
                      <w:tab w:val="left" w:pos="1260"/>
                    </w:tabs>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工业固废</w:t>
                  </w:r>
                </w:p>
              </w:tc>
              <w:tc>
                <w:tcPr>
                  <w:tcW w:w="3680" w:type="pct"/>
                  <w:tcBorders>
                    <w:tl2br w:val="nil"/>
                    <w:tr2bl w:val="nil"/>
                  </w:tcBorders>
                  <w:noWrap w:val="0"/>
                  <w:vAlign w:val="center"/>
                </w:tcPr>
                <w:p w14:paraId="26A28689">
                  <w:pPr>
                    <w:tabs>
                      <w:tab w:val="left" w:pos="1260"/>
                    </w:tabs>
                    <w:adjustRightInd w:val="0"/>
                    <w:snapToGrid w:val="0"/>
                    <w:jc w:val="left"/>
                    <w:rPr>
                      <w:rFonts w:hint="default" w:ascii="Times New Roman" w:hAnsi="Times New Roman" w:eastAsia="宋体" w:cs="Times New Roman"/>
                      <w:color w:val="auto"/>
                      <w:sz w:val="21"/>
                      <w:szCs w:val="21"/>
                      <w:lang w:eastAsia="zh-CN"/>
                    </w:rPr>
                  </w:pPr>
                  <w:r>
                    <w:rPr>
                      <w:rFonts w:hint="eastAsia"/>
                      <w:color w:val="auto"/>
                      <w:szCs w:val="21"/>
                      <w:lang w:val="en-US" w:eastAsia="zh-CN"/>
                    </w:rPr>
                    <w:t>废</w:t>
                  </w:r>
                  <w:r>
                    <w:rPr>
                      <w:rFonts w:hint="default"/>
                      <w:color w:val="auto"/>
                      <w:szCs w:val="21"/>
                      <w:lang w:val="en-US" w:eastAsia="zh-CN"/>
                    </w:rPr>
                    <w:t>边角料</w:t>
                  </w:r>
                  <w:r>
                    <w:rPr>
                      <w:rFonts w:hint="eastAsia"/>
                      <w:color w:val="auto"/>
                      <w:szCs w:val="21"/>
                      <w:lang w:val="en-US" w:eastAsia="zh-CN"/>
                    </w:rPr>
                    <w:t>、</w:t>
                  </w:r>
                  <w:r>
                    <w:rPr>
                      <w:rFonts w:hint="default"/>
                      <w:color w:val="auto"/>
                      <w:szCs w:val="21"/>
                      <w:lang w:val="en-US" w:eastAsia="zh-CN"/>
                    </w:rPr>
                    <w:t>废包装</w:t>
                  </w:r>
                  <w:r>
                    <w:rPr>
                      <w:rFonts w:hint="eastAsia"/>
                      <w:color w:val="auto"/>
                      <w:szCs w:val="21"/>
                      <w:lang w:val="en-US" w:eastAsia="zh-CN"/>
                    </w:rPr>
                    <w:t>材料、不合格品</w:t>
                  </w:r>
                  <w:r>
                    <w:rPr>
                      <w:rFonts w:hint="default" w:ascii="Times New Roman" w:hAnsi="Times New Roman"/>
                      <w:color w:val="auto"/>
                      <w:sz w:val="21"/>
                      <w:szCs w:val="21"/>
                      <w:lang w:val="en-US" w:eastAsia="zh-CN"/>
                    </w:rPr>
                    <w:t>集中收集后外售</w:t>
                  </w:r>
                  <w:r>
                    <w:rPr>
                      <w:rFonts w:hint="eastAsia" w:ascii="Times New Roman" w:hAnsi="Times New Roman"/>
                      <w:color w:val="auto"/>
                      <w:sz w:val="21"/>
                      <w:szCs w:val="21"/>
                      <w:lang w:val="en-US" w:eastAsia="zh-CN"/>
                    </w:rPr>
                    <w:t>，</w:t>
                  </w:r>
                  <w:r>
                    <w:rPr>
                      <w:rFonts w:hint="eastAsia"/>
                      <w:color w:val="auto"/>
                      <w:szCs w:val="21"/>
                      <w:lang w:val="en-US" w:eastAsia="zh-CN"/>
                    </w:rPr>
                    <w:t>废反渗透膜和废滤芯</w:t>
                  </w:r>
                  <w:r>
                    <w:rPr>
                      <w:rFonts w:hint="eastAsia"/>
                      <w:color w:val="auto"/>
                      <w:sz w:val="21"/>
                      <w:szCs w:val="21"/>
                      <w:lang w:val="en-US" w:eastAsia="zh-CN"/>
                    </w:rPr>
                    <w:t>交供应商回收利用</w:t>
                  </w:r>
                  <w:r>
                    <w:rPr>
                      <w:rFonts w:hint="default" w:ascii="Times New Roman" w:hAnsi="Times New Roman" w:cs="Times New Roman"/>
                      <w:color w:val="auto"/>
                      <w:lang w:eastAsia="zh-CN"/>
                    </w:rPr>
                    <w:t>。</w:t>
                  </w:r>
                </w:p>
              </w:tc>
            </w:tr>
            <w:tr w14:paraId="57C549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vMerge w:val="continue"/>
                  <w:tcBorders>
                    <w:tl2br w:val="nil"/>
                    <w:tr2bl w:val="nil"/>
                  </w:tcBorders>
                  <w:noWrap w:val="0"/>
                  <w:vAlign w:val="center"/>
                </w:tcPr>
                <w:p w14:paraId="69329F4B">
                  <w:pPr>
                    <w:tabs>
                      <w:tab w:val="left" w:pos="1260"/>
                    </w:tabs>
                    <w:adjustRightInd w:val="0"/>
                    <w:snapToGrid w:val="0"/>
                    <w:jc w:val="center"/>
                    <w:rPr>
                      <w:rFonts w:hint="default" w:ascii="Times New Roman" w:hAnsi="Times New Roman" w:cs="Times New Roman"/>
                      <w:color w:val="auto"/>
                      <w:sz w:val="21"/>
                      <w:szCs w:val="21"/>
                    </w:rPr>
                  </w:pPr>
                </w:p>
              </w:tc>
              <w:tc>
                <w:tcPr>
                  <w:tcW w:w="263" w:type="pct"/>
                  <w:vMerge w:val="continue"/>
                  <w:tcBorders>
                    <w:tl2br w:val="nil"/>
                    <w:tr2bl w:val="nil"/>
                  </w:tcBorders>
                  <w:noWrap w:val="0"/>
                  <w:vAlign w:val="center"/>
                </w:tcPr>
                <w:p w14:paraId="1639FF60">
                  <w:pPr>
                    <w:tabs>
                      <w:tab w:val="left" w:pos="1260"/>
                    </w:tabs>
                    <w:adjustRightInd w:val="0"/>
                    <w:snapToGrid w:val="0"/>
                    <w:jc w:val="center"/>
                    <w:rPr>
                      <w:rFonts w:hint="default" w:ascii="Times New Roman" w:hAnsi="Times New Roman" w:cs="Times New Roman"/>
                      <w:color w:val="auto"/>
                      <w:sz w:val="21"/>
                      <w:szCs w:val="21"/>
                    </w:rPr>
                  </w:pPr>
                </w:p>
              </w:tc>
              <w:tc>
                <w:tcPr>
                  <w:tcW w:w="629" w:type="pct"/>
                  <w:tcBorders>
                    <w:tl2br w:val="nil"/>
                    <w:tr2bl w:val="nil"/>
                  </w:tcBorders>
                  <w:noWrap w:val="0"/>
                  <w:vAlign w:val="center"/>
                </w:tcPr>
                <w:p w14:paraId="5B4C9FB7">
                  <w:pPr>
                    <w:tabs>
                      <w:tab w:val="left" w:pos="1260"/>
                    </w:tabs>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危险废</w:t>
                  </w:r>
                  <w:r>
                    <w:rPr>
                      <w:rFonts w:hint="default" w:ascii="Times New Roman" w:hAnsi="Times New Roman" w:cs="Times New Roman"/>
                      <w:color w:val="auto"/>
                      <w:sz w:val="21"/>
                      <w:szCs w:val="21"/>
                      <w:lang w:eastAsia="zh-CN"/>
                    </w:rPr>
                    <w:t>物</w:t>
                  </w:r>
                </w:p>
              </w:tc>
              <w:tc>
                <w:tcPr>
                  <w:tcW w:w="3680" w:type="pct"/>
                  <w:tcBorders>
                    <w:tl2br w:val="nil"/>
                    <w:tr2bl w:val="nil"/>
                  </w:tcBorders>
                  <w:noWrap w:val="0"/>
                  <w:vAlign w:val="center"/>
                </w:tcPr>
                <w:p w14:paraId="3E1D2816">
                  <w:pPr>
                    <w:tabs>
                      <w:tab w:val="left" w:pos="1260"/>
                    </w:tabs>
                    <w:adjustRightInd w:val="0"/>
                    <w:snapToGrid w:val="0"/>
                    <w:jc w:val="left"/>
                    <w:rPr>
                      <w:rFonts w:hint="default" w:ascii="Times New Roman" w:hAnsi="Times New Roman" w:eastAsia="宋体" w:cs="Times New Roman"/>
                      <w:color w:val="auto"/>
                      <w:sz w:val="21"/>
                      <w:szCs w:val="21"/>
                      <w:lang w:val="en-US" w:eastAsia="zh-CN"/>
                    </w:rPr>
                  </w:pPr>
                  <w:r>
                    <w:rPr>
                      <w:rFonts w:hint="eastAsia"/>
                      <w:color w:val="auto"/>
                      <w:szCs w:val="21"/>
                    </w:rPr>
                    <w:t>废液</w:t>
                  </w:r>
                  <w:r>
                    <w:rPr>
                      <w:rFonts w:hint="eastAsia"/>
                      <w:color w:val="auto"/>
                      <w:szCs w:val="21"/>
                      <w:lang w:eastAsia="zh-CN"/>
                    </w:rPr>
                    <w:t>、</w:t>
                  </w:r>
                  <w:r>
                    <w:rPr>
                      <w:rFonts w:hint="eastAsia"/>
                      <w:color w:val="auto"/>
                      <w:szCs w:val="21"/>
                      <w:lang w:val="en-US" w:eastAsia="zh-CN"/>
                    </w:rPr>
                    <w:t>废试剂瓶、</w:t>
                  </w:r>
                  <w:r>
                    <w:rPr>
                      <w:rFonts w:hint="default"/>
                      <w:color w:val="auto"/>
                      <w:szCs w:val="21"/>
                    </w:rPr>
                    <w:t>废活性炭</w:t>
                  </w:r>
                  <w:r>
                    <w:rPr>
                      <w:rFonts w:hint="default" w:ascii="Times New Roman" w:hAnsi="Times New Roman" w:cs="Times New Roman"/>
                      <w:color w:val="auto"/>
                      <w:sz w:val="21"/>
                      <w:szCs w:val="21"/>
                      <w:lang w:val="en-US" w:eastAsia="zh-CN"/>
                    </w:rPr>
                    <w:t>等</w:t>
                  </w:r>
                  <w:r>
                    <w:rPr>
                      <w:rFonts w:hint="default" w:ascii="Times New Roman" w:hAnsi="Times New Roman" w:cs="Times New Roman"/>
                      <w:color w:val="auto"/>
                      <w:sz w:val="21"/>
                      <w:szCs w:val="21"/>
                      <w:lang w:eastAsia="zh-CN"/>
                    </w:rPr>
                    <w:t>危险废物</w:t>
                  </w:r>
                  <w:r>
                    <w:rPr>
                      <w:rFonts w:hint="default" w:ascii="Times New Roman" w:hAnsi="Times New Roman" w:cs="Times New Roman"/>
                      <w:color w:val="auto"/>
                      <w:sz w:val="21"/>
                      <w:szCs w:val="21"/>
                      <w:lang w:val="en-US" w:eastAsia="zh-CN"/>
                    </w:rPr>
                    <w:t>分类收集，分区暂存于</w:t>
                  </w:r>
                  <w:r>
                    <w:rPr>
                      <w:rFonts w:hint="default" w:ascii="Times New Roman" w:hAnsi="Times New Roman" w:cs="Times New Roman"/>
                      <w:color w:val="auto"/>
                      <w:sz w:val="21"/>
                      <w:szCs w:val="21"/>
                      <w:lang w:eastAsia="zh-CN"/>
                    </w:rPr>
                    <w:t>危险废物贮存库</w:t>
                  </w:r>
                  <w:r>
                    <w:rPr>
                      <w:rFonts w:hint="default" w:ascii="Times New Roman" w:hAnsi="Times New Roman" w:cs="Times New Roman"/>
                      <w:color w:val="auto"/>
                      <w:sz w:val="21"/>
                      <w:szCs w:val="21"/>
                    </w:rPr>
                    <w:t>，委托有资质的单位</w:t>
                  </w:r>
                  <w:r>
                    <w:rPr>
                      <w:rFonts w:hint="default" w:ascii="Times New Roman" w:hAnsi="Times New Roman" w:cs="Times New Roman"/>
                      <w:color w:val="auto"/>
                      <w:sz w:val="21"/>
                      <w:szCs w:val="21"/>
                      <w:lang w:val="en-US" w:eastAsia="zh-CN"/>
                    </w:rPr>
                    <w:t>定期处置。</w:t>
                  </w:r>
                </w:p>
              </w:tc>
            </w:tr>
          </w:tbl>
          <w:p w14:paraId="1F045C65">
            <w:pPr>
              <w:numPr>
                <w:ilvl w:val="0"/>
                <w:numId w:val="0"/>
              </w:numPr>
              <w:adjustRightInd w:val="0"/>
              <w:snapToGrid w:val="0"/>
              <w:spacing w:line="360" w:lineRule="auto"/>
              <w:jc w:val="both"/>
              <w:rPr>
                <w:rFonts w:hint="default" w:ascii="Times New Roman" w:hAnsi="Times New Roman" w:cs="Times New Roman"/>
                <w:b/>
                <w:bCs w:val="0"/>
                <w:color w:val="auto"/>
                <w:sz w:val="24"/>
                <w:szCs w:val="24"/>
                <w:lang w:val="en-US" w:eastAsia="zh-CN"/>
              </w:rPr>
            </w:pPr>
            <w:r>
              <w:rPr>
                <w:rFonts w:hint="default" w:ascii="Times New Roman" w:hAnsi="Times New Roman" w:cs="Times New Roman"/>
                <w:b/>
                <w:bCs/>
                <w:color w:val="auto"/>
                <w:kern w:val="2"/>
                <w:sz w:val="24"/>
                <w:szCs w:val="24"/>
                <w:lang w:val="en-US" w:eastAsia="zh-CN" w:bidi="ar-SA"/>
              </w:rPr>
              <w:t>3、</w:t>
            </w:r>
            <w:r>
              <w:rPr>
                <w:rFonts w:hint="default" w:ascii="Times New Roman" w:hAnsi="Times New Roman" w:cs="Times New Roman"/>
                <w:b/>
                <w:bCs w:val="0"/>
                <w:color w:val="auto"/>
                <w:sz w:val="24"/>
                <w:szCs w:val="24"/>
                <w:lang w:val="en-US" w:eastAsia="zh-CN"/>
              </w:rPr>
              <w:t>产品方案</w:t>
            </w:r>
          </w:p>
          <w:p w14:paraId="3C15C50D">
            <w:pPr>
              <w:numPr>
                <w:ilvl w:val="0"/>
                <w:numId w:val="0"/>
              </w:numPr>
              <w:adjustRightInd w:val="0"/>
              <w:snapToGrid w:val="0"/>
              <w:spacing w:line="360" w:lineRule="auto"/>
              <w:ind w:firstLine="480" w:firstLineChars="200"/>
              <w:jc w:val="both"/>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本项目产品方案见下表。</w:t>
            </w:r>
          </w:p>
          <w:p w14:paraId="4C144282">
            <w:pPr>
              <w:numPr>
                <w:ilvl w:val="0"/>
                <w:numId w:val="0"/>
              </w:numPr>
              <w:adjustRightInd w:val="0"/>
              <w:snapToGrid w:val="0"/>
              <w:spacing w:line="240" w:lineRule="auto"/>
              <w:ind w:left="0" w:leftChars="0" w:firstLine="0" w:firstLineChars="0"/>
              <w:jc w:val="center"/>
              <w:rPr>
                <w:rFonts w:hint="default" w:ascii="Times New Roman" w:hAnsi="Times New Roman" w:cs="Times New Roman"/>
                <w:b/>
                <w:bCs w:val="0"/>
                <w:color w:val="auto"/>
                <w:sz w:val="24"/>
                <w:szCs w:val="24"/>
                <w:lang w:val="en-US" w:eastAsia="zh-CN"/>
              </w:rPr>
            </w:pPr>
            <w:r>
              <w:rPr>
                <w:rFonts w:hint="default" w:ascii="Times New Roman" w:hAnsi="Times New Roman" w:cs="Times New Roman"/>
                <w:b/>
                <w:bCs w:val="0"/>
                <w:color w:val="auto"/>
                <w:sz w:val="24"/>
                <w:szCs w:val="24"/>
                <w:lang w:val="en-US" w:eastAsia="zh-CN"/>
              </w:rPr>
              <w:t>表2-2</w:t>
            </w:r>
            <w:r>
              <w:rPr>
                <w:rFonts w:hint="eastAsia" w:ascii="Times New Roman" w:hAnsi="Times New Roman" w:cs="Times New Roman"/>
                <w:b/>
                <w:bCs w:val="0"/>
                <w:color w:val="auto"/>
                <w:sz w:val="24"/>
                <w:szCs w:val="24"/>
                <w:lang w:val="en-US" w:eastAsia="zh-CN"/>
              </w:rPr>
              <w:t xml:space="preserve">  </w:t>
            </w:r>
            <w:r>
              <w:rPr>
                <w:rFonts w:hint="default" w:ascii="Times New Roman" w:hAnsi="Times New Roman" w:cs="Times New Roman"/>
                <w:b/>
                <w:bCs w:val="0"/>
                <w:color w:val="auto"/>
                <w:sz w:val="24"/>
                <w:szCs w:val="24"/>
                <w:lang w:val="en-US" w:eastAsia="zh-CN"/>
              </w:rPr>
              <w:t>项目产品方案一览表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074"/>
              <w:gridCol w:w="666"/>
              <w:gridCol w:w="856"/>
              <w:gridCol w:w="3200"/>
              <w:gridCol w:w="2098"/>
            </w:tblGrid>
            <w:tr w14:paraId="691C7A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 w:type="pct"/>
                  <w:tcBorders>
                    <w:tl2br w:val="nil"/>
                    <w:tr2bl w:val="nil"/>
                  </w:tcBorders>
                  <w:noWrap w:val="0"/>
                  <w:vAlign w:val="center"/>
                </w:tcPr>
                <w:p w14:paraId="5BDD35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序号</w:t>
                  </w:r>
                </w:p>
              </w:tc>
              <w:tc>
                <w:tcPr>
                  <w:tcW w:w="645" w:type="pct"/>
                  <w:tcBorders>
                    <w:tl2br w:val="nil"/>
                    <w:tr2bl w:val="nil"/>
                  </w:tcBorders>
                  <w:noWrap w:val="0"/>
                  <w:vAlign w:val="center"/>
                </w:tcPr>
                <w:p w14:paraId="4DC543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val="0"/>
                      <w:color w:val="auto"/>
                      <w:sz w:val="21"/>
                      <w:szCs w:val="21"/>
                    </w:rPr>
                  </w:pPr>
                  <w:r>
                    <w:rPr>
                      <w:rFonts w:hint="eastAsia" w:hAnsi="宋体" w:cs="宋体"/>
                      <w:b/>
                      <w:bCs/>
                      <w:color w:val="auto"/>
                      <w:sz w:val="21"/>
                      <w:szCs w:val="21"/>
                    </w:rPr>
                    <w:t>产品</w:t>
                  </w:r>
                </w:p>
              </w:tc>
              <w:tc>
                <w:tcPr>
                  <w:tcW w:w="400" w:type="pct"/>
                  <w:tcBorders>
                    <w:tl2br w:val="nil"/>
                    <w:tr2bl w:val="nil"/>
                  </w:tcBorders>
                  <w:noWrap w:val="0"/>
                  <w:vAlign w:val="center"/>
                </w:tcPr>
                <w:p w14:paraId="3C8DC9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lang w:eastAsia="zh-CN"/>
                    </w:rPr>
                  </w:pPr>
                  <w:r>
                    <w:rPr>
                      <w:rFonts w:hint="eastAsia" w:hAnsi="宋体" w:cs="宋体"/>
                      <w:b/>
                      <w:bCs/>
                      <w:color w:val="auto"/>
                      <w:sz w:val="21"/>
                      <w:szCs w:val="21"/>
                    </w:rPr>
                    <w:t>单位</w:t>
                  </w:r>
                </w:p>
              </w:tc>
              <w:tc>
                <w:tcPr>
                  <w:tcW w:w="514" w:type="pct"/>
                  <w:tcBorders>
                    <w:tl2br w:val="nil"/>
                    <w:tr2bl w:val="nil"/>
                  </w:tcBorders>
                  <w:noWrap w:val="0"/>
                  <w:vAlign w:val="center"/>
                </w:tcPr>
                <w:p w14:paraId="5CF1B7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val="0"/>
                      <w:color w:val="auto"/>
                      <w:sz w:val="21"/>
                      <w:szCs w:val="21"/>
                      <w:lang w:eastAsia="zh-CN"/>
                    </w:rPr>
                  </w:pPr>
                  <w:r>
                    <w:rPr>
                      <w:rFonts w:hint="eastAsia" w:hAnsi="宋体" w:cs="宋体"/>
                      <w:b/>
                      <w:bCs/>
                      <w:color w:val="auto"/>
                      <w:sz w:val="21"/>
                      <w:szCs w:val="21"/>
                    </w:rPr>
                    <w:t>年产量</w:t>
                  </w:r>
                </w:p>
              </w:tc>
              <w:tc>
                <w:tcPr>
                  <w:tcW w:w="1922" w:type="pct"/>
                  <w:tcBorders>
                    <w:tl2br w:val="nil"/>
                    <w:tr2bl w:val="nil"/>
                  </w:tcBorders>
                  <w:noWrap w:val="0"/>
                  <w:vAlign w:val="center"/>
                </w:tcPr>
                <w:p w14:paraId="27BE7C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hAnsi="宋体" w:eastAsia="宋体" w:cs="宋体"/>
                      <w:b/>
                      <w:bCs/>
                      <w:color w:val="auto"/>
                      <w:sz w:val="21"/>
                      <w:szCs w:val="21"/>
                      <w:lang w:val="en-US" w:eastAsia="zh-CN"/>
                    </w:rPr>
                  </w:pPr>
                  <w:r>
                    <w:rPr>
                      <w:rFonts w:hint="eastAsia" w:hAnsi="宋体" w:cs="宋体"/>
                      <w:b/>
                      <w:bCs/>
                      <w:color w:val="auto"/>
                      <w:sz w:val="21"/>
                      <w:szCs w:val="21"/>
                      <w:lang w:val="en-US" w:eastAsia="zh-CN"/>
                    </w:rPr>
                    <w:t>规格</w:t>
                  </w:r>
                </w:p>
              </w:tc>
              <w:tc>
                <w:tcPr>
                  <w:tcW w:w="1260" w:type="pct"/>
                  <w:tcBorders>
                    <w:tl2br w:val="nil"/>
                    <w:tr2bl w:val="nil"/>
                  </w:tcBorders>
                  <w:noWrap w:val="0"/>
                  <w:vAlign w:val="center"/>
                </w:tcPr>
                <w:p w14:paraId="55AD42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Ansi="宋体" w:cs="宋体"/>
                      <w:b/>
                      <w:bCs/>
                      <w:color w:val="auto"/>
                      <w:sz w:val="21"/>
                      <w:szCs w:val="21"/>
                      <w:lang w:val="en-US" w:eastAsia="zh-CN"/>
                    </w:rPr>
                  </w:pPr>
                  <w:r>
                    <w:rPr>
                      <w:rFonts w:hint="eastAsia" w:hAnsi="宋体" w:cs="宋体"/>
                      <w:b/>
                      <w:bCs/>
                      <w:color w:val="auto"/>
                      <w:sz w:val="21"/>
                      <w:szCs w:val="21"/>
                      <w:lang w:val="en-US" w:eastAsia="zh-CN"/>
                    </w:rPr>
                    <w:t>产品用途</w:t>
                  </w:r>
                </w:p>
              </w:tc>
            </w:tr>
            <w:tr w14:paraId="631076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 w:type="pct"/>
                  <w:tcBorders>
                    <w:tl2br w:val="nil"/>
                    <w:tr2bl w:val="nil"/>
                  </w:tcBorders>
                  <w:noWrap w:val="0"/>
                  <w:vAlign w:val="center"/>
                </w:tcPr>
                <w:p w14:paraId="527029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b w:val="0"/>
                      <w:bCs/>
                      <w:color w:val="auto"/>
                      <w:sz w:val="21"/>
                      <w:szCs w:val="21"/>
                    </w:rPr>
                    <w:t>1</w:t>
                  </w:r>
                </w:p>
              </w:tc>
              <w:tc>
                <w:tcPr>
                  <w:tcW w:w="645" w:type="pct"/>
                  <w:tcBorders>
                    <w:tl2br w:val="nil"/>
                    <w:tr2bl w:val="nil"/>
                  </w:tcBorders>
                  <w:noWrap w:val="0"/>
                  <w:vAlign w:val="center"/>
                </w:tcPr>
                <w:p w14:paraId="48F003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eastAsia" w:hAnsi="宋体"/>
                      <w:color w:val="auto"/>
                      <w:sz w:val="21"/>
                      <w:szCs w:val="21"/>
                      <w:lang w:val="en-US" w:eastAsia="zh-CN"/>
                    </w:rPr>
                    <w:t>膜电极</w:t>
                  </w:r>
                </w:p>
              </w:tc>
              <w:tc>
                <w:tcPr>
                  <w:tcW w:w="400" w:type="pct"/>
                  <w:tcBorders>
                    <w:tl2br w:val="nil"/>
                    <w:tr2bl w:val="nil"/>
                  </w:tcBorders>
                  <w:noWrap w:val="0"/>
                  <w:vAlign w:val="center"/>
                </w:tcPr>
                <w:p w14:paraId="739C7B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eastAsia" w:hAnsi="宋体"/>
                      <w:color w:val="auto"/>
                      <w:sz w:val="21"/>
                      <w:szCs w:val="21"/>
                      <w:lang w:val="en-US" w:eastAsia="zh-CN"/>
                    </w:rPr>
                    <w:t>片</w:t>
                  </w:r>
                </w:p>
              </w:tc>
              <w:tc>
                <w:tcPr>
                  <w:tcW w:w="514" w:type="pct"/>
                  <w:tcBorders>
                    <w:tl2br w:val="nil"/>
                    <w:tr2bl w:val="nil"/>
                  </w:tcBorders>
                  <w:noWrap w:val="0"/>
                  <w:vAlign w:val="center"/>
                </w:tcPr>
                <w:p w14:paraId="1BAD40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hAnsi="宋体"/>
                      <w:color w:val="auto"/>
                      <w:sz w:val="21"/>
                      <w:szCs w:val="21"/>
                      <w:lang w:val="en-US" w:eastAsia="zh-CN"/>
                    </w:rPr>
                    <w:t>300000</w:t>
                  </w:r>
                </w:p>
              </w:tc>
              <w:tc>
                <w:tcPr>
                  <w:tcW w:w="1922" w:type="pct"/>
                  <w:tcBorders>
                    <w:tl2br w:val="nil"/>
                    <w:tr2bl w:val="nil"/>
                  </w:tcBorders>
                  <w:noWrap w:val="0"/>
                  <w:vAlign w:val="center"/>
                </w:tcPr>
                <w:p w14:paraId="25F91B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hAnsi="宋体"/>
                      <w:color w:val="auto"/>
                      <w:sz w:val="21"/>
                      <w:szCs w:val="21"/>
                      <w:lang w:val="en-US" w:eastAsia="zh-CN"/>
                    </w:rPr>
                  </w:pPr>
                  <w:r>
                    <w:rPr>
                      <w:rFonts w:hint="eastAsia" w:ascii="Times New Roman" w:hAnsi="Times New Roman" w:cs="Times New Roman"/>
                      <w:color w:val="auto"/>
                      <w:sz w:val="21"/>
                      <w:szCs w:val="21"/>
                      <w:lang w:val="en-US" w:eastAsia="zh-CN"/>
                    </w:rPr>
                    <w:t>每片膜电极：长130mm，宽50mm，厚0.8mm</w:t>
                  </w:r>
                </w:p>
              </w:tc>
              <w:tc>
                <w:tcPr>
                  <w:tcW w:w="1260" w:type="pct"/>
                  <w:tcBorders>
                    <w:tl2br w:val="nil"/>
                    <w:tr2bl w:val="nil"/>
                  </w:tcBorders>
                  <w:noWrap w:val="0"/>
                  <w:vAlign w:val="center"/>
                </w:tcPr>
                <w:p w14:paraId="05801D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hAnsi="宋体"/>
                      <w:color w:val="auto"/>
                      <w:sz w:val="21"/>
                      <w:szCs w:val="21"/>
                      <w:lang w:val="en-US" w:eastAsia="zh-CN"/>
                    </w:rPr>
                  </w:pPr>
                  <w:r>
                    <w:rPr>
                      <w:rFonts w:hint="eastAsia" w:hAnsi="宋体"/>
                      <w:color w:val="auto"/>
                      <w:sz w:val="21"/>
                      <w:szCs w:val="21"/>
                      <w:lang w:val="en-US" w:eastAsia="zh-CN"/>
                    </w:rPr>
                    <w:t>作为氢燃料电池内的新材料</w:t>
                  </w:r>
                </w:p>
              </w:tc>
            </w:tr>
            <w:tr w14:paraId="1F499E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 w:type="pct"/>
                  <w:tcBorders>
                    <w:tl2br w:val="nil"/>
                    <w:tr2bl w:val="nil"/>
                  </w:tcBorders>
                  <w:noWrap w:val="0"/>
                  <w:vAlign w:val="center"/>
                </w:tcPr>
                <w:p w14:paraId="113EA8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2</w:t>
                  </w:r>
                </w:p>
              </w:tc>
              <w:tc>
                <w:tcPr>
                  <w:tcW w:w="645" w:type="pct"/>
                  <w:tcBorders>
                    <w:tl2br w:val="nil"/>
                    <w:tr2bl w:val="nil"/>
                  </w:tcBorders>
                  <w:noWrap w:val="0"/>
                  <w:vAlign w:val="center"/>
                </w:tcPr>
                <w:p w14:paraId="26CF71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eastAsia" w:hAnsi="宋体"/>
                      <w:color w:val="auto"/>
                      <w:sz w:val="21"/>
                      <w:szCs w:val="21"/>
                      <w:lang w:val="en-US" w:eastAsia="zh-CN"/>
                    </w:rPr>
                    <w:t>氢气泄漏检测胶带</w:t>
                  </w:r>
                </w:p>
              </w:tc>
              <w:tc>
                <w:tcPr>
                  <w:tcW w:w="400" w:type="pct"/>
                  <w:tcBorders>
                    <w:tl2br w:val="nil"/>
                    <w:tr2bl w:val="nil"/>
                  </w:tcBorders>
                  <w:noWrap w:val="0"/>
                  <w:vAlign w:val="center"/>
                </w:tcPr>
                <w:p w14:paraId="282761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hAnsi="宋体"/>
                      <w:color w:val="auto"/>
                      <w:sz w:val="21"/>
                      <w:szCs w:val="21"/>
                      <w:lang w:val="en-US" w:eastAsia="zh-CN"/>
                    </w:rPr>
                  </w:pPr>
                  <w:r>
                    <w:rPr>
                      <w:rFonts w:hint="eastAsia" w:hAnsi="宋体"/>
                      <w:color w:val="auto"/>
                      <w:sz w:val="21"/>
                      <w:szCs w:val="21"/>
                      <w:lang w:val="en-US" w:eastAsia="zh-CN"/>
                    </w:rPr>
                    <w:t>卷</w:t>
                  </w:r>
                </w:p>
              </w:tc>
              <w:tc>
                <w:tcPr>
                  <w:tcW w:w="514" w:type="pct"/>
                  <w:tcBorders>
                    <w:tl2br w:val="nil"/>
                    <w:tr2bl w:val="nil"/>
                  </w:tcBorders>
                  <w:noWrap w:val="0"/>
                  <w:vAlign w:val="center"/>
                </w:tcPr>
                <w:p w14:paraId="618596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hAnsi="宋体"/>
                      <w:color w:val="auto"/>
                      <w:sz w:val="21"/>
                      <w:szCs w:val="21"/>
                      <w:lang w:val="en-US" w:eastAsia="zh-CN"/>
                    </w:rPr>
                  </w:pPr>
                  <w:r>
                    <w:rPr>
                      <w:rFonts w:hint="eastAsia" w:hAnsi="宋体"/>
                      <w:color w:val="auto"/>
                      <w:sz w:val="21"/>
                      <w:szCs w:val="21"/>
                      <w:lang w:val="en-US" w:eastAsia="zh-CN"/>
                    </w:rPr>
                    <w:t>5000</w:t>
                  </w:r>
                </w:p>
              </w:tc>
              <w:tc>
                <w:tcPr>
                  <w:tcW w:w="1922" w:type="pct"/>
                  <w:tcBorders>
                    <w:tl2br w:val="nil"/>
                    <w:tr2bl w:val="nil"/>
                  </w:tcBorders>
                  <w:noWrap w:val="0"/>
                  <w:vAlign w:val="center"/>
                </w:tcPr>
                <w:p w14:paraId="372D48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Ansi="宋体"/>
                      <w:color w:val="auto"/>
                      <w:sz w:val="21"/>
                      <w:szCs w:val="21"/>
                      <w:lang w:val="en-US" w:eastAsia="zh-CN"/>
                    </w:rPr>
                  </w:pPr>
                  <w:r>
                    <w:rPr>
                      <w:rFonts w:hint="eastAsia" w:hAnsi="宋体"/>
                      <w:color w:val="auto"/>
                      <w:sz w:val="21"/>
                      <w:szCs w:val="21"/>
                      <w:lang w:val="en-US" w:eastAsia="zh-CN"/>
                    </w:rPr>
                    <w:t>长2m，宽5cm，胶带整卷规格：直径10cm，高5cm</w:t>
                  </w:r>
                </w:p>
              </w:tc>
              <w:tc>
                <w:tcPr>
                  <w:tcW w:w="1260" w:type="pct"/>
                  <w:tcBorders>
                    <w:tl2br w:val="nil"/>
                    <w:tr2bl w:val="nil"/>
                  </w:tcBorders>
                  <w:noWrap w:val="0"/>
                  <w:vAlign w:val="center"/>
                </w:tcPr>
                <w:p w14:paraId="02E31D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Ansi="宋体"/>
                      <w:color w:val="auto"/>
                      <w:sz w:val="21"/>
                      <w:szCs w:val="21"/>
                      <w:lang w:val="en-US" w:eastAsia="zh-CN"/>
                    </w:rPr>
                  </w:pPr>
                  <w:r>
                    <w:rPr>
                      <w:rFonts w:hint="eastAsia" w:hAnsi="宋体"/>
                      <w:color w:val="auto"/>
                      <w:sz w:val="21"/>
                      <w:szCs w:val="21"/>
                      <w:lang w:val="en-US" w:eastAsia="zh-CN"/>
                    </w:rPr>
                    <w:t>用于直观检测仪器设备是否存在氢气泄漏</w:t>
                  </w:r>
                </w:p>
              </w:tc>
            </w:tr>
          </w:tbl>
          <w:p w14:paraId="1EA29AC0">
            <w:pPr>
              <w:numPr>
                <w:ilvl w:val="0"/>
                <w:numId w:val="0"/>
              </w:numPr>
              <w:adjustRightInd w:val="0"/>
              <w:snapToGrid w:val="0"/>
              <w:spacing w:line="360" w:lineRule="auto"/>
              <w:jc w:val="both"/>
              <w:rPr>
                <w:rFonts w:hint="default" w:ascii="Times New Roman" w:hAnsi="Times New Roman" w:cs="Times New Roman"/>
                <w:b/>
                <w:bCs w:val="0"/>
                <w:color w:val="auto"/>
                <w:sz w:val="24"/>
                <w:szCs w:val="24"/>
                <w:lang w:val="en-US" w:eastAsia="zh-CN"/>
              </w:rPr>
            </w:pPr>
            <w:r>
              <w:rPr>
                <w:rFonts w:hint="default" w:ascii="Times New Roman" w:hAnsi="Times New Roman" w:cs="Times New Roman"/>
                <w:b/>
                <w:bCs/>
                <w:color w:val="auto"/>
                <w:kern w:val="2"/>
                <w:sz w:val="24"/>
                <w:szCs w:val="24"/>
                <w:lang w:val="en-US" w:eastAsia="zh-CN" w:bidi="ar-SA"/>
              </w:rPr>
              <w:t>4、</w:t>
            </w:r>
            <w:r>
              <w:rPr>
                <w:rFonts w:hint="default" w:ascii="Times New Roman" w:hAnsi="Times New Roman" w:cs="Times New Roman"/>
                <w:b/>
                <w:bCs w:val="0"/>
                <w:color w:val="auto"/>
                <w:sz w:val="24"/>
                <w:szCs w:val="24"/>
                <w:lang w:val="en-US" w:eastAsia="zh-CN"/>
              </w:rPr>
              <w:t>主要生产设备</w:t>
            </w:r>
          </w:p>
          <w:p w14:paraId="77F591AF">
            <w:pPr>
              <w:numPr>
                <w:ilvl w:val="0"/>
                <w:numId w:val="0"/>
              </w:numPr>
              <w:adjustRightInd w:val="0"/>
              <w:snapToGrid w:val="0"/>
              <w:spacing w:line="360" w:lineRule="auto"/>
              <w:ind w:firstLine="480" w:firstLineChars="200"/>
              <w:jc w:val="both"/>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本项目主要设备见下表。</w:t>
            </w:r>
          </w:p>
          <w:p w14:paraId="56F86830">
            <w:pPr>
              <w:numPr>
                <w:ilvl w:val="0"/>
                <w:numId w:val="0"/>
              </w:numPr>
              <w:adjustRightInd w:val="0"/>
              <w:snapToGrid w:val="0"/>
              <w:spacing w:line="240" w:lineRule="auto"/>
              <w:jc w:val="center"/>
              <w:rPr>
                <w:rFonts w:hint="default" w:ascii="Times New Roman" w:hAnsi="Times New Roman" w:cs="Times New Roman"/>
                <w:b/>
                <w:bCs w:val="0"/>
                <w:color w:val="auto"/>
                <w:sz w:val="24"/>
                <w:szCs w:val="24"/>
                <w:lang w:val="en-US" w:eastAsia="zh-CN"/>
              </w:rPr>
            </w:pPr>
            <w:r>
              <w:rPr>
                <w:rFonts w:hint="default" w:ascii="Times New Roman" w:hAnsi="Times New Roman" w:cs="Times New Roman"/>
                <w:b/>
                <w:bCs w:val="0"/>
                <w:color w:val="auto"/>
                <w:sz w:val="24"/>
                <w:szCs w:val="24"/>
                <w:lang w:val="en-US" w:eastAsia="zh-CN"/>
              </w:rPr>
              <w:t>表2-3</w:t>
            </w:r>
            <w:r>
              <w:rPr>
                <w:rFonts w:hint="eastAsia" w:ascii="Times New Roman" w:hAnsi="Times New Roman" w:cs="Times New Roman"/>
                <w:b/>
                <w:bCs w:val="0"/>
                <w:color w:val="auto"/>
                <w:sz w:val="24"/>
                <w:szCs w:val="24"/>
                <w:lang w:val="en-US" w:eastAsia="zh-CN"/>
              </w:rPr>
              <w:t xml:space="preserve">  </w:t>
            </w:r>
            <w:r>
              <w:rPr>
                <w:rFonts w:hint="default" w:ascii="Times New Roman" w:hAnsi="Times New Roman" w:cs="Times New Roman"/>
                <w:b/>
                <w:bCs w:val="0"/>
                <w:color w:val="auto"/>
                <w:sz w:val="24"/>
                <w:szCs w:val="24"/>
                <w:lang w:val="en-US" w:eastAsia="zh-CN"/>
              </w:rPr>
              <w:t>主要设备一览表</w:t>
            </w:r>
          </w:p>
          <w:tbl>
            <w:tblPr>
              <w:tblStyle w:val="2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0"/>
              <w:gridCol w:w="1504"/>
              <w:gridCol w:w="2308"/>
              <w:gridCol w:w="501"/>
              <w:gridCol w:w="501"/>
              <w:gridCol w:w="1361"/>
              <w:gridCol w:w="1647"/>
            </w:tblGrid>
            <w:tr w14:paraId="5A0E07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tcBorders>
                    <w:tl2br w:val="nil"/>
                    <w:tr2bl w:val="nil"/>
                  </w:tcBorders>
                  <w:noWrap/>
                  <w:vAlign w:val="center"/>
                </w:tcPr>
                <w:p w14:paraId="3BE62169">
                  <w:pPr>
                    <w:jc w:val="center"/>
                    <w:rPr>
                      <w:rFonts w:ascii="宋体" w:hAnsi="宋体" w:cs="宋体"/>
                      <w:b/>
                      <w:bCs/>
                      <w:color w:val="auto"/>
                      <w:sz w:val="21"/>
                      <w:szCs w:val="21"/>
                    </w:rPr>
                  </w:pPr>
                  <w:r>
                    <w:rPr>
                      <w:rFonts w:hint="eastAsia"/>
                      <w:b/>
                      <w:bCs/>
                      <w:color w:val="auto"/>
                      <w:sz w:val="21"/>
                      <w:szCs w:val="21"/>
                    </w:rPr>
                    <w:t>序号</w:t>
                  </w:r>
                </w:p>
              </w:tc>
              <w:tc>
                <w:tcPr>
                  <w:tcW w:w="903" w:type="pct"/>
                  <w:tcBorders>
                    <w:tl2br w:val="nil"/>
                    <w:tr2bl w:val="nil"/>
                  </w:tcBorders>
                  <w:noWrap/>
                  <w:vAlign w:val="center"/>
                </w:tcPr>
                <w:p w14:paraId="567D8BB9">
                  <w:pPr>
                    <w:jc w:val="center"/>
                    <w:rPr>
                      <w:rFonts w:ascii="宋体" w:hAnsi="宋体" w:cs="宋体"/>
                      <w:b/>
                      <w:bCs/>
                      <w:color w:val="auto"/>
                      <w:sz w:val="21"/>
                      <w:szCs w:val="21"/>
                    </w:rPr>
                  </w:pPr>
                  <w:r>
                    <w:rPr>
                      <w:rFonts w:hint="eastAsia"/>
                      <w:b/>
                      <w:bCs/>
                      <w:color w:val="auto"/>
                      <w:sz w:val="21"/>
                      <w:szCs w:val="21"/>
                    </w:rPr>
                    <w:t>名称</w:t>
                  </w:r>
                </w:p>
              </w:tc>
              <w:tc>
                <w:tcPr>
                  <w:tcW w:w="1386" w:type="pct"/>
                  <w:tcBorders>
                    <w:tl2br w:val="nil"/>
                    <w:tr2bl w:val="nil"/>
                  </w:tcBorders>
                  <w:noWrap/>
                  <w:vAlign w:val="center"/>
                </w:tcPr>
                <w:p w14:paraId="05CDA028">
                  <w:pPr>
                    <w:jc w:val="center"/>
                    <w:rPr>
                      <w:rFonts w:ascii="宋体" w:hAnsi="宋体" w:cs="宋体"/>
                      <w:b/>
                      <w:bCs/>
                      <w:color w:val="auto"/>
                      <w:sz w:val="21"/>
                      <w:szCs w:val="21"/>
                    </w:rPr>
                  </w:pPr>
                  <w:r>
                    <w:rPr>
                      <w:rFonts w:hint="eastAsia"/>
                      <w:b/>
                      <w:bCs/>
                      <w:color w:val="auto"/>
                      <w:sz w:val="21"/>
                      <w:szCs w:val="21"/>
                    </w:rPr>
                    <w:t>型号或编号</w:t>
                  </w:r>
                </w:p>
              </w:tc>
              <w:tc>
                <w:tcPr>
                  <w:tcW w:w="301" w:type="pct"/>
                  <w:tcBorders>
                    <w:tl2br w:val="nil"/>
                    <w:tr2bl w:val="nil"/>
                  </w:tcBorders>
                  <w:noWrap/>
                  <w:vAlign w:val="center"/>
                </w:tcPr>
                <w:p w14:paraId="2B208AB8">
                  <w:pPr>
                    <w:jc w:val="center"/>
                    <w:rPr>
                      <w:rFonts w:hint="eastAsia" w:eastAsia="宋体"/>
                      <w:b/>
                      <w:bCs/>
                      <w:color w:val="auto"/>
                      <w:sz w:val="21"/>
                      <w:szCs w:val="21"/>
                      <w:lang w:val="en-US" w:eastAsia="zh-CN"/>
                    </w:rPr>
                  </w:pPr>
                  <w:r>
                    <w:rPr>
                      <w:rFonts w:hint="eastAsia"/>
                      <w:b/>
                      <w:bCs/>
                      <w:color w:val="auto"/>
                      <w:sz w:val="21"/>
                      <w:szCs w:val="21"/>
                      <w:lang w:val="en-US" w:eastAsia="zh-CN"/>
                    </w:rPr>
                    <w:t>单位</w:t>
                  </w:r>
                </w:p>
              </w:tc>
              <w:tc>
                <w:tcPr>
                  <w:tcW w:w="301" w:type="pct"/>
                  <w:tcBorders>
                    <w:tl2br w:val="nil"/>
                    <w:tr2bl w:val="nil"/>
                  </w:tcBorders>
                  <w:noWrap/>
                  <w:vAlign w:val="center"/>
                </w:tcPr>
                <w:p w14:paraId="538DC90E">
                  <w:pPr>
                    <w:jc w:val="center"/>
                    <w:rPr>
                      <w:rFonts w:ascii="宋体" w:hAnsi="宋体" w:cs="宋体"/>
                      <w:b/>
                      <w:bCs/>
                      <w:color w:val="auto"/>
                      <w:sz w:val="21"/>
                      <w:szCs w:val="21"/>
                    </w:rPr>
                  </w:pPr>
                  <w:r>
                    <w:rPr>
                      <w:rFonts w:hint="eastAsia"/>
                      <w:b/>
                      <w:bCs/>
                      <w:color w:val="auto"/>
                      <w:sz w:val="21"/>
                      <w:szCs w:val="21"/>
                    </w:rPr>
                    <w:t>数量</w:t>
                  </w:r>
                </w:p>
              </w:tc>
              <w:tc>
                <w:tcPr>
                  <w:tcW w:w="817" w:type="pct"/>
                  <w:tcBorders>
                    <w:tl2br w:val="nil"/>
                    <w:tr2bl w:val="nil"/>
                  </w:tcBorders>
                  <w:noWrap/>
                  <w:vAlign w:val="center"/>
                </w:tcPr>
                <w:p w14:paraId="4F4EFC91">
                  <w:pPr>
                    <w:jc w:val="center"/>
                    <w:rPr>
                      <w:rFonts w:hint="eastAsia" w:eastAsia="宋体"/>
                      <w:b/>
                      <w:bCs/>
                      <w:color w:val="auto"/>
                      <w:sz w:val="21"/>
                      <w:szCs w:val="21"/>
                      <w:lang w:val="en-US" w:eastAsia="zh-CN"/>
                    </w:rPr>
                  </w:pPr>
                  <w:r>
                    <w:rPr>
                      <w:rFonts w:hint="eastAsia"/>
                      <w:b/>
                      <w:bCs/>
                      <w:color w:val="auto"/>
                      <w:sz w:val="21"/>
                      <w:szCs w:val="21"/>
                      <w:lang w:val="en-US" w:eastAsia="zh-CN"/>
                    </w:rPr>
                    <w:t>用途</w:t>
                  </w:r>
                </w:p>
              </w:tc>
              <w:tc>
                <w:tcPr>
                  <w:tcW w:w="989" w:type="pct"/>
                  <w:tcBorders>
                    <w:tl2br w:val="nil"/>
                    <w:tr2bl w:val="nil"/>
                  </w:tcBorders>
                  <w:noWrap/>
                  <w:vAlign w:val="center"/>
                </w:tcPr>
                <w:p w14:paraId="42D88657">
                  <w:pPr>
                    <w:jc w:val="center"/>
                    <w:rPr>
                      <w:rFonts w:hint="default"/>
                      <w:b/>
                      <w:bCs/>
                      <w:color w:val="auto"/>
                      <w:sz w:val="21"/>
                      <w:szCs w:val="21"/>
                      <w:lang w:val="en-US" w:eastAsia="zh-CN"/>
                    </w:rPr>
                  </w:pPr>
                  <w:r>
                    <w:rPr>
                      <w:rFonts w:hint="eastAsia"/>
                      <w:b/>
                      <w:bCs/>
                      <w:color w:val="auto"/>
                      <w:sz w:val="21"/>
                      <w:szCs w:val="21"/>
                      <w:lang w:val="en-US" w:eastAsia="zh-CN"/>
                    </w:rPr>
                    <w:t>备注</w:t>
                  </w:r>
                </w:p>
              </w:tc>
            </w:tr>
            <w:tr w14:paraId="0CF7C4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tcBorders>
                    <w:tl2br w:val="nil"/>
                    <w:tr2bl w:val="nil"/>
                  </w:tcBorders>
                  <w:noWrap/>
                  <w:vAlign w:val="center"/>
                </w:tcPr>
                <w:p w14:paraId="7BB629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1</w:t>
                  </w:r>
                </w:p>
              </w:tc>
              <w:tc>
                <w:tcPr>
                  <w:tcW w:w="903" w:type="pct"/>
                  <w:tcBorders>
                    <w:tl2br w:val="nil"/>
                    <w:tr2bl w:val="nil"/>
                  </w:tcBorders>
                  <w:noWrap/>
                  <w:vAlign w:val="center"/>
                </w:tcPr>
                <w:p w14:paraId="38A0DF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精密视觉裁切机</w:t>
                  </w:r>
                </w:p>
              </w:tc>
              <w:tc>
                <w:tcPr>
                  <w:tcW w:w="1386" w:type="pct"/>
                  <w:tcBorders>
                    <w:tl2br w:val="nil"/>
                    <w:tr2bl w:val="nil"/>
                  </w:tcBorders>
                  <w:noWrap/>
                  <w:vAlign w:val="center"/>
                </w:tcPr>
                <w:p w14:paraId="454756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DW-FCA-0609</w:t>
                  </w:r>
                </w:p>
              </w:tc>
              <w:tc>
                <w:tcPr>
                  <w:tcW w:w="301" w:type="pct"/>
                  <w:tcBorders>
                    <w:tl2br w:val="nil"/>
                    <w:tr2bl w:val="nil"/>
                  </w:tcBorders>
                  <w:noWrap/>
                  <w:vAlign w:val="center"/>
                </w:tcPr>
                <w:p w14:paraId="3C4913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套</w:t>
                  </w:r>
                </w:p>
              </w:tc>
              <w:tc>
                <w:tcPr>
                  <w:tcW w:w="301" w:type="pct"/>
                  <w:tcBorders>
                    <w:tl2br w:val="nil"/>
                    <w:tr2bl w:val="nil"/>
                  </w:tcBorders>
                  <w:noWrap/>
                  <w:vAlign w:val="center"/>
                </w:tcPr>
                <w:p w14:paraId="07F09B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1</w:t>
                  </w:r>
                </w:p>
              </w:tc>
              <w:tc>
                <w:tcPr>
                  <w:tcW w:w="817" w:type="pct"/>
                  <w:tcBorders>
                    <w:tl2br w:val="nil"/>
                    <w:tr2bl w:val="nil"/>
                  </w:tcBorders>
                  <w:noWrap/>
                  <w:vAlign w:val="center"/>
                </w:tcPr>
                <w:p w14:paraId="3761FB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裁切</w:t>
                  </w:r>
                </w:p>
              </w:tc>
              <w:tc>
                <w:tcPr>
                  <w:tcW w:w="989" w:type="pct"/>
                  <w:vMerge w:val="restart"/>
                  <w:tcBorders>
                    <w:tl2br w:val="nil"/>
                    <w:tr2bl w:val="nil"/>
                  </w:tcBorders>
                  <w:noWrap/>
                  <w:vAlign w:val="center"/>
                </w:tcPr>
                <w:p w14:paraId="7F4F49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olor w:val="auto"/>
                      <w:sz w:val="21"/>
                      <w:szCs w:val="21"/>
                      <w:lang w:val="en-US" w:eastAsia="zh-CN"/>
                    </w:rPr>
                    <w:t>制作膜电极</w:t>
                  </w:r>
                </w:p>
              </w:tc>
            </w:tr>
            <w:tr w14:paraId="0D99EB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tcBorders>
                    <w:tl2br w:val="nil"/>
                    <w:tr2bl w:val="nil"/>
                  </w:tcBorders>
                  <w:noWrap/>
                  <w:vAlign w:val="center"/>
                </w:tcPr>
                <w:p w14:paraId="502B58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2</w:t>
                  </w:r>
                </w:p>
              </w:tc>
              <w:tc>
                <w:tcPr>
                  <w:tcW w:w="903" w:type="pct"/>
                  <w:tcBorders>
                    <w:tl2br w:val="nil"/>
                    <w:tr2bl w:val="nil"/>
                  </w:tcBorders>
                  <w:noWrap/>
                  <w:vAlign w:val="center"/>
                </w:tcPr>
                <w:p w14:paraId="3E460F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伺服热压机</w:t>
                  </w:r>
                </w:p>
              </w:tc>
              <w:tc>
                <w:tcPr>
                  <w:tcW w:w="1386" w:type="pct"/>
                  <w:tcBorders>
                    <w:tl2br w:val="nil"/>
                    <w:tr2bl w:val="nil"/>
                  </w:tcBorders>
                  <w:noWrap/>
                  <w:vAlign w:val="center"/>
                </w:tcPr>
                <w:p w14:paraId="0516CE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DW-FPH-0305</w:t>
                  </w:r>
                </w:p>
              </w:tc>
              <w:tc>
                <w:tcPr>
                  <w:tcW w:w="301" w:type="pct"/>
                  <w:tcBorders>
                    <w:tl2br w:val="nil"/>
                    <w:tr2bl w:val="nil"/>
                  </w:tcBorders>
                  <w:noWrap/>
                  <w:vAlign w:val="center"/>
                </w:tcPr>
                <w:p w14:paraId="5214C9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套</w:t>
                  </w:r>
                </w:p>
              </w:tc>
              <w:tc>
                <w:tcPr>
                  <w:tcW w:w="301" w:type="pct"/>
                  <w:tcBorders>
                    <w:tl2br w:val="nil"/>
                    <w:tr2bl w:val="nil"/>
                  </w:tcBorders>
                  <w:noWrap/>
                  <w:vAlign w:val="center"/>
                </w:tcPr>
                <w:p w14:paraId="646938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1</w:t>
                  </w:r>
                </w:p>
              </w:tc>
              <w:tc>
                <w:tcPr>
                  <w:tcW w:w="817" w:type="pct"/>
                  <w:tcBorders>
                    <w:tl2br w:val="nil"/>
                    <w:tr2bl w:val="nil"/>
                  </w:tcBorders>
                  <w:noWrap/>
                  <w:vAlign w:val="center"/>
                </w:tcPr>
                <w:p w14:paraId="2DDE22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压合</w:t>
                  </w:r>
                </w:p>
              </w:tc>
              <w:tc>
                <w:tcPr>
                  <w:tcW w:w="989" w:type="pct"/>
                  <w:vMerge w:val="continue"/>
                  <w:tcBorders>
                    <w:tl2br w:val="nil"/>
                    <w:tr2bl w:val="nil"/>
                  </w:tcBorders>
                  <w:noWrap/>
                  <w:vAlign w:val="center"/>
                </w:tcPr>
                <w:p w14:paraId="74E9C7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r>
            <w:tr w14:paraId="4FB4E6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tcBorders>
                    <w:tl2br w:val="nil"/>
                    <w:tr2bl w:val="nil"/>
                  </w:tcBorders>
                  <w:noWrap/>
                  <w:vAlign w:val="center"/>
                </w:tcPr>
                <w:p w14:paraId="024EBD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3</w:t>
                  </w:r>
                </w:p>
              </w:tc>
              <w:tc>
                <w:tcPr>
                  <w:tcW w:w="903" w:type="pct"/>
                  <w:tcBorders>
                    <w:tl2br w:val="nil"/>
                    <w:tr2bl w:val="nil"/>
                  </w:tcBorders>
                  <w:noWrap/>
                  <w:vAlign w:val="center"/>
                </w:tcPr>
                <w:p w14:paraId="60B760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伺服平板模切机</w:t>
                  </w:r>
                </w:p>
              </w:tc>
              <w:tc>
                <w:tcPr>
                  <w:tcW w:w="1386" w:type="pct"/>
                  <w:tcBorders>
                    <w:tl2br w:val="nil"/>
                    <w:tr2bl w:val="nil"/>
                  </w:tcBorders>
                  <w:noWrap/>
                  <w:vAlign w:val="center"/>
                </w:tcPr>
                <w:p w14:paraId="1765C2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DW-FCM-4545</w:t>
                  </w:r>
                </w:p>
              </w:tc>
              <w:tc>
                <w:tcPr>
                  <w:tcW w:w="301" w:type="pct"/>
                  <w:tcBorders>
                    <w:tl2br w:val="nil"/>
                    <w:tr2bl w:val="nil"/>
                  </w:tcBorders>
                  <w:noWrap/>
                  <w:vAlign w:val="center"/>
                </w:tcPr>
                <w:p w14:paraId="084813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套</w:t>
                  </w:r>
                </w:p>
              </w:tc>
              <w:tc>
                <w:tcPr>
                  <w:tcW w:w="301" w:type="pct"/>
                  <w:tcBorders>
                    <w:tl2br w:val="nil"/>
                    <w:tr2bl w:val="nil"/>
                  </w:tcBorders>
                  <w:noWrap/>
                  <w:vAlign w:val="center"/>
                </w:tcPr>
                <w:p w14:paraId="7E14F9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1</w:t>
                  </w:r>
                </w:p>
              </w:tc>
              <w:tc>
                <w:tcPr>
                  <w:tcW w:w="817" w:type="pct"/>
                  <w:tcBorders>
                    <w:tl2br w:val="nil"/>
                    <w:tr2bl w:val="nil"/>
                  </w:tcBorders>
                  <w:noWrap/>
                  <w:vAlign w:val="center"/>
                </w:tcPr>
                <w:p w14:paraId="183122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裁切</w:t>
                  </w:r>
                </w:p>
              </w:tc>
              <w:tc>
                <w:tcPr>
                  <w:tcW w:w="989" w:type="pct"/>
                  <w:vMerge w:val="continue"/>
                  <w:tcBorders>
                    <w:tl2br w:val="nil"/>
                    <w:tr2bl w:val="nil"/>
                  </w:tcBorders>
                  <w:noWrap/>
                  <w:vAlign w:val="center"/>
                </w:tcPr>
                <w:p w14:paraId="26AD70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r>
            <w:tr w14:paraId="0A7684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tcBorders>
                    <w:tl2br w:val="nil"/>
                    <w:tr2bl w:val="nil"/>
                  </w:tcBorders>
                  <w:noWrap/>
                  <w:vAlign w:val="center"/>
                </w:tcPr>
                <w:p w14:paraId="571D5A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4</w:t>
                  </w:r>
                </w:p>
              </w:tc>
              <w:tc>
                <w:tcPr>
                  <w:tcW w:w="903" w:type="pct"/>
                  <w:tcBorders>
                    <w:tl2br w:val="nil"/>
                    <w:tr2bl w:val="nil"/>
                  </w:tcBorders>
                  <w:shd w:val="clear" w:color="auto" w:fill="auto"/>
                  <w:noWrap/>
                  <w:vAlign w:val="center"/>
                </w:tcPr>
                <w:p w14:paraId="2E2123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sz w:val="21"/>
                      <w:szCs w:val="21"/>
                      <w:lang w:val="en-US" w:eastAsia="zh-CN"/>
                    </w:rPr>
                    <w:t>膜电极气密检测设备</w:t>
                  </w:r>
                </w:p>
              </w:tc>
              <w:tc>
                <w:tcPr>
                  <w:tcW w:w="1386" w:type="pct"/>
                  <w:tcBorders>
                    <w:tl2br w:val="nil"/>
                    <w:tr2bl w:val="nil"/>
                  </w:tcBorders>
                  <w:shd w:val="clear" w:color="auto" w:fill="auto"/>
                  <w:noWrap/>
                  <w:vAlign w:val="center"/>
                </w:tcPr>
                <w:p w14:paraId="70DBD1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kern w:val="2"/>
                      <w:sz w:val="21"/>
                      <w:szCs w:val="21"/>
                      <w:lang w:val="en-US" w:eastAsia="zh-CN" w:bidi="ar-SA"/>
                    </w:rPr>
                  </w:pPr>
                  <w:r>
                    <w:rPr>
                      <w:rFonts w:hint="default" w:ascii="Times New Roman" w:hAnsi="宋体" w:eastAsia="宋体" w:cs="Times New Roman"/>
                      <w:color w:val="auto"/>
                      <w:sz w:val="21"/>
                      <w:szCs w:val="21"/>
                      <w:lang w:val="en-US" w:eastAsia="zh-CN"/>
                    </w:rPr>
                    <w:t>DW-FDM-0305</w:t>
                  </w:r>
                </w:p>
              </w:tc>
              <w:tc>
                <w:tcPr>
                  <w:tcW w:w="301" w:type="pct"/>
                  <w:tcBorders>
                    <w:tl2br w:val="nil"/>
                    <w:tr2bl w:val="nil"/>
                  </w:tcBorders>
                  <w:shd w:val="clear" w:color="auto" w:fill="auto"/>
                  <w:noWrap/>
                  <w:vAlign w:val="center"/>
                </w:tcPr>
                <w:p w14:paraId="4BD661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sz w:val="21"/>
                      <w:szCs w:val="21"/>
                      <w:lang w:val="en-US" w:eastAsia="zh-CN"/>
                    </w:rPr>
                    <w:t>套</w:t>
                  </w:r>
                </w:p>
              </w:tc>
              <w:tc>
                <w:tcPr>
                  <w:tcW w:w="301" w:type="pct"/>
                  <w:tcBorders>
                    <w:tl2br w:val="nil"/>
                    <w:tr2bl w:val="nil"/>
                  </w:tcBorders>
                  <w:shd w:val="clear" w:color="auto" w:fill="auto"/>
                  <w:noWrap/>
                  <w:vAlign w:val="center"/>
                </w:tcPr>
                <w:p w14:paraId="5FFDB5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sz w:val="21"/>
                      <w:szCs w:val="21"/>
                      <w:lang w:val="en-US" w:eastAsia="zh-CN"/>
                    </w:rPr>
                    <w:t>1</w:t>
                  </w:r>
                </w:p>
              </w:tc>
              <w:tc>
                <w:tcPr>
                  <w:tcW w:w="817" w:type="pct"/>
                  <w:tcBorders>
                    <w:tl2br w:val="nil"/>
                    <w:tr2bl w:val="nil"/>
                  </w:tcBorders>
                  <w:shd w:val="clear" w:color="auto" w:fill="auto"/>
                  <w:noWrap/>
                  <w:vAlign w:val="center"/>
                </w:tcPr>
                <w:p w14:paraId="774DA1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测试膜电极气密性</w:t>
                  </w:r>
                </w:p>
              </w:tc>
              <w:tc>
                <w:tcPr>
                  <w:tcW w:w="989" w:type="pct"/>
                  <w:vMerge w:val="continue"/>
                  <w:tcBorders>
                    <w:tl2br w:val="nil"/>
                    <w:tr2bl w:val="nil"/>
                  </w:tcBorders>
                  <w:noWrap/>
                  <w:vAlign w:val="center"/>
                </w:tcPr>
                <w:p w14:paraId="253423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r>
            <w:tr w14:paraId="4ED8F3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tcBorders>
                    <w:tl2br w:val="nil"/>
                    <w:tr2bl w:val="nil"/>
                  </w:tcBorders>
                  <w:noWrap/>
                  <w:vAlign w:val="center"/>
                </w:tcPr>
                <w:p w14:paraId="4CE03A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5</w:t>
                  </w:r>
                </w:p>
              </w:tc>
              <w:tc>
                <w:tcPr>
                  <w:tcW w:w="903" w:type="pct"/>
                  <w:tcBorders>
                    <w:tl2br w:val="nil"/>
                    <w:tr2bl w:val="nil"/>
                  </w:tcBorders>
                  <w:shd w:val="clear" w:color="auto" w:fill="auto"/>
                  <w:noWrap/>
                  <w:vAlign w:val="center"/>
                </w:tcPr>
                <w:p w14:paraId="0D12AC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sz w:val="21"/>
                      <w:szCs w:val="21"/>
                      <w:lang w:val="en-US" w:eastAsia="zh-CN"/>
                    </w:rPr>
                    <w:t>真空干燥箱</w:t>
                  </w:r>
                </w:p>
              </w:tc>
              <w:tc>
                <w:tcPr>
                  <w:tcW w:w="1386" w:type="pct"/>
                  <w:tcBorders>
                    <w:tl2br w:val="nil"/>
                    <w:tr2bl w:val="nil"/>
                  </w:tcBorders>
                  <w:shd w:val="clear" w:color="auto" w:fill="auto"/>
                  <w:noWrap/>
                  <w:vAlign w:val="center"/>
                </w:tcPr>
                <w:p w14:paraId="048486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sz w:val="21"/>
                      <w:szCs w:val="21"/>
                      <w:lang w:val="en-US" w:eastAsia="zh-CN"/>
                    </w:rPr>
                    <w:t>/</w:t>
                  </w:r>
                </w:p>
              </w:tc>
              <w:tc>
                <w:tcPr>
                  <w:tcW w:w="301" w:type="pct"/>
                  <w:tcBorders>
                    <w:tl2br w:val="nil"/>
                    <w:tr2bl w:val="nil"/>
                  </w:tcBorders>
                  <w:shd w:val="clear" w:color="auto" w:fill="auto"/>
                  <w:noWrap/>
                  <w:vAlign w:val="center"/>
                </w:tcPr>
                <w:p w14:paraId="3AE05A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sz w:val="21"/>
                      <w:szCs w:val="21"/>
                      <w:lang w:val="en-US" w:eastAsia="zh-CN"/>
                    </w:rPr>
                    <w:t>个</w:t>
                  </w:r>
                </w:p>
              </w:tc>
              <w:tc>
                <w:tcPr>
                  <w:tcW w:w="301" w:type="pct"/>
                  <w:tcBorders>
                    <w:tl2br w:val="nil"/>
                    <w:tr2bl w:val="nil"/>
                  </w:tcBorders>
                  <w:shd w:val="clear" w:color="auto" w:fill="auto"/>
                  <w:noWrap/>
                  <w:vAlign w:val="center"/>
                </w:tcPr>
                <w:p w14:paraId="7E1161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sz w:val="21"/>
                      <w:szCs w:val="21"/>
                      <w:lang w:val="en-US" w:eastAsia="zh-CN"/>
                    </w:rPr>
                    <w:t>1</w:t>
                  </w:r>
                </w:p>
              </w:tc>
              <w:tc>
                <w:tcPr>
                  <w:tcW w:w="817" w:type="pct"/>
                  <w:tcBorders>
                    <w:tl2br w:val="nil"/>
                    <w:tr2bl w:val="nil"/>
                  </w:tcBorders>
                  <w:shd w:val="clear" w:color="auto" w:fill="auto"/>
                  <w:noWrap/>
                  <w:vAlign w:val="center"/>
                </w:tcPr>
                <w:p w14:paraId="6D27E2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烘干</w:t>
                  </w:r>
                </w:p>
              </w:tc>
              <w:tc>
                <w:tcPr>
                  <w:tcW w:w="989" w:type="pct"/>
                  <w:vMerge w:val="continue"/>
                  <w:tcBorders>
                    <w:tl2br w:val="nil"/>
                    <w:tr2bl w:val="nil"/>
                  </w:tcBorders>
                  <w:noWrap/>
                  <w:vAlign w:val="center"/>
                </w:tcPr>
                <w:p w14:paraId="2AD976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r>
            <w:tr w14:paraId="2BE6AA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tcBorders>
                    <w:tl2br w:val="nil"/>
                    <w:tr2bl w:val="nil"/>
                  </w:tcBorders>
                  <w:noWrap/>
                  <w:vAlign w:val="center"/>
                </w:tcPr>
                <w:p w14:paraId="08EA04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6</w:t>
                  </w:r>
                </w:p>
              </w:tc>
              <w:tc>
                <w:tcPr>
                  <w:tcW w:w="903" w:type="pct"/>
                  <w:tcBorders>
                    <w:tl2br w:val="nil"/>
                    <w:tr2bl w:val="nil"/>
                  </w:tcBorders>
                  <w:shd w:val="clear" w:color="auto" w:fill="auto"/>
                  <w:noWrap/>
                  <w:vAlign w:val="center"/>
                </w:tcPr>
                <w:p w14:paraId="564E2D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sz w:val="21"/>
                      <w:szCs w:val="21"/>
                      <w:lang w:val="en-US" w:eastAsia="zh-CN"/>
                    </w:rPr>
                    <w:t>卷材涂布机</w:t>
                  </w:r>
                </w:p>
              </w:tc>
              <w:tc>
                <w:tcPr>
                  <w:tcW w:w="1386" w:type="pct"/>
                  <w:tcBorders>
                    <w:tl2br w:val="nil"/>
                    <w:tr2bl w:val="nil"/>
                  </w:tcBorders>
                  <w:shd w:val="clear" w:color="auto" w:fill="auto"/>
                  <w:noWrap/>
                  <w:vAlign w:val="center"/>
                </w:tcPr>
                <w:p w14:paraId="1ED60A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sz w:val="21"/>
                      <w:szCs w:val="21"/>
                      <w:lang w:val="en-US" w:eastAsia="zh-CN"/>
                    </w:rPr>
                    <w:t>非标定制</w:t>
                  </w:r>
                </w:p>
              </w:tc>
              <w:tc>
                <w:tcPr>
                  <w:tcW w:w="301" w:type="pct"/>
                  <w:tcBorders>
                    <w:tl2br w:val="nil"/>
                    <w:tr2bl w:val="nil"/>
                  </w:tcBorders>
                  <w:shd w:val="clear" w:color="auto" w:fill="auto"/>
                  <w:noWrap/>
                  <w:vAlign w:val="center"/>
                </w:tcPr>
                <w:p w14:paraId="0CFA9D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sz w:val="21"/>
                      <w:szCs w:val="21"/>
                      <w:lang w:val="en-US" w:eastAsia="zh-CN"/>
                    </w:rPr>
                    <w:t>套</w:t>
                  </w:r>
                </w:p>
              </w:tc>
              <w:tc>
                <w:tcPr>
                  <w:tcW w:w="301" w:type="pct"/>
                  <w:tcBorders>
                    <w:tl2br w:val="nil"/>
                    <w:tr2bl w:val="nil"/>
                  </w:tcBorders>
                  <w:shd w:val="clear" w:color="auto" w:fill="auto"/>
                  <w:noWrap/>
                  <w:vAlign w:val="center"/>
                </w:tcPr>
                <w:p w14:paraId="52D552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sz w:val="21"/>
                      <w:szCs w:val="21"/>
                      <w:lang w:val="en-US" w:eastAsia="zh-CN"/>
                    </w:rPr>
                    <w:t>1</w:t>
                  </w:r>
                </w:p>
              </w:tc>
              <w:tc>
                <w:tcPr>
                  <w:tcW w:w="817" w:type="pct"/>
                  <w:tcBorders>
                    <w:tl2br w:val="nil"/>
                    <w:tr2bl w:val="nil"/>
                  </w:tcBorders>
                  <w:shd w:val="clear" w:color="auto" w:fill="auto"/>
                  <w:noWrap/>
                  <w:vAlign w:val="center"/>
                </w:tcPr>
                <w:p w14:paraId="7D6F36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涂布</w:t>
                  </w:r>
                </w:p>
              </w:tc>
              <w:tc>
                <w:tcPr>
                  <w:tcW w:w="989" w:type="pct"/>
                  <w:vMerge w:val="continue"/>
                  <w:tcBorders>
                    <w:tl2br w:val="nil"/>
                    <w:tr2bl w:val="nil"/>
                  </w:tcBorders>
                  <w:noWrap/>
                  <w:vAlign w:val="center"/>
                </w:tcPr>
                <w:p w14:paraId="08BA08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r>
            <w:tr w14:paraId="2F3A2A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tcBorders>
                    <w:tl2br w:val="nil"/>
                    <w:tr2bl w:val="nil"/>
                  </w:tcBorders>
                  <w:noWrap/>
                  <w:vAlign w:val="center"/>
                </w:tcPr>
                <w:p w14:paraId="672FDA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7</w:t>
                  </w:r>
                </w:p>
              </w:tc>
              <w:tc>
                <w:tcPr>
                  <w:tcW w:w="903" w:type="pct"/>
                  <w:tcBorders>
                    <w:tl2br w:val="nil"/>
                    <w:tr2bl w:val="nil"/>
                  </w:tcBorders>
                  <w:shd w:val="clear" w:color="auto" w:fill="auto"/>
                  <w:noWrap/>
                  <w:vAlign w:val="center"/>
                </w:tcPr>
                <w:p w14:paraId="7C4205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sz w:val="21"/>
                      <w:szCs w:val="21"/>
                      <w:lang w:val="en-US" w:eastAsia="zh-CN"/>
                    </w:rPr>
                    <w:t>五合一贴合设备</w:t>
                  </w:r>
                </w:p>
              </w:tc>
              <w:tc>
                <w:tcPr>
                  <w:tcW w:w="1386" w:type="pct"/>
                  <w:tcBorders>
                    <w:tl2br w:val="nil"/>
                    <w:tr2bl w:val="nil"/>
                  </w:tcBorders>
                  <w:shd w:val="clear" w:color="auto" w:fill="auto"/>
                  <w:noWrap/>
                  <w:vAlign w:val="center"/>
                </w:tcPr>
                <w:p w14:paraId="73E58E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kern w:val="2"/>
                      <w:sz w:val="21"/>
                      <w:szCs w:val="21"/>
                      <w:lang w:val="en-US" w:eastAsia="zh-CN" w:bidi="ar-SA"/>
                    </w:rPr>
                  </w:pPr>
                  <w:r>
                    <w:rPr>
                      <w:rFonts w:hint="default" w:ascii="Times New Roman" w:hAnsi="宋体" w:eastAsia="宋体" w:cs="Times New Roman"/>
                      <w:color w:val="auto"/>
                      <w:sz w:val="21"/>
                      <w:szCs w:val="21"/>
                      <w:lang w:val="en-US" w:eastAsia="zh-CN"/>
                    </w:rPr>
                    <w:t>DZ -FLN-0305</w:t>
                  </w:r>
                </w:p>
              </w:tc>
              <w:tc>
                <w:tcPr>
                  <w:tcW w:w="301" w:type="pct"/>
                  <w:tcBorders>
                    <w:tl2br w:val="nil"/>
                    <w:tr2bl w:val="nil"/>
                  </w:tcBorders>
                  <w:shd w:val="clear" w:color="auto" w:fill="auto"/>
                  <w:noWrap/>
                  <w:vAlign w:val="center"/>
                </w:tcPr>
                <w:p w14:paraId="17D1C1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sz w:val="21"/>
                      <w:szCs w:val="21"/>
                      <w:lang w:val="en-US" w:eastAsia="zh-CN"/>
                    </w:rPr>
                    <w:t>套</w:t>
                  </w:r>
                </w:p>
              </w:tc>
              <w:tc>
                <w:tcPr>
                  <w:tcW w:w="301" w:type="pct"/>
                  <w:tcBorders>
                    <w:tl2br w:val="nil"/>
                    <w:tr2bl w:val="nil"/>
                  </w:tcBorders>
                  <w:shd w:val="clear" w:color="auto" w:fill="auto"/>
                  <w:noWrap/>
                  <w:vAlign w:val="center"/>
                </w:tcPr>
                <w:p w14:paraId="110FF3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sz w:val="21"/>
                      <w:szCs w:val="21"/>
                      <w:lang w:val="en-US" w:eastAsia="zh-CN"/>
                    </w:rPr>
                    <w:t>1</w:t>
                  </w:r>
                </w:p>
              </w:tc>
              <w:tc>
                <w:tcPr>
                  <w:tcW w:w="817" w:type="pct"/>
                  <w:tcBorders>
                    <w:tl2br w:val="nil"/>
                    <w:tr2bl w:val="nil"/>
                  </w:tcBorders>
                  <w:shd w:val="clear" w:color="auto" w:fill="auto"/>
                  <w:noWrap/>
                  <w:vAlign w:val="center"/>
                </w:tcPr>
                <w:p w14:paraId="431E7C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组装</w:t>
                  </w:r>
                </w:p>
              </w:tc>
              <w:tc>
                <w:tcPr>
                  <w:tcW w:w="989" w:type="pct"/>
                  <w:vMerge w:val="restart"/>
                  <w:tcBorders>
                    <w:tl2br w:val="nil"/>
                    <w:tr2bl w:val="nil"/>
                  </w:tcBorders>
                  <w:noWrap/>
                  <w:vAlign w:val="center"/>
                </w:tcPr>
                <w:p w14:paraId="3D0F26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制作膜电极及氢气泄漏检测胶带</w:t>
                  </w:r>
                </w:p>
              </w:tc>
            </w:tr>
            <w:tr w14:paraId="382208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tcBorders>
                    <w:tl2br w:val="nil"/>
                    <w:tr2bl w:val="nil"/>
                  </w:tcBorders>
                  <w:shd w:val="clear" w:color="auto" w:fill="auto"/>
                  <w:noWrap/>
                  <w:vAlign w:val="center"/>
                </w:tcPr>
                <w:p w14:paraId="657262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sz w:val="21"/>
                      <w:szCs w:val="21"/>
                      <w:lang w:val="en-US" w:eastAsia="zh-CN"/>
                    </w:rPr>
                    <w:t>8</w:t>
                  </w:r>
                </w:p>
              </w:tc>
              <w:tc>
                <w:tcPr>
                  <w:tcW w:w="903" w:type="pct"/>
                  <w:tcBorders>
                    <w:tl2br w:val="nil"/>
                    <w:tr2bl w:val="nil"/>
                  </w:tcBorders>
                  <w:shd w:val="clear" w:color="auto" w:fill="auto"/>
                  <w:noWrap/>
                  <w:vAlign w:val="center"/>
                </w:tcPr>
                <w:p w14:paraId="78F334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sz w:val="21"/>
                      <w:szCs w:val="21"/>
                      <w:lang w:val="en-US" w:eastAsia="zh-CN"/>
                    </w:rPr>
                    <w:t>七合一贴合设备</w:t>
                  </w:r>
                </w:p>
              </w:tc>
              <w:tc>
                <w:tcPr>
                  <w:tcW w:w="1386" w:type="pct"/>
                  <w:tcBorders>
                    <w:tl2br w:val="nil"/>
                    <w:tr2bl w:val="nil"/>
                  </w:tcBorders>
                  <w:shd w:val="clear" w:color="auto" w:fill="auto"/>
                  <w:noWrap/>
                  <w:vAlign w:val="center"/>
                </w:tcPr>
                <w:p w14:paraId="34EF76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kern w:val="2"/>
                      <w:sz w:val="21"/>
                      <w:szCs w:val="21"/>
                      <w:lang w:val="en-US" w:eastAsia="zh-CN" w:bidi="ar-SA"/>
                    </w:rPr>
                  </w:pPr>
                  <w:r>
                    <w:rPr>
                      <w:rFonts w:hint="default" w:ascii="Times New Roman" w:hAnsi="宋体" w:eastAsia="宋体" w:cs="Times New Roman"/>
                      <w:color w:val="auto"/>
                      <w:sz w:val="21"/>
                      <w:szCs w:val="21"/>
                      <w:lang w:val="en-US" w:eastAsia="zh-CN"/>
                    </w:rPr>
                    <w:t>DZ -FLP-0305</w:t>
                  </w:r>
                </w:p>
              </w:tc>
              <w:tc>
                <w:tcPr>
                  <w:tcW w:w="301" w:type="pct"/>
                  <w:tcBorders>
                    <w:tl2br w:val="nil"/>
                    <w:tr2bl w:val="nil"/>
                  </w:tcBorders>
                  <w:shd w:val="clear" w:color="auto" w:fill="auto"/>
                  <w:noWrap/>
                  <w:vAlign w:val="center"/>
                </w:tcPr>
                <w:p w14:paraId="5516CB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sz w:val="21"/>
                      <w:szCs w:val="21"/>
                      <w:lang w:val="en-US" w:eastAsia="zh-CN"/>
                    </w:rPr>
                    <w:t>套</w:t>
                  </w:r>
                </w:p>
              </w:tc>
              <w:tc>
                <w:tcPr>
                  <w:tcW w:w="301" w:type="pct"/>
                  <w:tcBorders>
                    <w:tl2br w:val="nil"/>
                    <w:tr2bl w:val="nil"/>
                  </w:tcBorders>
                  <w:shd w:val="clear" w:color="auto" w:fill="auto"/>
                  <w:noWrap/>
                  <w:vAlign w:val="center"/>
                </w:tcPr>
                <w:p w14:paraId="172ED6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sz w:val="21"/>
                      <w:szCs w:val="21"/>
                      <w:lang w:val="en-US" w:eastAsia="zh-CN"/>
                    </w:rPr>
                    <w:t>1</w:t>
                  </w:r>
                </w:p>
              </w:tc>
              <w:tc>
                <w:tcPr>
                  <w:tcW w:w="817" w:type="pct"/>
                  <w:tcBorders>
                    <w:tl2br w:val="nil"/>
                    <w:tr2bl w:val="nil"/>
                  </w:tcBorders>
                  <w:shd w:val="clear" w:color="auto" w:fill="auto"/>
                  <w:noWrap/>
                  <w:vAlign w:val="center"/>
                </w:tcPr>
                <w:p w14:paraId="41C16E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组装</w:t>
                  </w:r>
                </w:p>
              </w:tc>
              <w:tc>
                <w:tcPr>
                  <w:tcW w:w="989" w:type="pct"/>
                  <w:vMerge w:val="continue"/>
                  <w:tcBorders>
                    <w:tl2br w:val="nil"/>
                    <w:tr2bl w:val="nil"/>
                  </w:tcBorders>
                  <w:shd w:val="clear" w:color="auto" w:fill="auto"/>
                  <w:noWrap/>
                  <w:vAlign w:val="center"/>
                </w:tcPr>
                <w:p w14:paraId="34326E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r>
            <w:tr w14:paraId="2EF83B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tcBorders>
                    <w:tl2br w:val="nil"/>
                    <w:tr2bl w:val="nil"/>
                  </w:tcBorders>
                  <w:shd w:val="clear" w:color="auto" w:fill="auto"/>
                  <w:noWrap/>
                  <w:vAlign w:val="center"/>
                </w:tcPr>
                <w:p w14:paraId="0290F2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sz w:val="21"/>
                      <w:szCs w:val="21"/>
                      <w:lang w:val="en-US" w:eastAsia="zh-CN"/>
                    </w:rPr>
                    <w:t>9</w:t>
                  </w:r>
                </w:p>
              </w:tc>
              <w:tc>
                <w:tcPr>
                  <w:tcW w:w="903" w:type="pct"/>
                  <w:tcBorders>
                    <w:tl2br w:val="nil"/>
                    <w:tr2bl w:val="nil"/>
                  </w:tcBorders>
                  <w:noWrap/>
                  <w:vAlign w:val="center"/>
                </w:tcPr>
                <w:p w14:paraId="690E87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鼓风干燥箱</w:t>
                  </w:r>
                </w:p>
              </w:tc>
              <w:tc>
                <w:tcPr>
                  <w:tcW w:w="1386" w:type="pct"/>
                  <w:tcBorders>
                    <w:tl2br w:val="nil"/>
                    <w:tr2bl w:val="nil"/>
                  </w:tcBorders>
                  <w:noWrap/>
                  <w:vAlign w:val="center"/>
                </w:tcPr>
                <w:p w14:paraId="76A7AA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LC-101-3B</w:t>
                  </w:r>
                </w:p>
              </w:tc>
              <w:tc>
                <w:tcPr>
                  <w:tcW w:w="301" w:type="pct"/>
                  <w:tcBorders>
                    <w:tl2br w:val="nil"/>
                    <w:tr2bl w:val="nil"/>
                  </w:tcBorders>
                  <w:noWrap/>
                  <w:vAlign w:val="center"/>
                </w:tcPr>
                <w:p w14:paraId="4CAF29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台</w:t>
                  </w:r>
                </w:p>
              </w:tc>
              <w:tc>
                <w:tcPr>
                  <w:tcW w:w="301" w:type="pct"/>
                  <w:tcBorders>
                    <w:tl2br w:val="nil"/>
                    <w:tr2bl w:val="nil"/>
                  </w:tcBorders>
                  <w:noWrap/>
                  <w:vAlign w:val="center"/>
                </w:tcPr>
                <w:p w14:paraId="2898C6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1</w:t>
                  </w:r>
                </w:p>
              </w:tc>
              <w:tc>
                <w:tcPr>
                  <w:tcW w:w="817" w:type="pct"/>
                  <w:tcBorders>
                    <w:tl2br w:val="nil"/>
                    <w:tr2bl w:val="nil"/>
                  </w:tcBorders>
                  <w:noWrap/>
                  <w:vAlign w:val="center"/>
                </w:tcPr>
                <w:p w14:paraId="6A476B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烘干</w:t>
                  </w:r>
                </w:p>
              </w:tc>
              <w:tc>
                <w:tcPr>
                  <w:tcW w:w="989" w:type="pct"/>
                  <w:vMerge w:val="restart"/>
                  <w:tcBorders>
                    <w:tl2br w:val="nil"/>
                    <w:tr2bl w:val="nil"/>
                  </w:tcBorders>
                  <w:noWrap/>
                  <w:vAlign w:val="center"/>
                </w:tcPr>
                <w:p w14:paraId="74F847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r>
                    <w:rPr>
                      <w:rFonts w:hint="eastAsia"/>
                      <w:color w:val="auto"/>
                      <w:sz w:val="21"/>
                      <w:szCs w:val="21"/>
                      <w:lang w:val="en-US" w:eastAsia="zh-CN"/>
                    </w:rPr>
                    <w:t>制作氢气泄漏检测胶带</w:t>
                  </w:r>
                </w:p>
              </w:tc>
            </w:tr>
            <w:tr w14:paraId="12AEDC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tcBorders>
                    <w:tl2br w:val="nil"/>
                    <w:tr2bl w:val="nil"/>
                  </w:tcBorders>
                  <w:shd w:val="clear" w:color="auto" w:fill="auto"/>
                  <w:noWrap/>
                  <w:vAlign w:val="center"/>
                </w:tcPr>
                <w:p w14:paraId="2210B1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sz w:val="21"/>
                      <w:szCs w:val="21"/>
                      <w:lang w:val="en-US" w:eastAsia="zh-CN"/>
                    </w:rPr>
                    <w:t>10</w:t>
                  </w:r>
                </w:p>
              </w:tc>
              <w:tc>
                <w:tcPr>
                  <w:tcW w:w="903" w:type="pct"/>
                  <w:tcBorders>
                    <w:tl2br w:val="nil"/>
                    <w:tr2bl w:val="nil"/>
                  </w:tcBorders>
                  <w:noWrap/>
                  <w:vAlign w:val="center"/>
                </w:tcPr>
                <w:p w14:paraId="2FE142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顶置搅拌机</w:t>
                  </w:r>
                </w:p>
              </w:tc>
              <w:tc>
                <w:tcPr>
                  <w:tcW w:w="1386" w:type="pct"/>
                  <w:tcBorders>
                    <w:tl2br w:val="nil"/>
                    <w:tr2bl w:val="nil"/>
                  </w:tcBorders>
                  <w:noWrap/>
                  <w:vAlign w:val="center"/>
                </w:tcPr>
                <w:p w14:paraId="07C7F6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LCS-OS-60N Pro</w:t>
                  </w:r>
                </w:p>
              </w:tc>
              <w:tc>
                <w:tcPr>
                  <w:tcW w:w="301" w:type="pct"/>
                  <w:tcBorders>
                    <w:tl2br w:val="nil"/>
                    <w:tr2bl w:val="nil"/>
                  </w:tcBorders>
                  <w:noWrap/>
                  <w:vAlign w:val="center"/>
                </w:tcPr>
                <w:p w14:paraId="57BBCE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台</w:t>
                  </w:r>
                </w:p>
              </w:tc>
              <w:tc>
                <w:tcPr>
                  <w:tcW w:w="301" w:type="pct"/>
                  <w:tcBorders>
                    <w:tl2br w:val="nil"/>
                    <w:tr2bl w:val="nil"/>
                  </w:tcBorders>
                  <w:noWrap/>
                  <w:vAlign w:val="center"/>
                </w:tcPr>
                <w:p w14:paraId="1446F3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1</w:t>
                  </w:r>
                </w:p>
              </w:tc>
              <w:tc>
                <w:tcPr>
                  <w:tcW w:w="817" w:type="pct"/>
                  <w:tcBorders>
                    <w:tl2br w:val="nil"/>
                    <w:tr2bl w:val="nil"/>
                  </w:tcBorders>
                  <w:noWrap/>
                  <w:vAlign w:val="center"/>
                </w:tcPr>
                <w:p w14:paraId="54D3B3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搅拌</w:t>
                  </w:r>
                </w:p>
              </w:tc>
              <w:tc>
                <w:tcPr>
                  <w:tcW w:w="989" w:type="pct"/>
                  <w:vMerge w:val="continue"/>
                  <w:tcBorders>
                    <w:tl2br w:val="nil"/>
                    <w:tr2bl w:val="nil"/>
                  </w:tcBorders>
                  <w:noWrap/>
                  <w:vAlign w:val="center"/>
                </w:tcPr>
                <w:p w14:paraId="2E6FCD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p>
              </w:tc>
            </w:tr>
            <w:tr w14:paraId="5AA242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tcBorders>
                    <w:tl2br w:val="nil"/>
                    <w:tr2bl w:val="nil"/>
                  </w:tcBorders>
                  <w:shd w:val="clear" w:color="auto" w:fill="auto"/>
                  <w:noWrap/>
                  <w:vAlign w:val="center"/>
                </w:tcPr>
                <w:p w14:paraId="1D931A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sz w:val="21"/>
                      <w:szCs w:val="21"/>
                      <w:lang w:val="en-US" w:eastAsia="zh-CN"/>
                    </w:rPr>
                    <w:t>11</w:t>
                  </w:r>
                </w:p>
              </w:tc>
              <w:tc>
                <w:tcPr>
                  <w:tcW w:w="903" w:type="pct"/>
                  <w:tcBorders>
                    <w:tl2br w:val="nil"/>
                    <w:tr2bl w:val="nil"/>
                  </w:tcBorders>
                  <w:noWrap/>
                  <w:vAlign w:val="center"/>
                </w:tcPr>
                <w:p w14:paraId="27A2C8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砂浆研磨机</w:t>
                  </w:r>
                </w:p>
              </w:tc>
              <w:tc>
                <w:tcPr>
                  <w:tcW w:w="1386" w:type="pct"/>
                  <w:tcBorders>
                    <w:tl2br w:val="nil"/>
                    <w:tr2bl w:val="nil"/>
                  </w:tcBorders>
                  <w:noWrap/>
                  <w:vAlign w:val="center"/>
                </w:tcPr>
                <w:p w14:paraId="550EB2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MG200</w:t>
                  </w:r>
                </w:p>
              </w:tc>
              <w:tc>
                <w:tcPr>
                  <w:tcW w:w="301" w:type="pct"/>
                  <w:tcBorders>
                    <w:tl2br w:val="nil"/>
                    <w:tr2bl w:val="nil"/>
                  </w:tcBorders>
                  <w:noWrap/>
                  <w:vAlign w:val="center"/>
                </w:tcPr>
                <w:p w14:paraId="71B8AF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台</w:t>
                  </w:r>
                </w:p>
              </w:tc>
              <w:tc>
                <w:tcPr>
                  <w:tcW w:w="301" w:type="pct"/>
                  <w:tcBorders>
                    <w:tl2br w:val="nil"/>
                    <w:tr2bl w:val="nil"/>
                  </w:tcBorders>
                  <w:noWrap/>
                  <w:vAlign w:val="center"/>
                </w:tcPr>
                <w:p w14:paraId="69A608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1</w:t>
                  </w:r>
                </w:p>
              </w:tc>
              <w:tc>
                <w:tcPr>
                  <w:tcW w:w="817" w:type="pct"/>
                  <w:tcBorders>
                    <w:tl2br w:val="nil"/>
                    <w:tr2bl w:val="nil"/>
                  </w:tcBorders>
                  <w:noWrap/>
                  <w:vAlign w:val="center"/>
                </w:tcPr>
                <w:p w14:paraId="46DF28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研磨</w:t>
                  </w:r>
                </w:p>
              </w:tc>
              <w:tc>
                <w:tcPr>
                  <w:tcW w:w="989" w:type="pct"/>
                  <w:vMerge w:val="continue"/>
                  <w:tcBorders>
                    <w:tl2br w:val="nil"/>
                    <w:tr2bl w:val="nil"/>
                  </w:tcBorders>
                  <w:noWrap/>
                  <w:vAlign w:val="center"/>
                </w:tcPr>
                <w:p w14:paraId="48093B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p>
              </w:tc>
            </w:tr>
            <w:tr w14:paraId="6CA0E9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tcBorders>
                    <w:tl2br w:val="nil"/>
                    <w:tr2bl w:val="nil"/>
                  </w:tcBorders>
                  <w:shd w:val="clear" w:color="auto" w:fill="auto"/>
                  <w:noWrap/>
                  <w:vAlign w:val="center"/>
                </w:tcPr>
                <w:p w14:paraId="7CE19E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sz w:val="21"/>
                      <w:szCs w:val="21"/>
                      <w:lang w:val="en-US" w:eastAsia="zh-CN"/>
                    </w:rPr>
                    <w:t>12</w:t>
                  </w:r>
                </w:p>
              </w:tc>
              <w:tc>
                <w:tcPr>
                  <w:tcW w:w="903" w:type="pct"/>
                  <w:tcBorders>
                    <w:tl2br w:val="nil"/>
                    <w:tr2bl w:val="nil"/>
                  </w:tcBorders>
                  <w:noWrap/>
                  <w:vAlign w:val="center"/>
                </w:tcPr>
                <w:p w14:paraId="11A58F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工业离心机</w:t>
                  </w:r>
                </w:p>
              </w:tc>
              <w:tc>
                <w:tcPr>
                  <w:tcW w:w="1386" w:type="pct"/>
                  <w:tcBorders>
                    <w:tl2br w:val="nil"/>
                    <w:tr2bl w:val="nil"/>
                  </w:tcBorders>
                  <w:noWrap/>
                  <w:vAlign w:val="center"/>
                </w:tcPr>
                <w:p w14:paraId="02A2BE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Pro2515</w:t>
                  </w:r>
                </w:p>
              </w:tc>
              <w:tc>
                <w:tcPr>
                  <w:tcW w:w="301" w:type="pct"/>
                  <w:tcBorders>
                    <w:tl2br w:val="nil"/>
                    <w:tr2bl w:val="nil"/>
                  </w:tcBorders>
                  <w:noWrap/>
                  <w:vAlign w:val="center"/>
                </w:tcPr>
                <w:p w14:paraId="5C9862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台</w:t>
                  </w:r>
                </w:p>
              </w:tc>
              <w:tc>
                <w:tcPr>
                  <w:tcW w:w="301" w:type="pct"/>
                  <w:tcBorders>
                    <w:tl2br w:val="nil"/>
                    <w:tr2bl w:val="nil"/>
                  </w:tcBorders>
                  <w:noWrap/>
                  <w:vAlign w:val="center"/>
                </w:tcPr>
                <w:p w14:paraId="1A9AB1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1</w:t>
                  </w:r>
                </w:p>
              </w:tc>
              <w:tc>
                <w:tcPr>
                  <w:tcW w:w="817" w:type="pct"/>
                  <w:tcBorders>
                    <w:tl2br w:val="nil"/>
                    <w:tr2bl w:val="nil"/>
                  </w:tcBorders>
                  <w:noWrap/>
                  <w:vAlign w:val="center"/>
                </w:tcPr>
                <w:p w14:paraId="005145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离心</w:t>
                  </w:r>
                </w:p>
              </w:tc>
              <w:tc>
                <w:tcPr>
                  <w:tcW w:w="989" w:type="pct"/>
                  <w:vMerge w:val="continue"/>
                  <w:tcBorders>
                    <w:tl2br w:val="nil"/>
                    <w:tr2bl w:val="nil"/>
                  </w:tcBorders>
                  <w:noWrap/>
                  <w:vAlign w:val="center"/>
                </w:tcPr>
                <w:p w14:paraId="2BFA1F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p>
              </w:tc>
            </w:tr>
            <w:tr w14:paraId="5C0764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tcBorders>
                    <w:tl2br w:val="nil"/>
                    <w:tr2bl w:val="nil"/>
                  </w:tcBorders>
                  <w:shd w:val="clear" w:color="auto" w:fill="auto"/>
                  <w:noWrap/>
                  <w:vAlign w:val="center"/>
                </w:tcPr>
                <w:p w14:paraId="581A48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sz w:val="21"/>
                      <w:szCs w:val="21"/>
                      <w:lang w:val="en-US" w:eastAsia="zh-CN"/>
                    </w:rPr>
                    <w:t>13</w:t>
                  </w:r>
                </w:p>
              </w:tc>
              <w:tc>
                <w:tcPr>
                  <w:tcW w:w="903" w:type="pct"/>
                  <w:tcBorders>
                    <w:tl2br w:val="nil"/>
                    <w:tr2bl w:val="nil"/>
                  </w:tcBorders>
                  <w:noWrap/>
                  <w:vAlign w:val="center"/>
                </w:tcPr>
                <w:p w14:paraId="5A5CC6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恒温恒湿箱</w:t>
                  </w:r>
                </w:p>
              </w:tc>
              <w:tc>
                <w:tcPr>
                  <w:tcW w:w="1386" w:type="pct"/>
                  <w:tcBorders>
                    <w:tl2br w:val="nil"/>
                    <w:tr2bl w:val="nil"/>
                  </w:tcBorders>
                  <w:noWrap/>
                  <w:vAlign w:val="center"/>
                </w:tcPr>
                <w:p w14:paraId="3EF05B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ZH-ATH-80D</w:t>
                  </w:r>
                </w:p>
              </w:tc>
              <w:tc>
                <w:tcPr>
                  <w:tcW w:w="301" w:type="pct"/>
                  <w:tcBorders>
                    <w:tl2br w:val="nil"/>
                    <w:tr2bl w:val="nil"/>
                  </w:tcBorders>
                  <w:noWrap/>
                  <w:vAlign w:val="center"/>
                </w:tcPr>
                <w:p w14:paraId="283AEB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台</w:t>
                  </w:r>
                </w:p>
              </w:tc>
              <w:tc>
                <w:tcPr>
                  <w:tcW w:w="301" w:type="pct"/>
                  <w:tcBorders>
                    <w:tl2br w:val="nil"/>
                    <w:tr2bl w:val="nil"/>
                  </w:tcBorders>
                  <w:noWrap/>
                  <w:vAlign w:val="center"/>
                </w:tcPr>
                <w:p w14:paraId="7D5A99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1</w:t>
                  </w:r>
                </w:p>
              </w:tc>
              <w:tc>
                <w:tcPr>
                  <w:tcW w:w="817" w:type="pct"/>
                  <w:tcBorders>
                    <w:tl2br w:val="nil"/>
                    <w:tr2bl w:val="nil"/>
                  </w:tcBorders>
                  <w:noWrap/>
                  <w:vAlign w:val="center"/>
                </w:tcPr>
                <w:p w14:paraId="1C7443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保持恒温恒湿状态</w:t>
                  </w:r>
                </w:p>
              </w:tc>
              <w:tc>
                <w:tcPr>
                  <w:tcW w:w="989" w:type="pct"/>
                  <w:vMerge w:val="continue"/>
                  <w:tcBorders>
                    <w:tl2br w:val="nil"/>
                    <w:tr2bl w:val="nil"/>
                  </w:tcBorders>
                  <w:noWrap/>
                  <w:vAlign w:val="center"/>
                </w:tcPr>
                <w:p w14:paraId="580D4A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p>
              </w:tc>
            </w:tr>
            <w:tr w14:paraId="634E5B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tcBorders>
                    <w:tl2br w:val="nil"/>
                    <w:tr2bl w:val="nil"/>
                  </w:tcBorders>
                  <w:shd w:val="clear" w:color="auto" w:fill="auto"/>
                  <w:noWrap/>
                  <w:vAlign w:val="center"/>
                </w:tcPr>
                <w:p w14:paraId="52E8CD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sz w:val="21"/>
                      <w:szCs w:val="21"/>
                      <w:lang w:val="en-US" w:eastAsia="zh-CN"/>
                    </w:rPr>
                    <w:t>14</w:t>
                  </w:r>
                </w:p>
              </w:tc>
              <w:tc>
                <w:tcPr>
                  <w:tcW w:w="903" w:type="pct"/>
                  <w:tcBorders>
                    <w:tl2br w:val="nil"/>
                    <w:tr2bl w:val="nil"/>
                  </w:tcBorders>
                  <w:noWrap/>
                  <w:vAlign w:val="center"/>
                </w:tcPr>
                <w:p w14:paraId="3E4E39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超纯水机</w:t>
                  </w:r>
                </w:p>
              </w:tc>
              <w:tc>
                <w:tcPr>
                  <w:tcW w:w="1386" w:type="pct"/>
                  <w:tcBorders>
                    <w:tl2br w:val="nil"/>
                    <w:tr2bl w:val="nil"/>
                  </w:tcBorders>
                  <w:noWrap/>
                  <w:vAlign w:val="center"/>
                </w:tcPr>
                <w:p w14:paraId="506A65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CJ-A05</w:t>
                  </w:r>
                </w:p>
              </w:tc>
              <w:tc>
                <w:tcPr>
                  <w:tcW w:w="301" w:type="pct"/>
                  <w:tcBorders>
                    <w:tl2br w:val="nil"/>
                    <w:tr2bl w:val="nil"/>
                  </w:tcBorders>
                  <w:noWrap/>
                  <w:vAlign w:val="center"/>
                </w:tcPr>
                <w:p w14:paraId="24AE10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台</w:t>
                  </w:r>
                </w:p>
              </w:tc>
              <w:tc>
                <w:tcPr>
                  <w:tcW w:w="301" w:type="pct"/>
                  <w:tcBorders>
                    <w:tl2br w:val="nil"/>
                    <w:tr2bl w:val="nil"/>
                  </w:tcBorders>
                  <w:noWrap/>
                  <w:vAlign w:val="center"/>
                </w:tcPr>
                <w:p w14:paraId="52ACDD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1</w:t>
                  </w:r>
                </w:p>
              </w:tc>
              <w:tc>
                <w:tcPr>
                  <w:tcW w:w="817" w:type="pct"/>
                  <w:tcBorders>
                    <w:tl2br w:val="nil"/>
                    <w:tr2bl w:val="nil"/>
                  </w:tcBorders>
                  <w:noWrap/>
                  <w:vAlign w:val="center"/>
                </w:tcPr>
                <w:p w14:paraId="5C5752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制备纯水</w:t>
                  </w:r>
                </w:p>
              </w:tc>
              <w:tc>
                <w:tcPr>
                  <w:tcW w:w="989" w:type="pct"/>
                  <w:vMerge w:val="continue"/>
                  <w:tcBorders>
                    <w:tl2br w:val="nil"/>
                    <w:tr2bl w:val="nil"/>
                  </w:tcBorders>
                  <w:noWrap/>
                  <w:vAlign w:val="center"/>
                </w:tcPr>
                <w:p w14:paraId="2A07A5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p>
              </w:tc>
            </w:tr>
            <w:tr w14:paraId="4DC39D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tcBorders>
                    <w:tl2br w:val="nil"/>
                    <w:tr2bl w:val="nil"/>
                  </w:tcBorders>
                  <w:shd w:val="clear" w:color="auto" w:fill="auto"/>
                  <w:noWrap/>
                  <w:vAlign w:val="center"/>
                </w:tcPr>
                <w:p w14:paraId="65B35B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sz w:val="21"/>
                      <w:szCs w:val="21"/>
                      <w:lang w:val="en-US" w:eastAsia="zh-CN"/>
                    </w:rPr>
                    <w:t>15</w:t>
                  </w:r>
                </w:p>
              </w:tc>
              <w:tc>
                <w:tcPr>
                  <w:tcW w:w="903" w:type="pct"/>
                  <w:tcBorders>
                    <w:tl2br w:val="nil"/>
                    <w:tr2bl w:val="nil"/>
                  </w:tcBorders>
                  <w:noWrap/>
                  <w:vAlign w:val="center"/>
                </w:tcPr>
                <w:p w14:paraId="4BCFA8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真空干燥箱</w:t>
                  </w:r>
                </w:p>
              </w:tc>
              <w:tc>
                <w:tcPr>
                  <w:tcW w:w="1386" w:type="pct"/>
                  <w:tcBorders>
                    <w:tl2br w:val="nil"/>
                    <w:tr2bl w:val="nil"/>
                  </w:tcBorders>
                  <w:noWrap/>
                  <w:vAlign w:val="center"/>
                </w:tcPr>
                <w:p w14:paraId="553D88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LC-DZF-6210AB</w:t>
                  </w:r>
                </w:p>
              </w:tc>
              <w:tc>
                <w:tcPr>
                  <w:tcW w:w="301" w:type="pct"/>
                  <w:tcBorders>
                    <w:tl2br w:val="nil"/>
                    <w:tr2bl w:val="nil"/>
                  </w:tcBorders>
                  <w:noWrap/>
                  <w:vAlign w:val="center"/>
                </w:tcPr>
                <w:p w14:paraId="5EA914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台</w:t>
                  </w:r>
                </w:p>
              </w:tc>
              <w:tc>
                <w:tcPr>
                  <w:tcW w:w="301" w:type="pct"/>
                  <w:tcBorders>
                    <w:tl2br w:val="nil"/>
                    <w:tr2bl w:val="nil"/>
                  </w:tcBorders>
                  <w:noWrap/>
                  <w:vAlign w:val="center"/>
                </w:tcPr>
                <w:p w14:paraId="5F0412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1</w:t>
                  </w:r>
                </w:p>
              </w:tc>
              <w:tc>
                <w:tcPr>
                  <w:tcW w:w="817" w:type="pct"/>
                  <w:tcBorders>
                    <w:tl2br w:val="nil"/>
                    <w:tr2bl w:val="nil"/>
                  </w:tcBorders>
                  <w:noWrap/>
                  <w:vAlign w:val="center"/>
                </w:tcPr>
                <w:p w14:paraId="7EFBD2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烘干</w:t>
                  </w:r>
                </w:p>
              </w:tc>
              <w:tc>
                <w:tcPr>
                  <w:tcW w:w="989" w:type="pct"/>
                  <w:vMerge w:val="continue"/>
                  <w:tcBorders>
                    <w:tl2br w:val="nil"/>
                    <w:tr2bl w:val="nil"/>
                  </w:tcBorders>
                  <w:noWrap/>
                  <w:vAlign w:val="center"/>
                </w:tcPr>
                <w:p w14:paraId="269775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p>
              </w:tc>
            </w:tr>
            <w:tr w14:paraId="3FB587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tcBorders>
                    <w:tl2br w:val="nil"/>
                    <w:tr2bl w:val="nil"/>
                  </w:tcBorders>
                  <w:shd w:val="clear" w:color="auto" w:fill="auto"/>
                  <w:noWrap/>
                  <w:vAlign w:val="center"/>
                </w:tcPr>
                <w:p w14:paraId="18D96C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sz w:val="21"/>
                      <w:szCs w:val="21"/>
                      <w:lang w:val="en-US" w:eastAsia="zh-CN"/>
                    </w:rPr>
                    <w:t>16</w:t>
                  </w:r>
                </w:p>
              </w:tc>
              <w:tc>
                <w:tcPr>
                  <w:tcW w:w="903" w:type="pct"/>
                  <w:tcBorders>
                    <w:tl2br w:val="nil"/>
                    <w:tr2bl w:val="nil"/>
                  </w:tcBorders>
                  <w:noWrap/>
                  <w:vAlign w:val="center"/>
                </w:tcPr>
                <w:p w14:paraId="1A3A23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超声波清洗机</w:t>
                  </w:r>
                </w:p>
              </w:tc>
              <w:tc>
                <w:tcPr>
                  <w:tcW w:w="1386" w:type="pct"/>
                  <w:tcBorders>
                    <w:tl2br w:val="nil"/>
                    <w:tr2bl w:val="nil"/>
                  </w:tcBorders>
                  <w:noWrap/>
                  <w:vAlign w:val="center"/>
                </w:tcPr>
                <w:p w14:paraId="736F8A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CJ-180ST</w:t>
                  </w:r>
                </w:p>
              </w:tc>
              <w:tc>
                <w:tcPr>
                  <w:tcW w:w="301" w:type="pct"/>
                  <w:tcBorders>
                    <w:tl2br w:val="nil"/>
                    <w:tr2bl w:val="nil"/>
                  </w:tcBorders>
                  <w:noWrap/>
                  <w:vAlign w:val="center"/>
                </w:tcPr>
                <w:p w14:paraId="017F27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台</w:t>
                  </w:r>
                </w:p>
              </w:tc>
              <w:tc>
                <w:tcPr>
                  <w:tcW w:w="301" w:type="pct"/>
                  <w:tcBorders>
                    <w:tl2br w:val="nil"/>
                    <w:tr2bl w:val="nil"/>
                  </w:tcBorders>
                  <w:noWrap/>
                  <w:vAlign w:val="center"/>
                </w:tcPr>
                <w:p w14:paraId="1EBDD9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1</w:t>
                  </w:r>
                </w:p>
              </w:tc>
              <w:tc>
                <w:tcPr>
                  <w:tcW w:w="817" w:type="pct"/>
                  <w:tcBorders>
                    <w:tl2br w:val="nil"/>
                    <w:tr2bl w:val="nil"/>
                  </w:tcBorders>
                  <w:noWrap/>
                  <w:vAlign w:val="center"/>
                </w:tcPr>
                <w:p w14:paraId="1ABE8A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超声</w:t>
                  </w:r>
                </w:p>
              </w:tc>
              <w:tc>
                <w:tcPr>
                  <w:tcW w:w="989" w:type="pct"/>
                  <w:vMerge w:val="continue"/>
                  <w:tcBorders>
                    <w:tl2br w:val="nil"/>
                    <w:tr2bl w:val="nil"/>
                  </w:tcBorders>
                  <w:noWrap/>
                  <w:vAlign w:val="center"/>
                </w:tcPr>
                <w:p w14:paraId="0CBFD1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p>
              </w:tc>
            </w:tr>
            <w:tr w14:paraId="12ADCB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tcBorders>
                    <w:tl2br w:val="nil"/>
                    <w:tr2bl w:val="nil"/>
                  </w:tcBorders>
                  <w:shd w:val="clear" w:color="auto" w:fill="auto"/>
                  <w:noWrap/>
                  <w:vAlign w:val="center"/>
                </w:tcPr>
                <w:p w14:paraId="0074CB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kern w:val="2"/>
                      <w:sz w:val="21"/>
                      <w:szCs w:val="21"/>
                      <w:lang w:val="en-US" w:eastAsia="zh-CN" w:bidi="ar-SA"/>
                    </w:rPr>
                  </w:pPr>
                  <w:r>
                    <w:rPr>
                      <w:rFonts w:hint="eastAsia" w:hAnsi="宋体" w:cs="Times New Roman"/>
                      <w:color w:val="auto"/>
                      <w:kern w:val="2"/>
                      <w:sz w:val="21"/>
                      <w:szCs w:val="21"/>
                      <w:lang w:val="en-US" w:eastAsia="zh-CN" w:bidi="ar-SA"/>
                    </w:rPr>
                    <w:t>17</w:t>
                  </w:r>
                </w:p>
              </w:tc>
              <w:tc>
                <w:tcPr>
                  <w:tcW w:w="903" w:type="pct"/>
                  <w:tcBorders>
                    <w:tl2br w:val="nil"/>
                    <w:tr2bl w:val="nil"/>
                  </w:tcBorders>
                  <w:shd w:val="clear" w:color="auto" w:fill="FFFFFF"/>
                  <w:noWrap/>
                  <w:vAlign w:val="center"/>
                </w:tcPr>
                <w:p w14:paraId="3FC751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四联磁力搅拌器</w:t>
                  </w:r>
                </w:p>
              </w:tc>
              <w:tc>
                <w:tcPr>
                  <w:tcW w:w="1386" w:type="pct"/>
                  <w:tcBorders>
                    <w:tl2br w:val="nil"/>
                    <w:tr2bl w:val="nil"/>
                  </w:tcBorders>
                  <w:shd w:val="clear" w:color="auto" w:fill="FFFFFF"/>
                  <w:noWrap/>
                  <w:vAlign w:val="center"/>
                </w:tcPr>
                <w:p w14:paraId="22C740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TP-4</w:t>
                  </w:r>
                </w:p>
              </w:tc>
              <w:tc>
                <w:tcPr>
                  <w:tcW w:w="301" w:type="pct"/>
                  <w:tcBorders>
                    <w:tl2br w:val="nil"/>
                    <w:tr2bl w:val="nil"/>
                  </w:tcBorders>
                  <w:shd w:val="clear" w:color="auto" w:fill="FFFFFF"/>
                  <w:noWrap/>
                  <w:vAlign w:val="center"/>
                </w:tcPr>
                <w:p w14:paraId="38260B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台</w:t>
                  </w:r>
                </w:p>
              </w:tc>
              <w:tc>
                <w:tcPr>
                  <w:tcW w:w="301" w:type="pct"/>
                  <w:tcBorders>
                    <w:tl2br w:val="nil"/>
                    <w:tr2bl w:val="nil"/>
                  </w:tcBorders>
                  <w:shd w:val="clear" w:color="auto" w:fill="FFFFFF"/>
                  <w:noWrap/>
                  <w:vAlign w:val="center"/>
                </w:tcPr>
                <w:p w14:paraId="386809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1</w:t>
                  </w:r>
                </w:p>
              </w:tc>
              <w:tc>
                <w:tcPr>
                  <w:tcW w:w="817" w:type="pct"/>
                  <w:tcBorders>
                    <w:tl2br w:val="nil"/>
                    <w:tr2bl w:val="nil"/>
                  </w:tcBorders>
                  <w:shd w:val="clear" w:color="auto" w:fill="FFFFFF"/>
                  <w:noWrap/>
                  <w:vAlign w:val="center"/>
                </w:tcPr>
                <w:p w14:paraId="044710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搅拌</w:t>
                  </w:r>
                </w:p>
              </w:tc>
              <w:tc>
                <w:tcPr>
                  <w:tcW w:w="989" w:type="pct"/>
                  <w:vMerge w:val="continue"/>
                  <w:tcBorders>
                    <w:tl2br w:val="nil"/>
                    <w:tr2bl w:val="nil"/>
                  </w:tcBorders>
                  <w:shd w:val="clear" w:color="auto" w:fill="FFFFFF"/>
                  <w:noWrap/>
                  <w:vAlign w:val="center"/>
                </w:tcPr>
                <w:p w14:paraId="33B539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p>
              </w:tc>
            </w:tr>
            <w:tr w14:paraId="4E3369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tcBorders>
                    <w:tl2br w:val="nil"/>
                    <w:tr2bl w:val="nil"/>
                  </w:tcBorders>
                  <w:shd w:val="clear" w:color="auto" w:fill="auto"/>
                  <w:noWrap/>
                  <w:vAlign w:val="center"/>
                </w:tcPr>
                <w:p w14:paraId="7ED7E3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r>
                    <w:rPr>
                      <w:rFonts w:hint="eastAsia" w:hAnsi="宋体" w:cs="Times New Roman"/>
                      <w:color w:val="auto"/>
                      <w:sz w:val="21"/>
                      <w:szCs w:val="21"/>
                      <w:lang w:val="en-US" w:eastAsia="zh-CN"/>
                    </w:rPr>
                    <w:t>18</w:t>
                  </w:r>
                </w:p>
              </w:tc>
              <w:tc>
                <w:tcPr>
                  <w:tcW w:w="903" w:type="pct"/>
                  <w:tcBorders>
                    <w:tl2br w:val="nil"/>
                    <w:tr2bl w:val="nil"/>
                  </w:tcBorders>
                  <w:shd w:val="clear" w:color="auto" w:fill="FFFFFF"/>
                  <w:noWrap/>
                  <w:vAlign w:val="center"/>
                </w:tcPr>
                <w:p w14:paraId="0FD1ED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磁力搅拌器</w:t>
                  </w:r>
                </w:p>
              </w:tc>
              <w:tc>
                <w:tcPr>
                  <w:tcW w:w="1386" w:type="pct"/>
                  <w:tcBorders>
                    <w:tl2br w:val="nil"/>
                    <w:tr2bl w:val="nil"/>
                  </w:tcBorders>
                  <w:shd w:val="clear" w:color="auto" w:fill="FFFFFF"/>
                  <w:noWrap/>
                  <w:vAlign w:val="center"/>
                </w:tcPr>
                <w:p w14:paraId="29162B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SP-16</w:t>
                  </w:r>
                </w:p>
              </w:tc>
              <w:tc>
                <w:tcPr>
                  <w:tcW w:w="301" w:type="pct"/>
                  <w:tcBorders>
                    <w:tl2br w:val="nil"/>
                    <w:tr2bl w:val="nil"/>
                  </w:tcBorders>
                  <w:shd w:val="clear" w:color="auto" w:fill="FFFFFF"/>
                  <w:noWrap/>
                  <w:vAlign w:val="center"/>
                </w:tcPr>
                <w:p w14:paraId="195FF0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台</w:t>
                  </w:r>
                </w:p>
              </w:tc>
              <w:tc>
                <w:tcPr>
                  <w:tcW w:w="301" w:type="pct"/>
                  <w:tcBorders>
                    <w:tl2br w:val="nil"/>
                    <w:tr2bl w:val="nil"/>
                  </w:tcBorders>
                  <w:shd w:val="clear" w:color="auto" w:fill="FFFFFF"/>
                  <w:noWrap/>
                  <w:vAlign w:val="center"/>
                </w:tcPr>
                <w:p w14:paraId="5AAA9D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1</w:t>
                  </w:r>
                </w:p>
              </w:tc>
              <w:tc>
                <w:tcPr>
                  <w:tcW w:w="817" w:type="pct"/>
                  <w:tcBorders>
                    <w:tl2br w:val="nil"/>
                    <w:tr2bl w:val="nil"/>
                  </w:tcBorders>
                  <w:shd w:val="clear" w:color="auto" w:fill="FFFFFF"/>
                  <w:noWrap/>
                  <w:vAlign w:val="center"/>
                </w:tcPr>
                <w:p w14:paraId="39494B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搅拌</w:t>
                  </w:r>
                </w:p>
              </w:tc>
              <w:tc>
                <w:tcPr>
                  <w:tcW w:w="989" w:type="pct"/>
                  <w:vMerge w:val="continue"/>
                  <w:tcBorders>
                    <w:tl2br w:val="nil"/>
                    <w:tr2bl w:val="nil"/>
                  </w:tcBorders>
                  <w:shd w:val="clear" w:color="auto" w:fill="FFFFFF"/>
                  <w:noWrap/>
                  <w:vAlign w:val="center"/>
                </w:tcPr>
                <w:p w14:paraId="768D58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p>
              </w:tc>
            </w:tr>
            <w:tr w14:paraId="734E8C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tcBorders>
                    <w:tl2br w:val="nil"/>
                    <w:tr2bl w:val="nil"/>
                  </w:tcBorders>
                  <w:shd w:val="clear" w:color="auto" w:fill="auto"/>
                  <w:noWrap/>
                  <w:vAlign w:val="center"/>
                </w:tcPr>
                <w:p w14:paraId="324BF1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r>
                    <w:rPr>
                      <w:rFonts w:hint="eastAsia" w:hAnsi="宋体" w:cs="Times New Roman"/>
                      <w:color w:val="auto"/>
                      <w:sz w:val="21"/>
                      <w:szCs w:val="21"/>
                      <w:lang w:val="en-US" w:eastAsia="zh-CN"/>
                    </w:rPr>
                    <w:t>19</w:t>
                  </w:r>
                </w:p>
              </w:tc>
              <w:tc>
                <w:tcPr>
                  <w:tcW w:w="903" w:type="pct"/>
                  <w:tcBorders>
                    <w:tl2br w:val="nil"/>
                    <w:tr2bl w:val="nil"/>
                  </w:tcBorders>
                  <w:shd w:val="clear" w:color="auto" w:fill="FFFFFF"/>
                  <w:noWrap/>
                  <w:vAlign w:val="center"/>
                </w:tcPr>
                <w:p w14:paraId="534C98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电子天平</w:t>
                  </w:r>
                </w:p>
              </w:tc>
              <w:tc>
                <w:tcPr>
                  <w:tcW w:w="1386" w:type="pct"/>
                  <w:tcBorders>
                    <w:tl2br w:val="nil"/>
                    <w:tr2bl w:val="nil"/>
                  </w:tcBorders>
                  <w:shd w:val="clear" w:color="auto" w:fill="FFFFFF"/>
                  <w:noWrap/>
                  <w:vAlign w:val="center"/>
                </w:tcPr>
                <w:p w14:paraId="450393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LC-FA1004</w:t>
                  </w:r>
                </w:p>
              </w:tc>
              <w:tc>
                <w:tcPr>
                  <w:tcW w:w="301" w:type="pct"/>
                  <w:tcBorders>
                    <w:tl2br w:val="nil"/>
                    <w:tr2bl w:val="nil"/>
                  </w:tcBorders>
                  <w:shd w:val="clear" w:color="auto" w:fill="FFFFFF"/>
                  <w:noWrap/>
                  <w:vAlign w:val="center"/>
                </w:tcPr>
                <w:p w14:paraId="4AB19D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台</w:t>
                  </w:r>
                </w:p>
              </w:tc>
              <w:tc>
                <w:tcPr>
                  <w:tcW w:w="301" w:type="pct"/>
                  <w:tcBorders>
                    <w:tl2br w:val="nil"/>
                    <w:tr2bl w:val="nil"/>
                  </w:tcBorders>
                  <w:shd w:val="clear" w:color="auto" w:fill="FFFFFF"/>
                  <w:noWrap/>
                  <w:vAlign w:val="center"/>
                </w:tcPr>
                <w:p w14:paraId="1D7E57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1</w:t>
                  </w:r>
                </w:p>
              </w:tc>
              <w:tc>
                <w:tcPr>
                  <w:tcW w:w="817" w:type="pct"/>
                  <w:tcBorders>
                    <w:tl2br w:val="nil"/>
                    <w:tr2bl w:val="nil"/>
                  </w:tcBorders>
                  <w:shd w:val="clear" w:color="auto" w:fill="FFFFFF"/>
                  <w:noWrap/>
                  <w:vAlign w:val="center"/>
                </w:tcPr>
                <w:p w14:paraId="2E0BDC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称量</w:t>
                  </w:r>
                </w:p>
              </w:tc>
              <w:tc>
                <w:tcPr>
                  <w:tcW w:w="989" w:type="pct"/>
                  <w:vMerge w:val="continue"/>
                  <w:tcBorders>
                    <w:tl2br w:val="nil"/>
                    <w:tr2bl w:val="nil"/>
                  </w:tcBorders>
                  <w:shd w:val="clear" w:color="auto" w:fill="FFFFFF"/>
                  <w:noWrap/>
                  <w:vAlign w:val="center"/>
                </w:tcPr>
                <w:p w14:paraId="1ECDDD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p>
              </w:tc>
            </w:tr>
            <w:tr w14:paraId="797EAE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tcBorders>
                    <w:tl2br w:val="nil"/>
                    <w:tr2bl w:val="nil"/>
                  </w:tcBorders>
                  <w:shd w:val="clear" w:color="auto" w:fill="auto"/>
                  <w:noWrap/>
                  <w:vAlign w:val="center"/>
                </w:tcPr>
                <w:p w14:paraId="120E60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r>
                    <w:rPr>
                      <w:rFonts w:hint="eastAsia" w:hAnsi="宋体" w:cs="Times New Roman"/>
                      <w:color w:val="auto"/>
                      <w:sz w:val="21"/>
                      <w:szCs w:val="21"/>
                      <w:lang w:val="en-US" w:eastAsia="zh-CN"/>
                    </w:rPr>
                    <w:t>20</w:t>
                  </w:r>
                </w:p>
              </w:tc>
              <w:tc>
                <w:tcPr>
                  <w:tcW w:w="903" w:type="pct"/>
                  <w:tcBorders>
                    <w:tl2br w:val="nil"/>
                    <w:tr2bl w:val="nil"/>
                  </w:tcBorders>
                  <w:shd w:val="clear" w:color="auto" w:fill="FFFFFF"/>
                  <w:noWrap/>
                  <w:vAlign w:val="center"/>
                </w:tcPr>
                <w:p w14:paraId="3CA9AC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卷材涂布机</w:t>
                  </w:r>
                </w:p>
              </w:tc>
              <w:tc>
                <w:tcPr>
                  <w:tcW w:w="1386" w:type="pct"/>
                  <w:tcBorders>
                    <w:tl2br w:val="nil"/>
                    <w:tr2bl w:val="nil"/>
                  </w:tcBorders>
                  <w:shd w:val="clear" w:color="auto" w:fill="FFFFFF"/>
                  <w:noWrap/>
                  <w:vAlign w:val="center"/>
                </w:tcPr>
                <w:p w14:paraId="7A3AEE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非标定制</w:t>
                  </w:r>
                </w:p>
              </w:tc>
              <w:tc>
                <w:tcPr>
                  <w:tcW w:w="301" w:type="pct"/>
                  <w:tcBorders>
                    <w:tl2br w:val="nil"/>
                    <w:tr2bl w:val="nil"/>
                  </w:tcBorders>
                  <w:shd w:val="clear" w:color="auto" w:fill="FFFFFF"/>
                  <w:noWrap/>
                  <w:vAlign w:val="center"/>
                </w:tcPr>
                <w:p w14:paraId="714191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台</w:t>
                  </w:r>
                </w:p>
              </w:tc>
              <w:tc>
                <w:tcPr>
                  <w:tcW w:w="301" w:type="pct"/>
                  <w:tcBorders>
                    <w:tl2br w:val="nil"/>
                    <w:tr2bl w:val="nil"/>
                  </w:tcBorders>
                  <w:shd w:val="clear" w:color="auto" w:fill="FFFFFF"/>
                  <w:noWrap/>
                  <w:vAlign w:val="center"/>
                </w:tcPr>
                <w:p w14:paraId="475D1B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1</w:t>
                  </w:r>
                </w:p>
              </w:tc>
              <w:tc>
                <w:tcPr>
                  <w:tcW w:w="817" w:type="pct"/>
                  <w:tcBorders>
                    <w:tl2br w:val="nil"/>
                    <w:tr2bl w:val="nil"/>
                  </w:tcBorders>
                  <w:shd w:val="clear" w:color="auto" w:fill="FFFFFF"/>
                  <w:noWrap/>
                  <w:vAlign w:val="center"/>
                </w:tcPr>
                <w:p w14:paraId="1F8CC7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涂布</w:t>
                  </w:r>
                </w:p>
              </w:tc>
              <w:tc>
                <w:tcPr>
                  <w:tcW w:w="989" w:type="pct"/>
                  <w:vMerge w:val="continue"/>
                  <w:tcBorders>
                    <w:tl2br w:val="nil"/>
                    <w:tr2bl w:val="nil"/>
                  </w:tcBorders>
                  <w:shd w:val="clear" w:color="auto" w:fill="FFFFFF"/>
                  <w:noWrap/>
                  <w:vAlign w:val="center"/>
                </w:tcPr>
                <w:p w14:paraId="6DA962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p>
              </w:tc>
            </w:tr>
            <w:tr w14:paraId="4DCCDD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tcBorders>
                    <w:tl2br w:val="nil"/>
                    <w:tr2bl w:val="nil"/>
                  </w:tcBorders>
                  <w:shd w:val="clear" w:color="auto" w:fill="auto"/>
                  <w:noWrap/>
                  <w:vAlign w:val="center"/>
                </w:tcPr>
                <w:p w14:paraId="13D233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r>
                    <w:rPr>
                      <w:rFonts w:hint="eastAsia" w:hAnsi="宋体" w:cs="Times New Roman"/>
                      <w:color w:val="auto"/>
                      <w:sz w:val="21"/>
                      <w:szCs w:val="21"/>
                      <w:lang w:val="en-US" w:eastAsia="zh-CN"/>
                    </w:rPr>
                    <w:t>21</w:t>
                  </w:r>
                </w:p>
              </w:tc>
              <w:tc>
                <w:tcPr>
                  <w:tcW w:w="903" w:type="pct"/>
                  <w:tcBorders>
                    <w:tl2br w:val="nil"/>
                    <w:tr2bl w:val="nil"/>
                  </w:tcBorders>
                  <w:shd w:val="clear" w:color="auto" w:fill="FFFFFF"/>
                  <w:noWrap/>
                  <w:vAlign w:val="center"/>
                </w:tcPr>
                <w:p w14:paraId="1F39DB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裁切机</w:t>
                  </w:r>
                </w:p>
              </w:tc>
              <w:tc>
                <w:tcPr>
                  <w:tcW w:w="1386" w:type="pct"/>
                  <w:tcBorders>
                    <w:tl2br w:val="nil"/>
                    <w:tr2bl w:val="nil"/>
                  </w:tcBorders>
                  <w:shd w:val="clear" w:color="auto" w:fill="FFFFFF"/>
                  <w:noWrap/>
                  <w:vAlign w:val="center"/>
                </w:tcPr>
                <w:p w14:paraId="16C6D7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非标定制</w:t>
                  </w:r>
                </w:p>
              </w:tc>
              <w:tc>
                <w:tcPr>
                  <w:tcW w:w="301" w:type="pct"/>
                  <w:tcBorders>
                    <w:tl2br w:val="nil"/>
                    <w:tr2bl w:val="nil"/>
                  </w:tcBorders>
                  <w:shd w:val="clear" w:color="auto" w:fill="FFFFFF"/>
                  <w:noWrap/>
                  <w:vAlign w:val="center"/>
                </w:tcPr>
                <w:p w14:paraId="6EDA5C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台</w:t>
                  </w:r>
                </w:p>
              </w:tc>
              <w:tc>
                <w:tcPr>
                  <w:tcW w:w="301" w:type="pct"/>
                  <w:tcBorders>
                    <w:tl2br w:val="nil"/>
                    <w:tr2bl w:val="nil"/>
                  </w:tcBorders>
                  <w:shd w:val="clear" w:color="auto" w:fill="FFFFFF"/>
                  <w:noWrap/>
                  <w:vAlign w:val="center"/>
                </w:tcPr>
                <w:p w14:paraId="4E9F5A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1</w:t>
                  </w:r>
                </w:p>
              </w:tc>
              <w:tc>
                <w:tcPr>
                  <w:tcW w:w="817" w:type="pct"/>
                  <w:tcBorders>
                    <w:tl2br w:val="nil"/>
                    <w:tr2bl w:val="nil"/>
                  </w:tcBorders>
                  <w:shd w:val="clear" w:color="auto" w:fill="FFFFFF"/>
                  <w:noWrap/>
                  <w:vAlign w:val="center"/>
                </w:tcPr>
                <w:p w14:paraId="715229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裁切</w:t>
                  </w:r>
                </w:p>
              </w:tc>
              <w:tc>
                <w:tcPr>
                  <w:tcW w:w="989" w:type="pct"/>
                  <w:vMerge w:val="continue"/>
                  <w:tcBorders>
                    <w:tl2br w:val="nil"/>
                    <w:tr2bl w:val="nil"/>
                  </w:tcBorders>
                  <w:shd w:val="clear" w:color="auto" w:fill="FFFFFF"/>
                  <w:noWrap/>
                  <w:vAlign w:val="center"/>
                </w:tcPr>
                <w:p w14:paraId="4DAC2E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p>
              </w:tc>
            </w:tr>
            <w:tr w14:paraId="607854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tcBorders>
                    <w:tl2br w:val="nil"/>
                    <w:tr2bl w:val="nil"/>
                  </w:tcBorders>
                  <w:shd w:val="clear" w:color="auto" w:fill="auto"/>
                  <w:noWrap/>
                  <w:vAlign w:val="center"/>
                </w:tcPr>
                <w:p w14:paraId="6831F4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r>
                    <w:rPr>
                      <w:rFonts w:hint="eastAsia" w:hAnsi="宋体" w:cs="Times New Roman"/>
                      <w:color w:val="auto"/>
                      <w:sz w:val="21"/>
                      <w:szCs w:val="21"/>
                      <w:lang w:val="en-US" w:eastAsia="zh-CN"/>
                    </w:rPr>
                    <w:t>22</w:t>
                  </w:r>
                </w:p>
              </w:tc>
              <w:tc>
                <w:tcPr>
                  <w:tcW w:w="903" w:type="pct"/>
                  <w:tcBorders>
                    <w:tl2br w:val="nil"/>
                    <w:tr2bl w:val="nil"/>
                  </w:tcBorders>
                  <w:shd w:val="clear" w:color="auto" w:fill="FFFFFF"/>
                  <w:noWrap/>
                  <w:vAlign w:val="center"/>
                </w:tcPr>
                <w:p w14:paraId="26A116E1">
                  <w:pPr>
                    <w:widowControl/>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有机废气处理装置</w:t>
                  </w:r>
                </w:p>
              </w:tc>
              <w:tc>
                <w:tcPr>
                  <w:tcW w:w="1386" w:type="pct"/>
                  <w:tcBorders>
                    <w:tl2br w:val="nil"/>
                    <w:tr2bl w:val="nil"/>
                  </w:tcBorders>
                  <w:shd w:val="clear" w:color="auto" w:fill="FFFFFF"/>
                  <w:noWrap/>
                  <w:vAlign w:val="center"/>
                </w:tcPr>
                <w:p w14:paraId="2793BC2F">
                  <w:pPr>
                    <w:widowControl/>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二级活性炭装置+1根15m排气筒</w:t>
                  </w:r>
                </w:p>
              </w:tc>
              <w:tc>
                <w:tcPr>
                  <w:tcW w:w="301" w:type="pct"/>
                  <w:tcBorders>
                    <w:tl2br w:val="nil"/>
                    <w:tr2bl w:val="nil"/>
                  </w:tcBorders>
                  <w:shd w:val="clear" w:color="auto" w:fill="FFFFFF"/>
                  <w:noWrap/>
                  <w:vAlign w:val="center"/>
                </w:tcPr>
                <w:p w14:paraId="603BA136">
                  <w:pPr>
                    <w:autoSpaceDN w:val="0"/>
                    <w:spacing w:line="240" w:lineRule="auto"/>
                    <w:jc w:val="center"/>
                    <w:textAlignment w:val="bottom"/>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套</w:t>
                  </w:r>
                </w:p>
              </w:tc>
              <w:tc>
                <w:tcPr>
                  <w:tcW w:w="301" w:type="pct"/>
                  <w:tcBorders>
                    <w:tl2br w:val="nil"/>
                    <w:tr2bl w:val="nil"/>
                  </w:tcBorders>
                  <w:shd w:val="clear" w:color="auto" w:fill="FFFFFF"/>
                  <w:noWrap/>
                  <w:vAlign w:val="center"/>
                </w:tcPr>
                <w:p w14:paraId="68C80052">
                  <w:pPr>
                    <w:widowControl/>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817" w:type="pct"/>
                  <w:tcBorders>
                    <w:tl2br w:val="nil"/>
                    <w:tr2bl w:val="nil"/>
                  </w:tcBorders>
                  <w:shd w:val="clear" w:color="auto" w:fill="FFFFFF"/>
                  <w:noWrap/>
                  <w:vAlign w:val="center"/>
                </w:tcPr>
                <w:p w14:paraId="1F0223A4">
                  <w:pPr>
                    <w:autoSpaceDN w:val="0"/>
                    <w:spacing w:line="240" w:lineRule="auto"/>
                    <w:jc w:val="center"/>
                    <w:textAlignment w:val="bottom"/>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废气处理</w:t>
                  </w:r>
                </w:p>
              </w:tc>
              <w:tc>
                <w:tcPr>
                  <w:tcW w:w="989" w:type="pct"/>
                  <w:tcBorders>
                    <w:tl2br w:val="nil"/>
                    <w:tr2bl w:val="nil"/>
                  </w:tcBorders>
                  <w:shd w:val="clear" w:color="auto" w:fill="FFFFFF"/>
                  <w:noWrap/>
                  <w:vAlign w:val="center"/>
                </w:tcPr>
                <w:p w14:paraId="12541BFE">
                  <w:pPr>
                    <w:autoSpaceDN w:val="0"/>
                    <w:spacing w:line="240" w:lineRule="auto"/>
                    <w:jc w:val="center"/>
                    <w:textAlignment w:val="bottom"/>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废气处理装置</w:t>
                  </w:r>
                </w:p>
              </w:tc>
            </w:tr>
          </w:tbl>
          <w:p w14:paraId="518A772E">
            <w:pPr>
              <w:numPr>
                <w:ilvl w:val="0"/>
                <w:numId w:val="0"/>
              </w:numPr>
              <w:adjustRightInd w:val="0"/>
              <w:snapToGrid w:val="0"/>
              <w:spacing w:line="360" w:lineRule="auto"/>
              <w:jc w:val="both"/>
              <w:rPr>
                <w:rFonts w:hint="default" w:ascii="Times New Roman" w:hAnsi="Times New Roman" w:cs="Times New Roman"/>
                <w:bCs/>
                <w:color w:val="auto"/>
                <w:sz w:val="24"/>
                <w:szCs w:val="24"/>
                <w:lang w:val="en-US" w:eastAsia="zh-CN"/>
              </w:rPr>
            </w:pPr>
            <w:r>
              <w:rPr>
                <w:rFonts w:hint="default" w:ascii="Times New Roman" w:hAnsi="Times New Roman" w:cs="Times New Roman"/>
                <w:b/>
                <w:bCs/>
                <w:color w:val="auto"/>
                <w:kern w:val="2"/>
                <w:sz w:val="24"/>
                <w:szCs w:val="24"/>
                <w:lang w:val="en-US" w:eastAsia="zh-CN" w:bidi="ar-SA"/>
              </w:rPr>
              <w:t>5、</w:t>
            </w:r>
            <w:r>
              <w:rPr>
                <w:rFonts w:hint="default" w:ascii="Times New Roman" w:hAnsi="Times New Roman" w:cs="Times New Roman"/>
                <w:b/>
                <w:bCs w:val="0"/>
                <w:color w:val="auto"/>
                <w:sz w:val="24"/>
                <w:szCs w:val="24"/>
                <w:lang w:val="en-US" w:eastAsia="zh-CN"/>
              </w:rPr>
              <w:t>主要原辅料及能源消耗</w:t>
            </w:r>
          </w:p>
          <w:p w14:paraId="5E27CD31">
            <w:pPr>
              <w:numPr>
                <w:ilvl w:val="0"/>
                <w:numId w:val="0"/>
              </w:numPr>
              <w:adjustRightInd w:val="0"/>
              <w:snapToGrid w:val="0"/>
              <w:spacing w:line="360" w:lineRule="auto"/>
              <w:ind w:firstLine="480" w:firstLineChars="200"/>
              <w:jc w:val="both"/>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本项目主要原辅料及能源消耗见下表。</w:t>
            </w:r>
          </w:p>
          <w:p w14:paraId="0F2A9B9E">
            <w:pPr>
              <w:numPr>
                <w:ilvl w:val="0"/>
                <w:numId w:val="0"/>
              </w:numPr>
              <w:adjustRightInd w:val="0"/>
              <w:snapToGrid w:val="0"/>
              <w:spacing w:line="240" w:lineRule="auto"/>
              <w:jc w:val="center"/>
              <w:rPr>
                <w:rFonts w:hint="default" w:ascii="Times New Roman" w:hAnsi="Times New Roman" w:cs="Times New Roman"/>
                <w:b/>
                <w:bCs w:val="0"/>
                <w:color w:val="auto"/>
                <w:sz w:val="24"/>
                <w:szCs w:val="24"/>
                <w:lang w:val="en-US" w:eastAsia="zh-CN"/>
              </w:rPr>
            </w:pPr>
            <w:r>
              <w:rPr>
                <w:rFonts w:hint="default" w:ascii="Times New Roman" w:hAnsi="Times New Roman" w:cs="Times New Roman"/>
                <w:b/>
                <w:bCs w:val="0"/>
                <w:color w:val="auto"/>
                <w:sz w:val="24"/>
                <w:szCs w:val="24"/>
                <w:lang w:val="en-US" w:eastAsia="zh-CN"/>
              </w:rPr>
              <w:t>表2-4</w:t>
            </w:r>
            <w:r>
              <w:rPr>
                <w:rFonts w:hint="eastAsia" w:ascii="Times New Roman" w:hAnsi="Times New Roman" w:cs="Times New Roman"/>
                <w:b/>
                <w:bCs w:val="0"/>
                <w:color w:val="auto"/>
                <w:sz w:val="24"/>
                <w:szCs w:val="24"/>
                <w:lang w:val="en-US" w:eastAsia="zh-CN"/>
              </w:rPr>
              <w:t xml:space="preserve">  </w:t>
            </w:r>
            <w:r>
              <w:rPr>
                <w:rFonts w:hint="default" w:ascii="Times New Roman" w:hAnsi="Times New Roman" w:cs="Times New Roman"/>
                <w:b/>
                <w:bCs w:val="0"/>
                <w:color w:val="auto"/>
                <w:sz w:val="24"/>
                <w:szCs w:val="24"/>
                <w:lang w:val="en-US" w:eastAsia="zh-CN"/>
              </w:rPr>
              <w:t>主要原辅材料及能源消耗一览表</w:t>
            </w:r>
          </w:p>
          <w:tbl>
            <w:tblPr>
              <w:tblStyle w:val="26"/>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7"/>
              <w:gridCol w:w="1304"/>
              <w:gridCol w:w="851"/>
              <w:gridCol w:w="976"/>
              <w:gridCol w:w="1004"/>
              <w:gridCol w:w="976"/>
              <w:gridCol w:w="1162"/>
              <w:gridCol w:w="772"/>
              <w:gridCol w:w="772"/>
            </w:tblGrid>
            <w:tr w14:paraId="11DC78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9" w:type="pct"/>
                  <w:tcBorders>
                    <w:tl2br w:val="nil"/>
                    <w:tr2bl w:val="nil"/>
                  </w:tcBorders>
                  <w:noWrap w:val="0"/>
                  <w:vAlign w:val="center"/>
                </w:tcPr>
                <w:p w14:paraId="6A2A8E4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sz w:val="21"/>
                      <w:szCs w:val="21"/>
                    </w:rPr>
                  </w:pPr>
                  <w:r>
                    <w:rPr>
                      <w:rFonts w:hint="eastAsia"/>
                      <w:b/>
                      <w:bCs/>
                      <w:color w:val="auto"/>
                      <w:sz w:val="21"/>
                      <w:szCs w:val="21"/>
                    </w:rPr>
                    <w:t>序号</w:t>
                  </w:r>
                </w:p>
              </w:tc>
              <w:tc>
                <w:tcPr>
                  <w:tcW w:w="783" w:type="pct"/>
                  <w:tcBorders>
                    <w:tl2br w:val="nil"/>
                    <w:tr2bl w:val="nil"/>
                  </w:tcBorders>
                  <w:noWrap w:val="0"/>
                  <w:vAlign w:val="center"/>
                </w:tcPr>
                <w:p w14:paraId="4F0B09F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sz w:val="21"/>
                      <w:szCs w:val="21"/>
                    </w:rPr>
                  </w:pPr>
                  <w:r>
                    <w:rPr>
                      <w:b/>
                      <w:bCs/>
                      <w:color w:val="auto"/>
                      <w:sz w:val="21"/>
                      <w:szCs w:val="21"/>
                    </w:rPr>
                    <w:t>名称</w:t>
                  </w:r>
                </w:p>
              </w:tc>
              <w:tc>
                <w:tcPr>
                  <w:tcW w:w="511" w:type="pct"/>
                  <w:tcBorders>
                    <w:tl2br w:val="nil"/>
                    <w:tr2bl w:val="nil"/>
                  </w:tcBorders>
                  <w:noWrap w:val="0"/>
                  <w:vAlign w:val="center"/>
                </w:tcPr>
                <w:p w14:paraId="222ACF0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b/>
                      <w:bCs/>
                      <w:color w:val="auto"/>
                      <w:sz w:val="21"/>
                      <w:szCs w:val="21"/>
                      <w:lang w:val="en-US" w:eastAsia="zh-CN"/>
                    </w:rPr>
                  </w:pPr>
                  <w:r>
                    <w:rPr>
                      <w:rFonts w:hint="eastAsia"/>
                      <w:b/>
                      <w:bCs/>
                      <w:color w:val="auto"/>
                      <w:sz w:val="21"/>
                      <w:szCs w:val="21"/>
                      <w:lang w:val="en-US" w:eastAsia="zh-CN"/>
                    </w:rPr>
                    <w:t>形态</w:t>
                  </w:r>
                </w:p>
              </w:tc>
              <w:tc>
                <w:tcPr>
                  <w:tcW w:w="586" w:type="pct"/>
                  <w:tcBorders>
                    <w:tl2br w:val="nil"/>
                    <w:tr2bl w:val="nil"/>
                  </w:tcBorders>
                  <w:noWrap w:val="0"/>
                  <w:vAlign w:val="center"/>
                </w:tcPr>
                <w:p w14:paraId="6AFD254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eastAsia="宋体"/>
                      <w:b/>
                      <w:bCs/>
                      <w:color w:val="auto"/>
                      <w:sz w:val="21"/>
                      <w:szCs w:val="21"/>
                      <w:lang w:eastAsia="zh-CN"/>
                    </w:rPr>
                  </w:pPr>
                  <w:r>
                    <w:rPr>
                      <w:rFonts w:hint="eastAsia"/>
                      <w:b/>
                      <w:bCs/>
                      <w:color w:val="auto"/>
                      <w:sz w:val="21"/>
                      <w:szCs w:val="21"/>
                      <w:lang w:val="en-US" w:eastAsia="zh-CN"/>
                    </w:rPr>
                    <w:t>单位</w:t>
                  </w:r>
                </w:p>
              </w:tc>
              <w:tc>
                <w:tcPr>
                  <w:tcW w:w="603" w:type="pct"/>
                  <w:tcBorders>
                    <w:tl2br w:val="nil"/>
                    <w:tr2bl w:val="nil"/>
                  </w:tcBorders>
                  <w:noWrap w:val="0"/>
                  <w:vAlign w:val="center"/>
                </w:tcPr>
                <w:p w14:paraId="30853C0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sz w:val="21"/>
                      <w:szCs w:val="21"/>
                    </w:rPr>
                  </w:pPr>
                  <w:r>
                    <w:rPr>
                      <w:b/>
                      <w:bCs/>
                      <w:color w:val="auto"/>
                      <w:sz w:val="21"/>
                      <w:szCs w:val="21"/>
                    </w:rPr>
                    <w:t>年用量</w:t>
                  </w:r>
                </w:p>
              </w:tc>
              <w:tc>
                <w:tcPr>
                  <w:tcW w:w="586" w:type="pct"/>
                  <w:tcBorders>
                    <w:tl2br w:val="nil"/>
                    <w:tr2bl w:val="nil"/>
                  </w:tcBorders>
                  <w:noWrap w:val="0"/>
                  <w:vAlign w:val="center"/>
                </w:tcPr>
                <w:p w14:paraId="6063108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sz w:val="21"/>
                      <w:szCs w:val="21"/>
                    </w:rPr>
                  </w:pPr>
                  <w:r>
                    <w:rPr>
                      <w:b/>
                      <w:bCs/>
                      <w:color w:val="auto"/>
                      <w:sz w:val="21"/>
                      <w:szCs w:val="21"/>
                    </w:rPr>
                    <w:t>最大储存量</w:t>
                  </w:r>
                </w:p>
              </w:tc>
              <w:tc>
                <w:tcPr>
                  <w:tcW w:w="698" w:type="pct"/>
                  <w:tcBorders>
                    <w:tl2br w:val="nil"/>
                    <w:tr2bl w:val="nil"/>
                  </w:tcBorders>
                  <w:noWrap w:val="0"/>
                  <w:vAlign w:val="center"/>
                </w:tcPr>
                <w:p w14:paraId="24B90E8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b/>
                      <w:bCs/>
                      <w:color w:val="auto"/>
                      <w:sz w:val="21"/>
                      <w:szCs w:val="21"/>
                      <w:lang w:val="en-US" w:eastAsia="zh-CN"/>
                    </w:rPr>
                  </w:pPr>
                  <w:r>
                    <w:rPr>
                      <w:rFonts w:hint="eastAsia"/>
                      <w:b/>
                      <w:bCs/>
                      <w:color w:val="auto"/>
                      <w:sz w:val="21"/>
                      <w:szCs w:val="21"/>
                      <w:lang w:val="en-US" w:eastAsia="zh-CN"/>
                    </w:rPr>
                    <w:t>储存方式</w:t>
                  </w:r>
                </w:p>
              </w:tc>
              <w:tc>
                <w:tcPr>
                  <w:tcW w:w="464" w:type="pct"/>
                  <w:tcBorders>
                    <w:tl2br w:val="nil"/>
                    <w:tr2bl w:val="nil"/>
                  </w:tcBorders>
                  <w:noWrap w:val="0"/>
                  <w:vAlign w:val="center"/>
                </w:tcPr>
                <w:p w14:paraId="50AF805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b/>
                      <w:bCs/>
                      <w:color w:val="auto"/>
                      <w:sz w:val="21"/>
                      <w:szCs w:val="21"/>
                      <w:lang w:val="en-US" w:eastAsia="zh-CN"/>
                    </w:rPr>
                  </w:pPr>
                  <w:r>
                    <w:rPr>
                      <w:rFonts w:hint="eastAsia"/>
                      <w:b/>
                      <w:bCs/>
                      <w:color w:val="auto"/>
                      <w:sz w:val="21"/>
                      <w:szCs w:val="21"/>
                      <w:lang w:val="en-US" w:eastAsia="zh-CN"/>
                    </w:rPr>
                    <w:t>储存位置</w:t>
                  </w:r>
                </w:p>
              </w:tc>
              <w:tc>
                <w:tcPr>
                  <w:tcW w:w="464" w:type="pct"/>
                  <w:tcBorders>
                    <w:tl2br w:val="nil"/>
                    <w:tr2bl w:val="nil"/>
                  </w:tcBorders>
                  <w:noWrap w:val="0"/>
                  <w:vAlign w:val="center"/>
                </w:tcPr>
                <w:p w14:paraId="6019578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eastAsia="宋体"/>
                      <w:b/>
                      <w:bCs/>
                      <w:color w:val="auto"/>
                      <w:sz w:val="21"/>
                      <w:szCs w:val="21"/>
                      <w:lang w:eastAsia="zh-CN"/>
                    </w:rPr>
                  </w:pPr>
                  <w:r>
                    <w:rPr>
                      <w:rFonts w:hint="eastAsia"/>
                      <w:b/>
                      <w:bCs/>
                      <w:color w:val="auto"/>
                      <w:sz w:val="21"/>
                      <w:szCs w:val="21"/>
                      <w:lang w:val="en-US" w:eastAsia="zh-CN"/>
                    </w:rPr>
                    <w:t>备注</w:t>
                  </w:r>
                </w:p>
              </w:tc>
            </w:tr>
            <w:tr w14:paraId="0EF1AB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9" w:type="pct"/>
                  <w:tcBorders>
                    <w:tl2br w:val="nil"/>
                    <w:tr2bl w:val="nil"/>
                  </w:tcBorders>
                  <w:noWrap w:val="0"/>
                  <w:vAlign w:val="center"/>
                </w:tcPr>
                <w:p w14:paraId="1359D4C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r>
                    <w:rPr>
                      <w:rFonts w:hint="eastAsia"/>
                      <w:color w:val="auto"/>
                      <w:sz w:val="21"/>
                      <w:szCs w:val="21"/>
                    </w:rPr>
                    <w:t>1</w:t>
                  </w:r>
                </w:p>
              </w:tc>
              <w:tc>
                <w:tcPr>
                  <w:tcW w:w="783" w:type="pct"/>
                  <w:tcBorders>
                    <w:tl2br w:val="nil"/>
                    <w:tr2bl w:val="nil"/>
                  </w:tcBorders>
                  <w:noWrap w:val="0"/>
                  <w:vAlign w:val="center"/>
                </w:tcPr>
                <w:p w14:paraId="294C5FD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宋体" w:eastAsia="宋体"/>
                      <w:color w:val="auto"/>
                      <w:kern w:val="2"/>
                      <w:sz w:val="21"/>
                      <w:szCs w:val="21"/>
                      <w:lang w:val="en-US" w:eastAsia="zh-CN" w:bidi="ar-SA"/>
                    </w:rPr>
                  </w:pPr>
                  <w:r>
                    <w:rPr>
                      <w:rFonts w:hint="eastAsia" w:ascii="宋体"/>
                      <w:color w:val="auto"/>
                      <w:szCs w:val="21"/>
                      <w:lang w:val="en-US" w:eastAsia="zh-CN"/>
                    </w:rPr>
                    <w:t>质子交换膜</w:t>
                  </w:r>
                </w:p>
              </w:tc>
              <w:tc>
                <w:tcPr>
                  <w:tcW w:w="511" w:type="pct"/>
                  <w:tcBorders>
                    <w:tl2br w:val="nil"/>
                    <w:tr2bl w:val="nil"/>
                  </w:tcBorders>
                  <w:noWrap w:val="0"/>
                  <w:vAlign w:val="center"/>
                </w:tcPr>
                <w:p w14:paraId="136E0B4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olor w:val="auto"/>
                      <w:szCs w:val="21"/>
                      <w:lang w:val="en-US" w:eastAsia="zh-CN"/>
                    </w:rPr>
                  </w:pPr>
                  <w:r>
                    <w:rPr>
                      <w:rFonts w:hint="eastAsia"/>
                      <w:color w:val="auto"/>
                      <w:szCs w:val="21"/>
                      <w:lang w:val="en-US" w:eastAsia="zh-CN"/>
                    </w:rPr>
                    <w:t>固态</w:t>
                  </w:r>
                </w:p>
              </w:tc>
              <w:tc>
                <w:tcPr>
                  <w:tcW w:w="586" w:type="pct"/>
                  <w:tcBorders>
                    <w:tl2br w:val="nil"/>
                    <w:tr2bl w:val="nil"/>
                  </w:tcBorders>
                  <w:noWrap w:val="0"/>
                  <w:vAlign w:val="center"/>
                </w:tcPr>
                <w:p w14:paraId="0334595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r>
                    <w:rPr>
                      <w:rFonts w:hint="eastAsia"/>
                      <w:color w:val="auto"/>
                      <w:szCs w:val="21"/>
                      <w:lang w:val="en-US" w:eastAsia="zh-CN"/>
                    </w:rPr>
                    <w:t>平方米</w:t>
                  </w:r>
                </w:p>
              </w:tc>
              <w:tc>
                <w:tcPr>
                  <w:tcW w:w="603" w:type="pct"/>
                  <w:tcBorders>
                    <w:tl2br w:val="nil"/>
                    <w:tr2bl w:val="nil"/>
                  </w:tcBorders>
                  <w:noWrap w:val="0"/>
                  <w:vAlign w:val="center"/>
                </w:tcPr>
                <w:p w14:paraId="4E5D9CF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r>
                    <w:rPr>
                      <w:rFonts w:hint="eastAsia"/>
                      <w:color w:val="auto"/>
                      <w:szCs w:val="21"/>
                      <w:lang w:val="en-US" w:eastAsia="zh-CN"/>
                    </w:rPr>
                    <w:t>1767</w:t>
                  </w:r>
                </w:p>
              </w:tc>
              <w:tc>
                <w:tcPr>
                  <w:tcW w:w="586" w:type="pct"/>
                  <w:tcBorders>
                    <w:tl2br w:val="nil"/>
                    <w:tr2bl w:val="nil"/>
                  </w:tcBorders>
                  <w:noWrap w:val="0"/>
                  <w:vAlign w:val="center"/>
                </w:tcPr>
                <w:p w14:paraId="4C262EE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r>
                    <w:rPr>
                      <w:rFonts w:hint="eastAsia"/>
                      <w:color w:val="auto"/>
                      <w:szCs w:val="21"/>
                      <w:lang w:val="en-US" w:eastAsia="zh-CN"/>
                    </w:rPr>
                    <w:t>200</w:t>
                  </w:r>
                </w:p>
              </w:tc>
              <w:tc>
                <w:tcPr>
                  <w:tcW w:w="698" w:type="pct"/>
                  <w:tcBorders>
                    <w:tl2br w:val="nil"/>
                    <w:tr2bl w:val="nil"/>
                  </w:tcBorders>
                  <w:noWrap w:val="0"/>
                  <w:vAlign w:val="center"/>
                </w:tcPr>
                <w:p w14:paraId="2CC0169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袋装</w:t>
                  </w:r>
                </w:p>
              </w:tc>
              <w:tc>
                <w:tcPr>
                  <w:tcW w:w="464" w:type="pct"/>
                  <w:vMerge w:val="restart"/>
                  <w:tcBorders>
                    <w:tl2br w:val="nil"/>
                    <w:tr2bl w:val="nil"/>
                  </w:tcBorders>
                  <w:noWrap w:val="0"/>
                  <w:vAlign w:val="center"/>
                </w:tcPr>
                <w:p w14:paraId="440CEAD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仓库</w:t>
                  </w:r>
                </w:p>
              </w:tc>
              <w:tc>
                <w:tcPr>
                  <w:tcW w:w="464" w:type="pct"/>
                  <w:vMerge w:val="restart"/>
                  <w:tcBorders>
                    <w:tl2br w:val="nil"/>
                    <w:tr2bl w:val="nil"/>
                  </w:tcBorders>
                  <w:noWrap w:val="0"/>
                  <w:vAlign w:val="center"/>
                </w:tcPr>
                <w:p w14:paraId="2290586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制作膜电极</w:t>
                  </w:r>
                </w:p>
              </w:tc>
            </w:tr>
            <w:tr w14:paraId="0765B7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9" w:type="pct"/>
                  <w:tcBorders>
                    <w:tl2br w:val="nil"/>
                    <w:tr2bl w:val="nil"/>
                  </w:tcBorders>
                  <w:noWrap w:val="0"/>
                  <w:vAlign w:val="center"/>
                </w:tcPr>
                <w:p w14:paraId="24DA03C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r>
                    <w:rPr>
                      <w:rFonts w:hint="eastAsia"/>
                      <w:color w:val="auto"/>
                      <w:sz w:val="21"/>
                      <w:szCs w:val="21"/>
                    </w:rPr>
                    <w:t>2</w:t>
                  </w:r>
                </w:p>
              </w:tc>
              <w:tc>
                <w:tcPr>
                  <w:tcW w:w="783" w:type="pct"/>
                  <w:tcBorders>
                    <w:tl2br w:val="nil"/>
                    <w:tr2bl w:val="nil"/>
                  </w:tcBorders>
                  <w:noWrap w:val="0"/>
                  <w:vAlign w:val="center"/>
                </w:tcPr>
                <w:p w14:paraId="5F31360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eastAsia="宋体"/>
                      <w:color w:val="auto"/>
                      <w:kern w:val="2"/>
                      <w:sz w:val="21"/>
                      <w:szCs w:val="21"/>
                      <w:lang w:val="en-US" w:eastAsia="zh-CN" w:bidi="ar-SA"/>
                    </w:rPr>
                  </w:pPr>
                  <w:r>
                    <w:rPr>
                      <w:rFonts w:hint="eastAsia" w:ascii="宋体"/>
                      <w:color w:val="auto"/>
                      <w:szCs w:val="21"/>
                      <w:lang w:val="en-US" w:eastAsia="zh-CN"/>
                    </w:rPr>
                    <w:t>催化剂</w:t>
                  </w:r>
                </w:p>
              </w:tc>
              <w:tc>
                <w:tcPr>
                  <w:tcW w:w="511" w:type="pct"/>
                  <w:tcBorders>
                    <w:tl2br w:val="nil"/>
                    <w:tr2bl w:val="nil"/>
                  </w:tcBorders>
                  <w:noWrap w:val="0"/>
                  <w:vAlign w:val="center"/>
                </w:tcPr>
                <w:p w14:paraId="6079240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olor w:val="auto"/>
                      <w:szCs w:val="21"/>
                      <w:lang w:val="en-US" w:eastAsia="zh-CN"/>
                    </w:rPr>
                  </w:pPr>
                  <w:r>
                    <w:rPr>
                      <w:rFonts w:hint="eastAsia"/>
                      <w:color w:val="auto"/>
                      <w:szCs w:val="21"/>
                      <w:lang w:val="en-US" w:eastAsia="zh-CN"/>
                    </w:rPr>
                    <w:t>固态</w:t>
                  </w:r>
                </w:p>
              </w:tc>
              <w:tc>
                <w:tcPr>
                  <w:tcW w:w="586" w:type="pct"/>
                  <w:tcBorders>
                    <w:tl2br w:val="nil"/>
                    <w:tr2bl w:val="nil"/>
                  </w:tcBorders>
                  <w:noWrap w:val="0"/>
                  <w:vAlign w:val="center"/>
                </w:tcPr>
                <w:p w14:paraId="7311280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r>
                    <w:rPr>
                      <w:rFonts w:hint="eastAsia"/>
                      <w:color w:val="auto"/>
                      <w:szCs w:val="21"/>
                      <w:lang w:val="en-US" w:eastAsia="zh-CN"/>
                    </w:rPr>
                    <w:t>千克</w:t>
                  </w:r>
                </w:p>
              </w:tc>
              <w:tc>
                <w:tcPr>
                  <w:tcW w:w="603" w:type="pct"/>
                  <w:tcBorders>
                    <w:tl2br w:val="nil"/>
                    <w:tr2bl w:val="nil"/>
                  </w:tcBorders>
                  <w:noWrap w:val="0"/>
                  <w:vAlign w:val="center"/>
                </w:tcPr>
                <w:p w14:paraId="0BB4BE5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olor w:val="auto"/>
                      <w:sz w:val="21"/>
                      <w:szCs w:val="21"/>
                      <w:lang w:val="en-US"/>
                    </w:rPr>
                  </w:pPr>
                  <w:r>
                    <w:rPr>
                      <w:rFonts w:hint="eastAsia"/>
                      <w:color w:val="auto"/>
                      <w:szCs w:val="21"/>
                      <w:lang w:val="en-US" w:eastAsia="zh-CN"/>
                    </w:rPr>
                    <w:t>50</w:t>
                  </w:r>
                </w:p>
              </w:tc>
              <w:tc>
                <w:tcPr>
                  <w:tcW w:w="586" w:type="pct"/>
                  <w:tcBorders>
                    <w:tl2br w:val="nil"/>
                    <w:tr2bl w:val="nil"/>
                  </w:tcBorders>
                  <w:noWrap w:val="0"/>
                  <w:vAlign w:val="center"/>
                </w:tcPr>
                <w:p w14:paraId="48B7CD1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olor w:val="auto"/>
                      <w:sz w:val="21"/>
                      <w:szCs w:val="21"/>
                      <w:lang w:val="en-US"/>
                    </w:rPr>
                  </w:pPr>
                  <w:r>
                    <w:rPr>
                      <w:rFonts w:hint="eastAsia"/>
                      <w:color w:val="auto"/>
                      <w:szCs w:val="21"/>
                      <w:lang w:val="en-US" w:eastAsia="zh-CN"/>
                    </w:rPr>
                    <w:t>10</w:t>
                  </w:r>
                </w:p>
              </w:tc>
              <w:tc>
                <w:tcPr>
                  <w:tcW w:w="698" w:type="pct"/>
                  <w:tcBorders>
                    <w:tl2br w:val="nil"/>
                    <w:tr2bl w:val="nil"/>
                  </w:tcBorders>
                  <w:noWrap w:val="0"/>
                  <w:vAlign w:val="center"/>
                </w:tcPr>
                <w:p w14:paraId="0032CF7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瓶装</w:t>
                  </w:r>
                </w:p>
              </w:tc>
              <w:tc>
                <w:tcPr>
                  <w:tcW w:w="464" w:type="pct"/>
                  <w:vMerge w:val="continue"/>
                  <w:tcBorders>
                    <w:tl2br w:val="nil"/>
                    <w:tr2bl w:val="nil"/>
                  </w:tcBorders>
                  <w:noWrap w:val="0"/>
                  <w:vAlign w:val="center"/>
                </w:tcPr>
                <w:p w14:paraId="43B65E4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464" w:type="pct"/>
                  <w:vMerge w:val="continue"/>
                  <w:tcBorders>
                    <w:tl2br w:val="nil"/>
                    <w:tr2bl w:val="nil"/>
                  </w:tcBorders>
                  <w:noWrap w:val="0"/>
                  <w:vAlign w:val="center"/>
                </w:tcPr>
                <w:p w14:paraId="037A2D6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14:paraId="0A84A7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9" w:type="pct"/>
                  <w:tcBorders>
                    <w:tl2br w:val="nil"/>
                    <w:tr2bl w:val="nil"/>
                  </w:tcBorders>
                  <w:noWrap w:val="0"/>
                  <w:vAlign w:val="center"/>
                </w:tcPr>
                <w:p w14:paraId="0813A9D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r>
                    <w:rPr>
                      <w:rFonts w:hint="eastAsia"/>
                      <w:color w:val="auto"/>
                      <w:sz w:val="21"/>
                      <w:szCs w:val="21"/>
                    </w:rPr>
                    <w:t>3</w:t>
                  </w:r>
                </w:p>
              </w:tc>
              <w:tc>
                <w:tcPr>
                  <w:tcW w:w="783" w:type="pct"/>
                  <w:tcBorders>
                    <w:tl2br w:val="nil"/>
                    <w:tr2bl w:val="nil"/>
                  </w:tcBorders>
                  <w:noWrap w:val="0"/>
                  <w:vAlign w:val="center"/>
                </w:tcPr>
                <w:p w14:paraId="6B2C44E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eastAsia="宋体"/>
                      <w:color w:val="auto"/>
                      <w:kern w:val="2"/>
                      <w:sz w:val="21"/>
                      <w:szCs w:val="21"/>
                      <w:lang w:val="en-US" w:eastAsia="zh-CN" w:bidi="ar-SA"/>
                    </w:rPr>
                  </w:pPr>
                  <w:r>
                    <w:rPr>
                      <w:rFonts w:hint="eastAsia" w:ascii="宋体"/>
                      <w:color w:val="auto"/>
                      <w:szCs w:val="21"/>
                      <w:lang w:val="en-US" w:eastAsia="zh-CN"/>
                    </w:rPr>
                    <w:t>气体扩散层</w:t>
                  </w:r>
                </w:p>
              </w:tc>
              <w:tc>
                <w:tcPr>
                  <w:tcW w:w="511" w:type="pct"/>
                  <w:tcBorders>
                    <w:tl2br w:val="nil"/>
                    <w:tr2bl w:val="nil"/>
                  </w:tcBorders>
                  <w:noWrap w:val="0"/>
                  <w:vAlign w:val="center"/>
                </w:tcPr>
                <w:p w14:paraId="3B5AB74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olor w:val="auto"/>
                      <w:szCs w:val="21"/>
                      <w:lang w:val="en-US" w:eastAsia="zh-CN"/>
                    </w:rPr>
                  </w:pPr>
                  <w:r>
                    <w:rPr>
                      <w:rFonts w:hint="eastAsia"/>
                      <w:color w:val="auto"/>
                      <w:szCs w:val="21"/>
                      <w:lang w:val="en-US" w:eastAsia="zh-CN"/>
                    </w:rPr>
                    <w:t>固态</w:t>
                  </w:r>
                </w:p>
              </w:tc>
              <w:tc>
                <w:tcPr>
                  <w:tcW w:w="586" w:type="pct"/>
                  <w:tcBorders>
                    <w:tl2br w:val="nil"/>
                    <w:tr2bl w:val="nil"/>
                  </w:tcBorders>
                  <w:noWrap w:val="0"/>
                  <w:vAlign w:val="center"/>
                </w:tcPr>
                <w:p w14:paraId="6A28BE5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r>
                    <w:rPr>
                      <w:rFonts w:hint="eastAsia"/>
                      <w:color w:val="auto"/>
                      <w:szCs w:val="21"/>
                      <w:lang w:val="en-US" w:eastAsia="zh-CN"/>
                    </w:rPr>
                    <w:t>千克</w:t>
                  </w:r>
                </w:p>
              </w:tc>
              <w:tc>
                <w:tcPr>
                  <w:tcW w:w="603" w:type="pct"/>
                  <w:tcBorders>
                    <w:tl2br w:val="nil"/>
                    <w:tr2bl w:val="nil"/>
                  </w:tcBorders>
                  <w:noWrap w:val="0"/>
                  <w:vAlign w:val="center"/>
                </w:tcPr>
                <w:p w14:paraId="0C79BDB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r>
                    <w:rPr>
                      <w:rFonts w:hint="eastAsia"/>
                      <w:color w:val="auto"/>
                      <w:szCs w:val="21"/>
                      <w:lang w:val="en-US" w:eastAsia="zh-CN"/>
                    </w:rPr>
                    <w:t>707</w:t>
                  </w:r>
                </w:p>
              </w:tc>
              <w:tc>
                <w:tcPr>
                  <w:tcW w:w="586" w:type="pct"/>
                  <w:tcBorders>
                    <w:tl2br w:val="nil"/>
                    <w:tr2bl w:val="nil"/>
                  </w:tcBorders>
                  <w:noWrap w:val="0"/>
                  <w:vAlign w:val="center"/>
                </w:tcPr>
                <w:p w14:paraId="4D1D655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r>
                    <w:rPr>
                      <w:rFonts w:hint="eastAsia"/>
                      <w:color w:val="auto"/>
                      <w:szCs w:val="21"/>
                      <w:lang w:val="en-US" w:eastAsia="zh-CN"/>
                    </w:rPr>
                    <w:t>90</w:t>
                  </w:r>
                </w:p>
              </w:tc>
              <w:tc>
                <w:tcPr>
                  <w:tcW w:w="698" w:type="pct"/>
                  <w:tcBorders>
                    <w:tl2br w:val="nil"/>
                    <w:tr2bl w:val="nil"/>
                  </w:tcBorders>
                  <w:noWrap w:val="0"/>
                  <w:vAlign w:val="center"/>
                </w:tcPr>
                <w:p w14:paraId="1F4EFD7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袋装</w:t>
                  </w:r>
                </w:p>
              </w:tc>
              <w:tc>
                <w:tcPr>
                  <w:tcW w:w="464" w:type="pct"/>
                  <w:vMerge w:val="continue"/>
                  <w:tcBorders>
                    <w:tl2br w:val="nil"/>
                    <w:tr2bl w:val="nil"/>
                  </w:tcBorders>
                  <w:noWrap w:val="0"/>
                  <w:vAlign w:val="center"/>
                </w:tcPr>
                <w:p w14:paraId="03563AE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464" w:type="pct"/>
                  <w:vMerge w:val="continue"/>
                  <w:tcBorders>
                    <w:tl2br w:val="nil"/>
                    <w:tr2bl w:val="nil"/>
                  </w:tcBorders>
                  <w:noWrap w:val="0"/>
                  <w:vAlign w:val="center"/>
                </w:tcPr>
                <w:p w14:paraId="7212AFC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14:paraId="519A92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9" w:type="pct"/>
                  <w:tcBorders>
                    <w:tl2br w:val="nil"/>
                    <w:tr2bl w:val="nil"/>
                  </w:tcBorders>
                  <w:noWrap w:val="0"/>
                  <w:vAlign w:val="center"/>
                </w:tcPr>
                <w:p w14:paraId="1675F76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r>
                    <w:rPr>
                      <w:rFonts w:hint="eastAsia"/>
                      <w:color w:val="auto"/>
                      <w:sz w:val="21"/>
                      <w:szCs w:val="21"/>
                    </w:rPr>
                    <w:t>4</w:t>
                  </w:r>
                </w:p>
              </w:tc>
              <w:tc>
                <w:tcPr>
                  <w:tcW w:w="783" w:type="pct"/>
                  <w:tcBorders>
                    <w:tl2br w:val="nil"/>
                    <w:tr2bl w:val="nil"/>
                  </w:tcBorders>
                  <w:noWrap w:val="0"/>
                  <w:vAlign w:val="center"/>
                </w:tcPr>
                <w:p w14:paraId="23F5C0F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全氟磺酸树脂</w:t>
                  </w:r>
                </w:p>
              </w:tc>
              <w:tc>
                <w:tcPr>
                  <w:tcW w:w="511" w:type="pct"/>
                  <w:tcBorders>
                    <w:tl2br w:val="nil"/>
                    <w:tr2bl w:val="nil"/>
                  </w:tcBorders>
                  <w:noWrap w:val="0"/>
                  <w:vAlign w:val="center"/>
                </w:tcPr>
                <w:p w14:paraId="701FB6A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olor w:val="auto"/>
                      <w:lang w:val="en-US" w:eastAsia="zh-CN"/>
                    </w:rPr>
                  </w:pPr>
                  <w:r>
                    <w:rPr>
                      <w:rFonts w:hint="eastAsia"/>
                      <w:color w:val="auto"/>
                      <w:lang w:val="en-US" w:eastAsia="zh-CN"/>
                    </w:rPr>
                    <w:t>固态</w:t>
                  </w:r>
                </w:p>
              </w:tc>
              <w:tc>
                <w:tcPr>
                  <w:tcW w:w="586" w:type="pct"/>
                  <w:tcBorders>
                    <w:tl2br w:val="nil"/>
                    <w:tr2bl w:val="nil"/>
                  </w:tcBorders>
                  <w:noWrap w:val="0"/>
                  <w:vAlign w:val="center"/>
                </w:tcPr>
                <w:p w14:paraId="0B474FB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r>
                    <w:rPr>
                      <w:rFonts w:hint="eastAsia"/>
                      <w:color w:val="auto"/>
                      <w:szCs w:val="21"/>
                      <w:lang w:val="en-US" w:eastAsia="zh-CN"/>
                    </w:rPr>
                    <w:t>千克</w:t>
                  </w:r>
                </w:p>
              </w:tc>
              <w:tc>
                <w:tcPr>
                  <w:tcW w:w="603" w:type="pct"/>
                  <w:tcBorders>
                    <w:tl2br w:val="nil"/>
                    <w:tr2bl w:val="nil"/>
                  </w:tcBorders>
                  <w:noWrap w:val="0"/>
                  <w:vAlign w:val="center"/>
                </w:tcPr>
                <w:p w14:paraId="329E89F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olor w:val="auto"/>
                      <w:sz w:val="21"/>
                      <w:szCs w:val="21"/>
                      <w:lang w:val="en-US"/>
                    </w:rPr>
                  </w:pPr>
                  <w:r>
                    <w:rPr>
                      <w:rFonts w:hint="eastAsia"/>
                      <w:color w:val="auto"/>
                      <w:szCs w:val="21"/>
                      <w:lang w:val="en-US" w:eastAsia="zh-CN"/>
                    </w:rPr>
                    <w:t>100</w:t>
                  </w:r>
                </w:p>
              </w:tc>
              <w:tc>
                <w:tcPr>
                  <w:tcW w:w="586" w:type="pct"/>
                  <w:tcBorders>
                    <w:tl2br w:val="nil"/>
                    <w:tr2bl w:val="nil"/>
                  </w:tcBorders>
                  <w:noWrap w:val="0"/>
                  <w:vAlign w:val="center"/>
                </w:tcPr>
                <w:p w14:paraId="59545F1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olor w:val="auto"/>
                      <w:sz w:val="21"/>
                      <w:szCs w:val="21"/>
                      <w:lang w:val="en-US"/>
                    </w:rPr>
                  </w:pPr>
                  <w:r>
                    <w:rPr>
                      <w:rFonts w:hint="eastAsia"/>
                      <w:color w:val="auto"/>
                      <w:szCs w:val="21"/>
                      <w:lang w:val="en-US" w:eastAsia="zh-CN"/>
                    </w:rPr>
                    <w:t>20</w:t>
                  </w:r>
                </w:p>
              </w:tc>
              <w:tc>
                <w:tcPr>
                  <w:tcW w:w="698" w:type="pct"/>
                  <w:tcBorders>
                    <w:tl2br w:val="nil"/>
                    <w:tr2bl w:val="nil"/>
                  </w:tcBorders>
                  <w:noWrap w:val="0"/>
                  <w:vAlign w:val="center"/>
                </w:tcPr>
                <w:p w14:paraId="103F851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桶装</w:t>
                  </w:r>
                </w:p>
              </w:tc>
              <w:tc>
                <w:tcPr>
                  <w:tcW w:w="464" w:type="pct"/>
                  <w:vMerge w:val="continue"/>
                  <w:tcBorders>
                    <w:tl2br w:val="nil"/>
                    <w:tr2bl w:val="nil"/>
                  </w:tcBorders>
                  <w:noWrap w:val="0"/>
                  <w:vAlign w:val="center"/>
                </w:tcPr>
                <w:p w14:paraId="1AD1C48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464" w:type="pct"/>
                  <w:vMerge w:val="continue"/>
                  <w:tcBorders>
                    <w:tl2br w:val="nil"/>
                    <w:tr2bl w:val="nil"/>
                  </w:tcBorders>
                  <w:noWrap w:val="0"/>
                  <w:vAlign w:val="center"/>
                </w:tcPr>
                <w:p w14:paraId="6F1910B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14:paraId="2F8FAF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9" w:type="pct"/>
                  <w:tcBorders>
                    <w:tl2br w:val="nil"/>
                    <w:tr2bl w:val="nil"/>
                  </w:tcBorders>
                  <w:noWrap w:val="0"/>
                  <w:vAlign w:val="center"/>
                </w:tcPr>
                <w:p w14:paraId="162EC1E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r>
                    <w:rPr>
                      <w:rFonts w:hint="eastAsia"/>
                      <w:color w:val="auto"/>
                      <w:sz w:val="21"/>
                      <w:szCs w:val="21"/>
                    </w:rPr>
                    <w:t>5</w:t>
                  </w:r>
                </w:p>
              </w:tc>
              <w:tc>
                <w:tcPr>
                  <w:tcW w:w="783" w:type="pct"/>
                  <w:tcBorders>
                    <w:tl2br w:val="nil"/>
                    <w:tr2bl w:val="nil"/>
                  </w:tcBorders>
                  <w:noWrap w:val="0"/>
                  <w:vAlign w:val="center"/>
                </w:tcPr>
                <w:p w14:paraId="6BC40D7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kern w:val="2"/>
                      <w:sz w:val="21"/>
                      <w:szCs w:val="21"/>
                      <w:lang w:val="en-US" w:eastAsia="zh-CN" w:bidi="ar-SA"/>
                    </w:rPr>
                  </w:pPr>
                  <w:r>
                    <w:rPr>
                      <w:rFonts w:hint="eastAsia"/>
                      <w:color w:val="auto"/>
                      <w:szCs w:val="21"/>
                      <w:lang w:val="en-US" w:eastAsia="zh-CN"/>
                    </w:rPr>
                    <w:t>边框</w:t>
                  </w:r>
                </w:p>
              </w:tc>
              <w:tc>
                <w:tcPr>
                  <w:tcW w:w="511" w:type="pct"/>
                  <w:tcBorders>
                    <w:tl2br w:val="nil"/>
                    <w:tr2bl w:val="nil"/>
                  </w:tcBorders>
                  <w:noWrap w:val="0"/>
                  <w:vAlign w:val="center"/>
                </w:tcPr>
                <w:p w14:paraId="19105DF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olor w:val="auto"/>
                      <w:szCs w:val="21"/>
                      <w:lang w:val="en-US" w:eastAsia="zh-CN"/>
                    </w:rPr>
                  </w:pPr>
                  <w:r>
                    <w:rPr>
                      <w:rFonts w:hint="eastAsia"/>
                      <w:color w:val="auto"/>
                      <w:szCs w:val="21"/>
                      <w:lang w:val="en-US" w:eastAsia="zh-CN"/>
                    </w:rPr>
                    <w:t>固态</w:t>
                  </w:r>
                </w:p>
              </w:tc>
              <w:tc>
                <w:tcPr>
                  <w:tcW w:w="586" w:type="pct"/>
                  <w:tcBorders>
                    <w:tl2br w:val="nil"/>
                    <w:tr2bl w:val="nil"/>
                  </w:tcBorders>
                  <w:noWrap w:val="0"/>
                  <w:vAlign w:val="center"/>
                </w:tcPr>
                <w:p w14:paraId="1204B51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r>
                    <w:rPr>
                      <w:rFonts w:hint="eastAsia"/>
                      <w:color w:val="auto"/>
                      <w:szCs w:val="21"/>
                      <w:lang w:val="en-US" w:eastAsia="zh-CN"/>
                    </w:rPr>
                    <w:t>千克</w:t>
                  </w:r>
                </w:p>
              </w:tc>
              <w:tc>
                <w:tcPr>
                  <w:tcW w:w="603" w:type="pct"/>
                  <w:tcBorders>
                    <w:tl2br w:val="nil"/>
                    <w:tr2bl w:val="nil"/>
                  </w:tcBorders>
                  <w:noWrap w:val="0"/>
                  <w:vAlign w:val="center"/>
                </w:tcPr>
                <w:p w14:paraId="6BF51C2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r>
                    <w:rPr>
                      <w:rFonts w:hint="eastAsia"/>
                      <w:color w:val="auto"/>
                      <w:szCs w:val="21"/>
                      <w:lang w:val="en-US" w:eastAsia="zh-CN"/>
                    </w:rPr>
                    <w:t>180</w:t>
                  </w:r>
                </w:p>
              </w:tc>
              <w:tc>
                <w:tcPr>
                  <w:tcW w:w="586" w:type="pct"/>
                  <w:tcBorders>
                    <w:tl2br w:val="nil"/>
                    <w:tr2bl w:val="nil"/>
                  </w:tcBorders>
                  <w:noWrap w:val="0"/>
                  <w:vAlign w:val="center"/>
                </w:tcPr>
                <w:p w14:paraId="7AF9C15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r>
                    <w:rPr>
                      <w:rFonts w:hint="eastAsia"/>
                      <w:color w:val="auto"/>
                      <w:szCs w:val="21"/>
                      <w:lang w:val="en-US" w:eastAsia="zh-CN"/>
                    </w:rPr>
                    <w:t>30</w:t>
                  </w:r>
                </w:p>
              </w:tc>
              <w:tc>
                <w:tcPr>
                  <w:tcW w:w="698" w:type="pct"/>
                  <w:tcBorders>
                    <w:tl2br w:val="nil"/>
                    <w:tr2bl w:val="nil"/>
                  </w:tcBorders>
                  <w:noWrap w:val="0"/>
                  <w:vAlign w:val="center"/>
                </w:tcPr>
                <w:p w14:paraId="60F383A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箱装</w:t>
                  </w:r>
                </w:p>
              </w:tc>
              <w:tc>
                <w:tcPr>
                  <w:tcW w:w="464" w:type="pct"/>
                  <w:vMerge w:val="continue"/>
                  <w:tcBorders>
                    <w:tl2br w:val="nil"/>
                    <w:tr2bl w:val="nil"/>
                  </w:tcBorders>
                  <w:noWrap w:val="0"/>
                  <w:vAlign w:val="center"/>
                </w:tcPr>
                <w:p w14:paraId="54C639F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464" w:type="pct"/>
                  <w:vMerge w:val="continue"/>
                  <w:tcBorders>
                    <w:tl2br w:val="nil"/>
                    <w:tr2bl w:val="nil"/>
                  </w:tcBorders>
                  <w:noWrap w:val="0"/>
                  <w:vAlign w:val="center"/>
                </w:tcPr>
                <w:p w14:paraId="0F40885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14:paraId="3F17B1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9" w:type="pct"/>
                  <w:tcBorders>
                    <w:tl2br w:val="nil"/>
                    <w:tr2bl w:val="nil"/>
                  </w:tcBorders>
                  <w:noWrap w:val="0"/>
                  <w:vAlign w:val="center"/>
                </w:tcPr>
                <w:p w14:paraId="5D8789C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olor w:val="auto"/>
                      <w:kern w:val="2"/>
                      <w:sz w:val="21"/>
                      <w:szCs w:val="21"/>
                      <w:lang w:val="en-US" w:eastAsia="zh-CN" w:bidi="ar-SA"/>
                    </w:rPr>
                  </w:pPr>
                  <w:r>
                    <w:rPr>
                      <w:rFonts w:hint="eastAsia"/>
                      <w:color w:val="auto"/>
                      <w:sz w:val="21"/>
                      <w:szCs w:val="21"/>
                    </w:rPr>
                    <w:t>6</w:t>
                  </w:r>
                </w:p>
              </w:tc>
              <w:tc>
                <w:tcPr>
                  <w:tcW w:w="783" w:type="pct"/>
                  <w:tcBorders>
                    <w:tl2br w:val="nil"/>
                    <w:tr2bl w:val="nil"/>
                  </w:tcBorders>
                  <w:noWrap w:val="0"/>
                  <w:vAlign w:val="center"/>
                </w:tcPr>
                <w:p w14:paraId="0E8FC19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olor w:val="auto"/>
                      <w:sz w:val="21"/>
                      <w:szCs w:val="21"/>
                      <w:lang w:val="en-US" w:eastAsia="zh-CN"/>
                    </w:rPr>
                  </w:pPr>
                  <w:r>
                    <w:rPr>
                      <w:rFonts w:hint="eastAsia"/>
                      <w:color w:val="auto"/>
                      <w:szCs w:val="21"/>
                      <w:lang w:val="en-US" w:eastAsia="zh-CN"/>
                    </w:rPr>
                    <w:t>催化剂溶剂</w:t>
                  </w:r>
                </w:p>
              </w:tc>
              <w:tc>
                <w:tcPr>
                  <w:tcW w:w="511" w:type="pct"/>
                  <w:tcBorders>
                    <w:tl2br w:val="nil"/>
                    <w:tr2bl w:val="nil"/>
                  </w:tcBorders>
                  <w:noWrap w:val="0"/>
                  <w:vAlign w:val="center"/>
                </w:tcPr>
                <w:p w14:paraId="77D6C69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olor w:val="auto"/>
                      <w:szCs w:val="21"/>
                      <w:lang w:val="en-US" w:eastAsia="zh-CN"/>
                    </w:rPr>
                  </w:pPr>
                  <w:r>
                    <w:rPr>
                      <w:rFonts w:hint="eastAsia"/>
                      <w:color w:val="auto"/>
                      <w:szCs w:val="21"/>
                      <w:lang w:val="en-US" w:eastAsia="zh-CN"/>
                    </w:rPr>
                    <w:t>液态</w:t>
                  </w:r>
                </w:p>
              </w:tc>
              <w:tc>
                <w:tcPr>
                  <w:tcW w:w="586" w:type="pct"/>
                  <w:tcBorders>
                    <w:tl2br w:val="nil"/>
                    <w:tr2bl w:val="nil"/>
                  </w:tcBorders>
                  <w:noWrap w:val="0"/>
                  <w:vAlign w:val="center"/>
                </w:tcPr>
                <w:p w14:paraId="33633A4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olor w:val="auto"/>
                      <w:sz w:val="21"/>
                      <w:szCs w:val="21"/>
                      <w:lang w:val="en-US" w:eastAsia="zh-CN"/>
                    </w:rPr>
                  </w:pPr>
                  <w:r>
                    <w:rPr>
                      <w:rFonts w:hint="eastAsia"/>
                      <w:color w:val="auto"/>
                      <w:szCs w:val="21"/>
                      <w:lang w:val="en-US" w:eastAsia="zh-CN"/>
                    </w:rPr>
                    <w:t>千克</w:t>
                  </w:r>
                </w:p>
              </w:tc>
              <w:tc>
                <w:tcPr>
                  <w:tcW w:w="603" w:type="pct"/>
                  <w:tcBorders>
                    <w:tl2br w:val="nil"/>
                    <w:tr2bl w:val="nil"/>
                  </w:tcBorders>
                  <w:noWrap w:val="0"/>
                  <w:vAlign w:val="center"/>
                </w:tcPr>
                <w:p w14:paraId="49BB7CA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olor w:val="auto"/>
                      <w:sz w:val="21"/>
                      <w:szCs w:val="21"/>
                      <w:lang w:val="en-US" w:eastAsia="zh-CN"/>
                    </w:rPr>
                  </w:pPr>
                  <w:r>
                    <w:rPr>
                      <w:rFonts w:hint="eastAsia"/>
                      <w:color w:val="auto"/>
                      <w:szCs w:val="21"/>
                      <w:lang w:val="en-US" w:eastAsia="zh-CN"/>
                    </w:rPr>
                    <w:t>500</w:t>
                  </w:r>
                </w:p>
              </w:tc>
              <w:tc>
                <w:tcPr>
                  <w:tcW w:w="586" w:type="pct"/>
                  <w:tcBorders>
                    <w:tl2br w:val="nil"/>
                    <w:tr2bl w:val="nil"/>
                  </w:tcBorders>
                  <w:noWrap w:val="0"/>
                  <w:vAlign w:val="center"/>
                </w:tcPr>
                <w:p w14:paraId="6278E39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olor w:val="auto"/>
                      <w:sz w:val="21"/>
                      <w:szCs w:val="21"/>
                      <w:lang w:val="en-US" w:eastAsia="zh-CN"/>
                    </w:rPr>
                  </w:pPr>
                  <w:r>
                    <w:rPr>
                      <w:rFonts w:hint="eastAsia"/>
                      <w:color w:val="auto"/>
                      <w:szCs w:val="21"/>
                      <w:lang w:val="en-US" w:eastAsia="zh-CN"/>
                    </w:rPr>
                    <w:t>80</w:t>
                  </w:r>
                </w:p>
              </w:tc>
              <w:tc>
                <w:tcPr>
                  <w:tcW w:w="698" w:type="pct"/>
                  <w:tcBorders>
                    <w:tl2br w:val="nil"/>
                    <w:tr2bl w:val="nil"/>
                  </w:tcBorders>
                  <w:noWrap w:val="0"/>
                  <w:vAlign w:val="center"/>
                </w:tcPr>
                <w:p w14:paraId="2E202CB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桶装</w:t>
                  </w:r>
                </w:p>
              </w:tc>
              <w:tc>
                <w:tcPr>
                  <w:tcW w:w="464" w:type="pct"/>
                  <w:vMerge w:val="continue"/>
                  <w:tcBorders>
                    <w:tl2br w:val="nil"/>
                    <w:tr2bl w:val="nil"/>
                  </w:tcBorders>
                  <w:noWrap w:val="0"/>
                  <w:vAlign w:val="center"/>
                </w:tcPr>
                <w:p w14:paraId="231F27F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464" w:type="pct"/>
                  <w:vMerge w:val="continue"/>
                  <w:tcBorders>
                    <w:tl2br w:val="nil"/>
                    <w:tr2bl w:val="nil"/>
                  </w:tcBorders>
                  <w:noWrap w:val="0"/>
                  <w:vAlign w:val="center"/>
                </w:tcPr>
                <w:p w14:paraId="68F9B1B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14:paraId="3E8DDB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9" w:type="pct"/>
                  <w:tcBorders>
                    <w:tl2br w:val="nil"/>
                    <w:tr2bl w:val="nil"/>
                  </w:tcBorders>
                  <w:noWrap w:val="0"/>
                  <w:vAlign w:val="center"/>
                </w:tcPr>
                <w:p w14:paraId="0BDAA04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eastAsia="宋体"/>
                      <w:color w:val="auto"/>
                      <w:kern w:val="2"/>
                      <w:sz w:val="21"/>
                      <w:szCs w:val="21"/>
                      <w:lang w:val="en-US" w:eastAsia="zh-CN" w:bidi="ar-SA"/>
                    </w:rPr>
                  </w:pPr>
                  <w:r>
                    <w:rPr>
                      <w:rFonts w:hint="eastAsia"/>
                      <w:color w:val="auto"/>
                      <w:sz w:val="21"/>
                      <w:szCs w:val="21"/>
                      <w:lang w:val="en-US" w:eastAsia="zh-CN"/>
                    </w:rPr>
                    <w:t>7</w:t>
                  </w:r>
                </w:p>
              </w:tc>
              <w:tc>
                <w:tcPr>
                  <w:tcW w:w="783" w:type="pct"/>
                  <w:tcBorders>
                    <w:tl2br w:val="nil"/>
                    <w:tr2bl w:val="nil"/>
                  </w:tcBorders>
                  <w:noWrap w:val="0"/>
                  <w:vAlign w:val="center"/>
                </w:tcPr>
                <w:p w14:paraId="4910D99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olor w:val="auto"/>
                      <w:sz w:val="21"/>
                      <w:szCs w:val="21"/>
                      <w:lang w:val="en-US" w:eastAsia="zh-CN"/>
                    </w:rPr>
                  </w:pPr>
                  <w:r>
                    <w:rPr>
                      <w:rFonts w:hint="eastAsia"/>
                      <w:color w:val="auto"/>
                      <w:szCs w:val="21"/>
                      <w:lang w:val="en-US" w:eastAsia="zh-CN"/>
                    </w:rPr>
                    <w:t>异丙醇</w:t>
                  </w:r>
                </w:p>
              </w:tc>
              <w:tc>
                <w:tcPr>
                  <w:tcW w:w="511" w:type="pct"/>
                  <w:tcBorders>
                    <w:tl2br w:val="nil"/>
                    <w:tr2bl w:val="nil"/>
                  </w:tcBorders>
                  <w:noWrap w:val="0"/>
                  <w:vAlign w:val="center"/>
                </w:tcPr>
                <w:p w14:paraId="21DDEC3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olor w:val="auto"/>
                      <w:szCs w:val="21"/>
                      <w:lang w:val="en-US" w:eastAsia="zh-CN"/>
                    </w:rPr>
                  </w:pPr>
                  <w:r>
                    <w:rPr>
                      <w:rFonts w:hint="eastAsia"/>
                      <w:color w:val="auto"/>
                      <w:szCs w:val="21"/>
                      <w:lang w:val="en-US" w:eastAsia="zh-CN"/>
                    </w:rPr>
                    <w:t>液态</w:t>
                  </w:r>
                </w:p>
              </w:tc>
              <w:tc>
                <w:tcPr>
                  <w:tcW w:w="586" w:type="pct"/>
                  <w:tcBorders>
                    <w:tl2br w:val="nil"/>
                    <w:tr2bl w:val="nil"/>
                  </w:tcBorders>
                  <w:noWrap w:val="0"/>
                  <w:vAlign w:val="center"/>
                </w:tcPr>
                <w:p w14:paraId="6D6DAC8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olor w:val="auto"/>
                      <w:sz w:val="21"/>
                      <w:szCs w:val="21"/>
                      <w:lang w:val="en-US" w:eastAsia="zh-CN"/>
                    </w:rPr>
                  </w:pPr>
                  <w:r>
                    <w:rPr>
                      <w:rFonts w:hint="eastAsia"/>
                      <w:color w:val="auto"/>
                      <w:szCs w:val="21"/>
                      <w:lang w:val="en-US" w:eastAsia="zh-CN"/>
                    </w:rPr>
                    <w:t>升</w:t>
                  </w:r>
                </w:p>
              </w:tc>
              <w:tc>
                <w:tcPr>
                  <w:tcW w:w="603" w:type="pct"/>
                  <w:tcBorders>
                    <w:tl2br w:val="nil"/>
                    <w:tr2bl w:val="nil"/>
                  </w:tcBorders>
                  <w:noWrap w:val="0"/>
                  <w:vAlign w:val="center"/>
                </w:tcPr>
                <w:p w14:paraId="136DADA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olor w:val="auto"/>
                      <w:sz w:val="21"/>
                      <w:szCs w:val="21"/>
                      <w:lang w:val="en-US" w:eastAsia="zh-CN"/>
                    </w:rPr>
                  </w:pPr>
                  <w:r>
                    <w:rPr>
                      <w:rFonts w:hint="eastAsia"/>
                      <w:color w:val="auto"/>
                      <w:szCs w:val="21"/>
                      <w:lang w:val="en-US" w:eastAsia="zh-CN"/>
                    </w:rPr>
                    <w:t>48</w:t>
                  </w:r>
                </w:p>
              </w:tc>
              <w:tc>
                <w:tcPr>
                  <w:tcW w:w="586" w:type="pct"/>
                  <w:tcBorders>
                    <w:tl2br w:val="nil"/>
                    <w:tr2bl w:val="nil"/>
                  </w:tcBorders>
                  <w:noWrap w:val="0"/>
                  <w:vAlign w:val="center"/>
                </w:tcPr>
                <w:p w14:paraId="187E125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olor w:val="auto"/>
                      <w:sz w:val="21"/>
                      <w:szCs w:val="21"/>
                      <w:lang w:val="en-US" w:eastAsia="zh-CN"/>
                    </w:rPr>
                  </w:pPr>
                  <w:r>
                    <w:rPr>
                      <w:rFonts w:hint="eastAsia"/>
                      <w:color w:val="auto"/>
                      <w:szCs w:val="21"/>
                      <w:lang w:val="en-US" w:eastAsia="zh-CN"/>
                    </w:rPr>
                    <w:t>48</w:t>
                  </w:r>
                </w:p>
              </w:tc>
              <w:tc>
                <w:tcPr>
                  <w:tcW w:w="698" w:type="pct"/>
                  <w:tcBorders>
                    <w:tl2br w:val="nil"/>
                    <w:tr2bl w:val="nil"/>
                  </w:tcBorders>
                  <w:noWrap w:val="0"/>
                  <w:vAlign w:val="center"/>
                </w:tcPr>
                <w:p w14:paraId="6E6FB18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瓶装</w:t>
                  </w:r>
                </w:p>
              </w:tc>
              <w:tc>
                <w:tcPr>
                  <w:tcW w:w="464" w:type="pct"/>
                  <w:vMerge w:val="continue"/>
                  <w:tcBorders>
                    <w:tl2br w:val="nil"/>
                    <w:tr2bl w:val="nil"/>
                  </w:tcBorders>
                  <w:noWrap w:val="0"/>
                  <w:vAlign w:val="center"/>
                </w:tcPr>
                <w:p w14:paraId="603CBC5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464" w:type="pct"/>
                  <w:vMerge w:val="continue"/>
                  <w:tcBorders>
                    <w:tl2br w:val="nil"/>
                    <w:tr2bl w:val="nil"/>
                  </w:tcBorders>
                  <w:noWrap w:val="0"/>
                  <w:vAlign w:val="center"/>
                </w:tcPr>
                <w:p w14:paraId="5F5A202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14:paraId="253864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9" w:type="pct"/>
                  <w:tcBorders>
                    <w:tl2br w:val="nil"/>
                    <w:tr2bl w:val="nil"/>
                  </w:tcBorders>
                  <w:noWrap w:val="0"/>
                  <w:vAlign w:val="center"/>
                </w:tcPr>
                <w:p w14:paraId="3598F41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eastAsia="宋体"/>
                      <w:color w:val="auto"/>
                      <w:kern w:val="2"/>
                      <w:sz w:val="21"/>
                      <w:szCs w:val="21"/>
                      <w:lang w:val="en-US" w:eastAsia="zh-CN" w:bidi="ar-SA"/>
                    </w:rPr>
                  </w:pPr>
                  <w:r>
                    <w:rPr>
                      <w:rFonts w:hint="eastAsia" w:eastAsia="宋体"/>
                      <w:color w:val="auto"/>
                      <w:kern w:val="2"/>
                      <w:sz w:val="21"/>
                      <w:szCs w:val="21"/>
                      <w:lang w:val="en-US" w:eastAsia="zh-CN" w:bidi="ar-SA"/>
                    </w:rPr>
                    <w:t>8</w:t>
                  </w:r>
                </w:p>
              </w:tc>
              <w:tc>
                <w:tcPr>
                  <w:tcW w:w="783" w:type="pct"/>
                  <w:tcBorders>
                    <w:tl2br w:val="nil"/>
                    <w:tr2bl w:val="nil"/>
                  </w:tcBorders>
                  <w:shd w:val="clear" w:color="auto" w:fill="auto"/>
                  <w:noWrap w:val="0"/>
                  <w:vAlign w:val="center"/>
                </w:tcPr>
                <w:p w14:paraId="7F025F2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氧化钼</w:t>
                  </w:r>
                </w:p>
              </w:tc>
              <w:tc>
                <w:tcPr>
                  <w:tcW w:w="511" w:type="pct"/>
                  <w:tcBorders>
                    <w:tl2br w:val="nil"/>
                    <w:tr2bl w:val="nil"/>
                  </w:tcBorders>
                  <w:shd w:val="clear" w:color="auto" w:fill="auto"/>
                  <w:noWrap w:val="0"/>
                  <w:vAlign w:val="center"/>
                </w:tcPr>
                <w:p w14:paraId="6625BD1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固态</w:t>
                  </w:r>
                </w:p>
              </w:tc>
              <w:tc>
                <w:tcPr>
                  <w:tcW w:w="586" w:type="pct"/>
                  <w:tcBorders>
                    <w:tl2br w:val="nil"/>
                    <w:tr2bl w:val="nil"/>
                  </w:tcBorders>
                  <w:shd w:val="clear" w:color="auto" w:fill="auto"/>
                  <w:noWrap w:val="0"/>
                  <w:vAlign w:val="center"/>
                </w:tcPr>
                <w:p w14:paraId="3753BF8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千克</w:t>
                  </w:r>
                </w:p>
              </w:tc>
              <w:tc>
                <w:tcPr>
                  <w:tcW w:w="603" w:type="pct"/>
                  <w:tcBorders>
                    <w:tl2br w:val="nil"/>
                    <w:tr2bl w:val="nil"/>
                  </w:tcBorders>
                  <w:shd w:val="clear" w:color="auto" w:fill="auto"/>
                  <w:noWrap w:val="0"/>
                  <w:vAlign w:val="center"/>
                </w:tcPr>
                <w:p w14:paraId="0A57804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w:t>
                  </w:r>
                </w:p>
              </w:tc>
              <w:tc>
                <w:tcPr>
                  <w:tcW w:w="586" w:type="pct"/>
                  <w:tcBorders>
                    <w:tl2br w:val="nil"/>
                    <w:tr2bl w:val="nil"/>
                  </w:tcBorders>
                  <w:shd w:val="clear" w:color="auto" w:fill="auto"/>
                  <w:noWrap w:val="0"/>
                  <w:vAlign w:val="center"/>
                </w:tcPr>
                <w:p w14:paraId="477A516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698" w:type="pct"/>
                  <w:tcBorders>
                    <w:tl2br w:val="nil"/>
                    <w:tr2bl w:val="nil"/>
                  </w:tcBorders>
                  <w:shd w:val="clear" w:color="auto" w:fill="auto"/>
                  <w:noWrap w:val="0"/>
                  <w:vAlign w:val="center"/>
                </w:tcPr>
                <w:p w14:paraId="4879A53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袋装</w:t>
                  </w:r>
                </w:p>
              </w:tc>
              <w:tc>
                <w:tcPr>
                  <w:tcW w:w="464" w:type="pct"/>
                  <w:vMerge w:val="continue"/>
                  <w:tcBorders>
                    <w:tl2br w:val="nil"/>
                    <w:tr2bl w:val="nil"/>
                  </w:tcBorders>
                  <w:noWrap w:val="0"/>
                  <w:vAlign w:val="center"/>
                </w:tcPr>
                <w:p w14:paraId="5B7C501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olor w:val="auto"/>
                      <w:sz w:val="21"/>
                      <w:szCs w:val="21"/>
                      <w:lang w:val="en-US" w:eastAsia="zh-CN"/>
                    </w:rPr>
                  </w:pPr>
                </w:p>
              </w:tc>
              <w:tc>
                <w:tcPr>
                  <w:tcW w:w="464" w:type="pct"/>
                  <w:vMerge w:val="restart"/>
                  <w:tcBorders>
                    <w:tl2br w:val="nil"/>
                    <w:tr2bl w:val="nil"/>
                  </w:tcBorders>
                  <w:noWrap w:val="0"/>
                  <w:vAlign w:val="center"/>
                </w:tcPr>
                <w:p w14:paraId="3A73690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r>
                    <w:rPr>
                      <w:rFonts w:hint="eastAsia"/>
                      <w:color w:val="auto"/>
                      <w:sz w:val="21"/>
                      <w:szCs w:val="21"/>
                      <w:lang w:val="en-US" w:eastAsia="zh-CN"/>
                    </w:rPr>
                    <w:t>制作氢气泄漏检测胶带</w:t>
                  </w:r>
                </w:p>
              </w:tc>
            </w:tr>
            <w:tr w14:paraId="7587DB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9" w:type="pct"/>
                  <w:tcBorders>
                    <w:tl2br w:val="nil"/>
                    <w:tr2bl w:val="nil"/>
                  </w:tcBorders>
                  <w:noWrap w:val="0"/>
                  <w:vAlign w:val="center"/>
                </w:tcPr>
                <w:p w14:paraId="52A64CF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eastAsia="宋体"/>
                      <w:color w:val="auto"/>
                      <w:kern w:val="2"/>
                      <w:sz w:val="21"/>
                      <w:szCs w:val="21"/>
                      <w:lang w:val="en-US" w:eastAsia="zh-CN" w:bidi="ar-SA"/>
                    </w:rPr>
                  </w:pPr>
                  <w:r>
                    <w:rPr>
                      <w:rFonts w:hint="eastAsia"/>
                      <w:color w:val="auto"/>
                      <w:sz w:val="21"/>
                      <w:szCs w:val="21"/>
                      <w:lang w:val="en-US" w:eastAsia="zh-CN"/>
                    </w:rPr>
                    <w:t>9</w:t>
                  </w:r>
                </w:p>
              </w:tc>
              <w:tc>
                <w:tcPr>
                  <w:tcW w:w="783" w:type="pct"/>
                  <w:tcBorders>
                    <w:tl2br w:val="nil"/>
                    <w:tr2bl w:val="nil"/>
                  </w:tcBorders>
                  <w:shd w:val="clear" w:color="auto" w:fill="auto"/>
                  <w:noWrap w:val="0"/>
                  <w:vAlign w:val="center"/>
                </w:tcPr>
                <w:p w14:paraId="1F31D65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钯盐</w:t>
                  </w:r>
                </w:p>
              </w:tc>
              <w:tc>
                <w:tcPr>
                  <w:tcW w:w="511" w:type="pct"/>
                  <w:tcBorders>
                    <w:tl2br w:val="nil"/>
                    <w:tr2bl w:val="nil"/>
                  </w:tcBorders>
                  <w:shd w:val="clear" w:color="auto" w:fill="auto"/>
                  <w:noWrap w:val="0"/>
                  <w:vAlign w:val="center"/>
                </w:tcPr>
                <w:p w14:paraId="13DE145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固态</w:t>
                  </w:r>
                </w:p>
              </w:tc>
              <w:tc>
                <w:tcPr>
                  <w:tcW w:w="586" w:type="pct"/>
                  <w:tcBorders>
                    <w:tl2br w:val="nil"/>
                    <w:tr2bl w:val="nil"/>
                  </w:tcBorders>
                  <w:shd w:val="clear" w:color="auto" w:fill="auto"/>
                  <w:noWrap w:val="0"/>
                  <w:vAlign w:val="center"/>
                </w:tcPr>
                <w:p w14:paraId="4B56016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克</w:t>
                  </w:r>
                </w:p>
              </w:tc>
              <w:tc>
                <w:tcPr>
                  <w:tcW w:w="603" w:type="pct"/>
                  <w:tcBorders>
                    <w:tl2br w:val="nil"/>
                    <w:tr2bl w:val="nil"/>
                  </w:tcBorders>
                  <w:shd w:val="clear" w:color="auto" w:fill="auto"/>
                  <w:noWrap w:val="0"/>
                  <w:vAlign w:val="center"/>
                </w:tcPr>
                <w:p w14:paraId="5E4AD22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120</w:t>
                  </w:r>
                </w:p>
              </w:tc>
              <w:tc>
                <w:tcPr>
                  <w:tcW w:w="586" w:type="pct"/>
                  <w:tcBorders>
                    <w:tl2br w:val="nil"/>
                    <w:tr2bl w:val="nil"/>
                  </w:tcBorders>
                  <w:shd w:val="clear" w:color="auto" w:fill="auto"/>
                  <w:noWrap w:val="0"/>
                  <w:vAlign w:val="center"/>
                </w:tcPr>
                <w:p w14:paraId="3D60A02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10</w:t>
                  </w:r>
                </w:p>
              </w:tc>
              <w:tc>
                <w:tcPr>
                  <w:tcW w:w="698" w:type="pct"/>
                  <w:tcBorders>
                    <w:tl2br w:val="nil"/>
                    <w:tr2bl w:val="nil"/>
                  </w:tcBorders>
                  <w:shd w:val="clear" w:color="auto" w:fill="auto"/>
                  <w:noWrap w:val="0"/>
                  <w:vAlign w:val="center"/>
                </w:tcPr>
                <w:p w14:paraId="5AD2EFA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瓶装</w:t>
                  </w:r>
                </w:p>
              </w:tc>
              <w:tc>
                <w:tcPr>
                  <w:tcW w:w="464" w:type="pct"/>
                  <w:vMerge w:val="continue"/>
                  <w:tcBorders>
                    <w:tl2br w:val="nil"/>
                    <w:tr2bl w:val="nil"/>
                  </w:tcBorders>
                  <w:noWrap w:val="0"/>
                  <w:vAlign w:val="center"/>
                </w:tcPr>
                <w:p w14:paraId="479FA1E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464" w:type="pct"/>
                  <w:vMerge w:val="continue"/>
                  <w:tcBorders>
                    <w:tl2br w:val="nil"/>
                    <w:tr2bl w:val="nil"/>
                  </w:tcBorders>
                  <w:noWrap w:val="0"/>
                  <w:vAlign w:val="center"/>
                </w:tcPr>
                <w:p w14:paraId="49D6262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14:paraId="7A6D6B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9" w:type="pct"/>
                  <w:tcBorders>
                    <w:tl2br w:val="nil"/>
                    <w:tr2bl w:val="nil"/>
                  </w:tcBorders>
                  <w:noWrap w:val="0"/>
                  <w:vAlign w:val="center"/>
                </w:tcPr>
                <w:p w14:paraId="7D0530A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eastAsia="宋体"/>
                      <w:color w:val="auto"/>
                      <w:kern w:val="2"/>
                      <w:sz w:val="21"/>
                      <w:szCs w:val="21"/>
                      <w:lang w:val="en-US" w:eastAsia="zh-CN" w:bidi="ar-SA"/>
                    </w:rPr>
                  </w:pPr>
                  <w:r>
                    <w:rPr>
                      <w:rFonts w:hint="eastAsia"/>
                      <w:color w:val="auto"/>
                      <w:sz w:val="21"/>
                      <w:szCs w:val="21"/>
                      <w:lang w:val="en-US" w:eastAsia="zh-CN"/>
                    </w:rPr>
                    <w:t>10</w:t>
                  </w:r>
                </w:p>
              </w:tc>
              <w:tc>
                <w:tcPr>
                  <w:tcW w:w="783" w:type="pct"/>
                  <w:tcBorders>
                    <w:tl2br w:val="nil"/>
                    <w:tr2bl w:val="nil"/>
                  </w:tcBorders>
                  <w:shd w:val="clear" w:color="auto" w:fill="auto"/>
                  <w:noWrap w:val="0"/>
                  <w:vAlign w:val="center"/>
                </w:tcPr>
                <w:p w14:paraId="34A1EE1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甲酸</w:t>
                  </w:r>
                </w:p>
              </w:tc>
              <w:tc>
                <w:tcPr>
                  <w:tcW w:w="511" w:type="pct"/>
                  <w:tcBorders>
                    <w:tl2br w:val="nil"/>
                    <w:tr2bl w:val="nil"/>
                  </w:tcBorders>
                  <w:shd w:val="clear" w:color="auto" w:fill="auto"/>
                  <w:noWrap w:val="0"/>
                  <w:vAlign w:val="center"/>
                </w:tcPr>
                <w:p w14:paraId="6AF609F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液态</w:t>
                  </w:r>
                </w:p>
              </w:tc>
              <w:tc>
                <w:tcPr>
                  <w:tcW w:w="586" w:type="pct"/>
                  <w:tcBorders>
                    <w:tl2br w:val="nil"/>
                    <w:tr2bl w:val="nil"/>
                  </w:tcBorders>
                  <w:shd w:val="clear" w:color="auto" w:fill="auto"/>
                  <w:noWrap w:val="0"/>
                  <w:vAlign w:val="center"/>
                </w:tcPr>
                <w:p w14:paraId="4D91FA2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lang w:val="en-US" w:eastAsia="zh-CN"/>
                    </w:rPr>
                  </w:pPr>
                  <w:r>
                    <w:rPr>
                      <w:rFonts w:hint="eastAsia"/>
                      <w:color w:val="auto"/>
                      <w:szCs w:val="21"/>
                      <w:lang w:val="en-US" w:eastAsia="zh-CN"/>
                    </w:rPr>
                    <w:t>升</w:t>
                  </w:r>
                </w:p>
              </w:tc>
              <w:tc>
                <w:tcPr>
                  <w:tcW w:w="603" w:type="pct"/>
                  <w:tcBorders>
                    <w:tl2br w:val="nil"/>
                    <w:tr2bl w:val="nil"/>
                  </w:tcBorders>
                  <w:shd w:val="clear" w:color="auto" w:fill="auto"/>
                  <w:noWrap w:val="0"/>
                  <w:vAlign w:val="center"/>
                </w:tcPr>
                <w:p w14:paraId="56D6C39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0.6</w:t>
                  </w:r>
                </w:p>
              </w:tc>
              <w:tc>
                <w:tcPr>
                  <w:tcW w:w="586" w:type="pct"/>
                  <w:tcBorders>
                    <w:tl2br w:val="nil"/>
                    <w:tr2bl w:val="nil"/>
                  </w:tcBorders>
                  <w:shd w:val="clear" w:color="auto" w:fill="auto"/>
                  <w:noWrap w:val="0"/>
                  <w:vAlign w:val="center"/>
                </w:tcPr>
                <w:p w14:paraId="05B62DB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0.5</w:t>
                  </w:r>
                </w:p>
              </w:tc>
              <w:tc>
                <w:tcPr>
                  <w:tcW w:w="698" w:type="pct"/>
                  <w:tcBorders>
                    <w:tl2br w:val="nil"/>
                    <w:tr2bl w:val="nil"/>
                  </w:tcBorders>
                  <w:shd w:val="clear" w:color="auto" w:fill="auto"/>
                  <w:noWrap w:val="0"/>
                  <w:vAlign w:val="center"/>
                </w:tcPr>
                <w:p w14:paraId="76F8B7E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瓶装</w:t>
                  </w:r>
                </w:p>
              </w:tc>
              <w:tc>
                <w:tcPr>
                  <w:tcW w:w="464" w:type="pct"/>
                  <w:vMerge w:val="continue"/>
                  <w:tcBorders>
                    <w:tl2br w:val="nil"/>
                    <w:tr2bl w:val="nil"/>
                  </w:tcBorders>
                  <w:noWrap w:val="0"/>
                  <w:vAlign w:val="center"/>
                </w:tcPr>
                <w:p w14:paraId="2EAF210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464" w:type="pct"/>
                  <w:vMerge w:val="continue"/>
                  <w:tcBorders>
                    <w:tl2br w:val="nil"/>
                    <w:tr2bl w:val="nil"/>
                  </w:tcBorders>
                  <w:noWrap w:val="0"/>
                  <w:vAlign w:val="center"/>
                </w:tcPr>
                <w:p w14:paraId="21FF929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14:paraId="30AC3E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9" w:type="pct"/>
                  <w:tcBorders>
                    <w:tl2br w:val="nil"/>
                    <w:tr2bl w:val="nil"/>
                  </w:tcBorders>
                  <w:noWrap w:val="0"/>
                  <w:vAlign w:val="center"/>
                </w:tcPr>
                <w:p w14:paraId="74E1FFE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eastAsia="宋体"/>
                      <w:color w:val="auto"/>
                      <w:kern w:val="2"/>
                      <w:sz w:val="21"/>
                      <w:szCs w:val="21"/>
                      <w:lang w:val="en-US" w:eastAsia="zh-CN" w:bidi="ar-SA"/>
                    </w:rPr>
                  </w:pPr>
                  <w:r>
                    <w:rPr>
                      <w:rFonts w:hint="eastAsia"/>
                      <w:color w:val="auto"/>
                      <w:sz w:val="21"/>
                      <w:szCs w:val="21"/>
                      <w:lang w:val="en-US" w:eastAsia="zh-CN"/>
                    </w:rPr>
                    <w:t>11</w:t>
                  </w:r>
                </w:p>
              </w:tc>
              <w:tc>
                <w:tcPr>
                  <w:tcW w:w="783" w:type="pct"/>
                  <w:tcBorders>
                    <w:tl2br w:val="nil"/>
                    <w:tr2bl w:val="nil"/>
                  </w:tcBorders>
                  <w:shd w:val="clear" w:color="auto" w:fill="auto"/>
                  <w:noWrap w:val="0"/>
                  <w:vAlign w:val="center"/>
                </w:tcPr>
                <w:p w14:paraId="3DFABC4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甲醇</w:t>
                  </w:r>
                </w:p>
              </w:tc>
              <w:tc>
                <w:tcPr>
                  <w:tcW w:w="511" w:type="pct"/>
                  <w:tcBorders>
                    <w:tl2br w:val="nil"/>
                    <w:tr2bl w:val="nil"/>
                  </w:tcBorders>
                  <w:shd w:val="clear" w:color="auto" w:fill="auto"/>
                  <w:noWrap w:val="0"/>
                  <w:vAlign w:val="center"/>
                </w:tcPr>
                <w:p w14:paraId="1C4C4FB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液态</w:t>
                  </w:r>
                </w:p>
              </w:tc>
              <w:tc>
                <w:tcPr>
                  <w:tcW w:w="586" w:type="pct"/>
                  <w:tcBorders>
                    <w:tl2br w:val="nil"/>
                    <w:tr2bl w:val="nil"/>
                  </w:tcBorders>
                  <w:shd w:val="clear" w:color="auto" w:fill="auto"/>
                  <w:noWrap w:val="0"/>
                  <w:vAlign w:val="center"/>
                </w:tcPr>
                <w:p w14:paraId="3FA90D1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lang w:val="en-US" w:eastAsia="zh-CN"/>
                    </w:rPr>
                  </w:pPr>
                  <w:r>
                    <w:rPr>
                      <w:rFonts w:hint="eastAsia"/>
                      <w:color w:val="auto"/>
                      <w:szCs w:val="21"/>
                      <w:lang w:val="en-US" w:eastAsia="zh-CN"/>
                    </w:rPr>
                    <w:t>升</w:t>
                  </w:r>
                </w:p>
              </w:tc>
              <w:tc>
                <w:tcPr>
                  <w:tcW w:w="603" w:type="pct"/>
                  <w:tcBorders>
                    <w:tl2br w:val="nil"/>
                    <w:tr2bl w:val="nil"/>
                  </w:tcBorders>
                  <w:shd w:val="clear" w:color="auto" w:fill="auto"/>
                  <w:noWrap w:val="0"/>
                  <w:vAlign w:val="center"/>
                </w:tcPr>
                <w:p w14:paraId="7EAD8C8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122</w:t>
                  </w:r>
                </w:p>
              </w:tc>
              <w:tc>
                <w:tcPr>
                  <w:tcW w:w="586" w:type="pct"/>
                  <w:tcBorders>
                    <w:tl2br w:val="nil"/>
                    <w:tr2bl w:val="nil"/>
                  </w:tcBorders>
                  <w:shd w:val="clear" w:color="auto" w:fill="auto"/>
                  <w:noWrap w:val="0"/>
                  <w:vAlign w:val="center"/>
                </w:tcPr>
                <w:p w14:paraId="4AF253B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50</w:t>
                  </w:r>
                </w:p>
              </w:tc>
              <w:tc>
                <w:tcPr>
                  <w:tcW w:w="698" w:type="pct"/>
                  <w:tcBorders>
                    <w:tl2br w:val="nil"/>
                    <w:tr2bl w:val="nil"/>
                  </w:tcBorders>
                  <w:shd w:val="clear" w:color="auto" w:fill="auto"/>
                  <w:noWrap w:val="0"/>
                  <w:vAlign w:val="center"/>
                </w:tcPr>
                <w:p w14:paraId="3BFD7C2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桶装</w:t>
                  </w:r>
                </w:p>
              </w:tc>
              <w:tc>
                <w:tcPr>
                  <w:tcW w:w="464" w:type="pct"/>
                  <w:vMerge w:val="continue"/>
                  <w:tcBorders>
                    <w:tl2br w:val="nil"/>
                    <w:tr2bl w:val="nil"/>
                  </w:tcBorders>
                  <w:noWrap w:val="0"/>
                  <w:vAlign w:val="center"/>
                </w:tcPr>
                <w:p w14:paraId="41B6BD5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464" w:type="pct"/>
                  <w:vMerge w:val="continue"/>
                  <w:tcBorders>
                    <w:tl2br w:val="nil"/>
                    <w:tr2bl w:val="nil"/>
                  </w:tcBorders>
                  <w:noWrap w:val="0"/>
                  <w:vAlign w:val="center"/>
                </w:tcPr>
                <w:p w14:paraId="5ADE209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14:paraId="5C995C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9" w:type="pct"/>
                  <w:tcBorders>
                    <w:tl2br w:val="nil"/>
                    <w:tr2bl w:val="nil"/>
                  </w:tcBorders>
                  <w:noWrap w:val="0"/>
                  <w:vAlign w:val="center"/>
                </w:tcPr>
                <w:p w14:paraId="02A685B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eastAsia="宋体"/>
                      <w:color w:val="auto"/>
                      <w:kern w:val="2"/>
                      <w:sz w:val="21"/>
                      <w:szCs w:val="21"/>
                      <w:lang w:val="en-US" w:eastAsia="zh-CN" w:bidi="ar-SA"/>
                    </w:rPr>
                  </w:pPr>
                  <w:r>
                    <w:rPr>
                      <w:rFonts w:hint="eastAsia"/>
                      <w:color w:val="auto"/>
                      <w:sz w:val="21"/>
                      <w:szCs w:val="21"/>
                      <w:lang w:val="en-US" w:eastAsia="zh-CN"/>
                    </w:rPr>
                    <w:t>12</w:t>
                  </w:r>
                </w:p>
              </w:tc>
              <w:tc>
                <w:tcPr>
                  <w:tcW w:w="783" w:type="pct"/>
                  <w:tcBorders>
                    <w:tl2br w:val="nil"/>
                    <w:tr2bl w:val="nil"/>
                  </w:tcBorders>
                  <w:shd w:val="clear" w:color="auto" w:fill="auto"/>
                  <w:noWrap w:val="0"/>
                  <w:vAlign w:val="center"/>
                </w:tcPr>
                <w:p w14:paraId="044B8A3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双氧水</w:t>
                  </w:r>
                </w:p>
              </w:tc>
              <w:tc>
                <w:tcPr>
                  <w:tcW w:w="511" w:type="pct"/>
                  <w:tcBorders>
                    <w:tl2br w:val="nil"/>
                    <w:tr2bl w:val="nil"/>
                  </w:tcBorders>
                  <w:shd w:val="clear" w:color="auto" w:fill="auto"/>
                  <w:noWrap w:val="0"/>
                  <w:vAlign w:val="center"/>
                </w:tcPr>
                <w:p w14:paraId="7828711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液态</w:t>
                  </w:r>
                </w:p>
              </w:tc>
              <w:tc>
                <w:tcPr>
                  <w:tcW w:w="586" w:type="pct"/>
                  <w:tcBorders>
                    <w:tl2br w:val="nil"/>
                    <w:tr2bl w:val="nil"/>
                  </w:tcBorders>
                  <w:shd w:val="clear" w:color="auto" w:fill="auto"/>
                  <w:noWrap w:val="0"/>
                  <w:vAlign w:val="center"/>
                </w:tcPr>
                <w:p w14:paraId="7AD1DD8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lang w:val="en-US" w:eastAsia="zh-CN"/>
                    </w:rPr>
                  </w:pPr>
                  <w:r>
                    <w:rPr>
                      <w:rFonts w:hint="eastAsia"/>
                      <w:color w:val="auto"/>
                      <w:szCs w:val="21"/>
                      <w:lang w:val="en-US" w:eastAsia="zh-CN"/>
                    </w:rPr>
                    <w:t>升</w:t>
                  </w:r>
                </w:p>
              </w:tc>
              <w:tc>
                <w:tcPr>
                  <w:tcW w:w="603" w:type="pct"/>
                  <w:tcBorders>
                    <w:tl2br w:val="nil"/>
                    <w:tr2bl w:val="nil"/>
                  </w:tcBorders>
                  <w:shd w:val="clear" w:color="auto" w:fill="auto"/>
                  <w:noWrap w:val="0"/>
                  <w:vAlign w:val="center"/>
                </w:tcPr>
                <w:p w14:paraId="35AA29C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2.4</w:t>
                  </w:r>
                </w:p>
              </w:tc>
              <w:tc>
                <w:tcPr>
                  <w:tcW w:w="586" w:type="pct"/>
                  <w:tcBorders>
                    <w:tl2br w:val="nil"/>
                    <w:tr2bl w:val="nil"/>
                  </w:tcBorders>
                  <w:shd w:val="clear" w:color="auto" w:fill="auto"/>
                  <w:noWrap w:val="0"/>
                  <w:vAlign w:val="center"/>
                </w:tcPr>
                <w:p w14:paraId="25EDD52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0.5</w:t>
                  </w:r>
                </w:p>
              </w:tc>
              <w:tc>
                <w:tcPr>
                  <w:tcW w:w="698" w:type="pct"/>
                  <w:tcBorders>
                    <w:tl2br w:val="nil"/>
                    <w:tr2bl w:val="nil"/>
                  </w:tcBorders>
                  <w:shd w:val="clear" w:color="auto" w:fill="auto"/>
                  <w:noWrap w:val="0"/>
                  <w:vAlign w:val="center"/>
                </w:tcPr>
                <w:p w14:paraId="59A9E42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瓶装</w:t>
                  </w:r>
                </w:p>
              </w:tc>
              <w:tc>
                <w:tcPr>
                  <w:tcW w:w="464" w:type="pct"/>
                  <w:vMerge w:val="continue"/>
                  <w:tcBorders>
                    <w:tl2br w:val="nil"/>
                    <w:tr2bl w:val="nil"/>
                  </w:tcBorders>
                  <w:noWrap w:val="0"/>
                  <w:vAlign w:val="center"/>
                </w:tcPr>
                <w:p w14:paraId="56AE88B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464" w:type="pct"/>
                  <w:vMerge w:val="continue"/>
                  <w:tcBorders>
                    <w:tl2br w:val="nil"/>
                    <w:tr2bl w:val="nil"/>
                  </w:tcBorders>
                  <w:noWrap w:val="0"/>
                  <w:vAlign w:val="center"/>
                </w:tcPr>
                <w:p w14:paraId="5112BE1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14:paraId="75C711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9" w:type="pct"/>
                  <w:tcBorders>
                    <w:tl2br w:val="nil"/>
                    <w:tr2bl w:val="nil"/>
                  </w:tcBorders>
                  <w:noWrap w:val="0"/>
                  <w:vAlign w:val="center"/>
                </w:tcPr>
                <w:p w14:paraId="571119A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eastAsia="宋体"/>
                      <w:color w:val="auto"/>
                      <w:kern w:val="2"/>
                      <w:sz w:val="21"/>
                      <w:szCs w:val="21"/>
                      <w:lang w:val="en-US" w:eastAsia="zh-CN" w:bidi="ar-SA"/>
                    </w:rPr>
                  </w:pPr>
                  <w:r>
                    <w:rPr>
                      <w:rFonts w:hint="eastAsia"/>
                      <w:color w:val="auto"/>
                      <w:sz w:val="21"/>
                      <w:szCs w:val="21"/>
                      <w:lang w:val="en-US" w:eastAsia="zh-CN"/>
                    </w:rPr>
                    <w:t>13</w:t>
                  </w:r>
                </w:p>
              </w:tc>
              <w:tc>
                <w:tcPr>
                  <w:tcW w:w="783" w:type="pct"/>
                  <w:tcBorders>
                    <w:tl2br w:val="nil"/>
                    <w:tr2bl w:val="nil"/>
                  </w:tcBorders>
                  <w:shd w:val="clear" w:color="auto" w:fill="auto"/>
                  <w:noWrap w:val="0"/>
                  <w:vAlign w:val="center"/>
                </w:tcPr>
                <w:p w14:paraId="6B6843F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乙酸</w:t>
                  </w:r>
                </w:p>
              </w:tc>
              <w:tc>
                <w:tcPr>
                  <w:tcW w:w="511" w:type="pct"/>
                  <w:tcBorders>
                    <w:tl2br w:val="nil"/>
                    <w:tr2bl w:val="nil"/>
                  </w:tcBorders>
                  <w:shd w:val="clear" w:color="auto" w:fill="auto"/>
                  <w:noWrap w:val="0"/>
                  <w:vAlign w:val="center"/>
                </w:tcPr>
                <w:p w14:paraId="22DE7DB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液态</w:t>
                  </w:r>
                </w:p>
              </w:tc>
              <w:tc>
                <w:tcPr>
                  <w:tcW w:w="586" w:type="pct"/>
                  <w:tcBorders>
                    <w:tl2br w:val="nil"/>
                    <w:tr2bl w:val="nil"/>
                  </w:tcBorders>
                  <w:shd w:val="clear" w:color="auto" w:fill="auto"/>
                  <w:noWrap w:val="0"/>
                  <w:vAlign w:val="center"/>
                </w:tcPr>
                <w:p w14:paraId="06736CD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lang w:val="en-US" w:eastAsia="zh-CN"/>
                    </w:rPr>
                  </w:pPr>
                  <w:r>
                    <w:rPr>
                      <w:rFonts w:hint="eastAsia"/>
                      <w:color w:val="auto"/>
                      <w:szCs w:val="21"/>
                      <w:lang w:val="en-US" w:eastAsia="zh-CN"/>
                    </w:rPr>
                    <w:t>升</w:t>
                  </w:r>
                </w:p>
              </w:tc>
              <w:tc>
                <w:tcPr>
                  <w:tcW w:w="603" w:type="pct"/>
                  <w:tcBorders>
                    <w:tl2br w:val="nil"/>
                    <w:tr2bl w:val="nil"/>
                  </w:tcBorders>
                  <w:shd w:val="clear" w:color="auto" w:fill="auto"/>
                  <w:noWrap w:val="0"/>
                  <w:vAlign w:val="center"/>
                </w:tcPr>
                <w:p w14:paraId="6768796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0.75</w:t>
                  </w:r>
                </w:p>
              </w:tc>
              <w:tc>
                <w:tcPr>
                  <w:tcW w:w="586" w:type="pct"/>
                  <w:tcBorders>
                    <w:tl2br w:val="nil"/>
                    <w:tr2bl w:val="nil"/>
                  </w:tcBorders>
                  <w:shd w:val="clear" w:color="auto" w:fill="auto"/>
                  <w:noWrap w:val="0"/>
                  <w:vAlign w:val="center"/>
                </w:tcPr>
                <w:p w14:paraId="3511751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0.5</w:t>
                  </w:r>
                </w:p>
              </w:tc>
              <w:tc>
                <w:tcPr>
                  <w:tcW w:w="698" w:type="pct"/>
                  <w:tcBorders>
                    <w:tl2br w:val="nil"/>
                    <w:tr2bl w:val="nil"/>
                  </w:tcBorders>
                  <w:shd w:val="clear" w:color="auto" w:fill="auto"/>
                  <w:noWrap w:val="0"/>
                  <w:vAlign w:val="center"/>
                </w:tcPr>
                <w:p w14:paraId="2717905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瓶装</w:t>
                  </w:r>
                </w:p>
              </w:tc>
              <w:tc>
                <w:tcPr>
                  <w:tcW w:w="464" w:type="pct"/>
                  <w:vMerge w:val="continue"/>
                  <w:tcBorders>
                    <w:tl2br w:val="nil"/>
                    <w:tr2bl w:val="nil"/>
                  </w:tcBorders>
                  <w:noWrap w:val="0"/>
                  <w:vAlign w:val="center"/>
                </w:tcPr>
                <w:p w14:paraId="70356BA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464" w:type="pct"/>
                  <w:vMerge w:val="continue"/>
                  <w:tcBorders>
                    <w:tl2br w:val="nil"/>
                    <w:tr2bl w:val="nil"/>
                  </w:tcBorders>
                  <w:noWrap w:val="0"/>
                  <w:vAlign w:val="center"/>
                </w:tcPr>
                <w:p w14:paraId="6D1E2DF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14:paraId="4BF16F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9" w:type="pct"/>
                  <w:tcBorders>
                    <w:tl2br w:val="nil"/>
                    <w:tr2bl w:val="nil"/>
                  </w:tcBorders>
                  <w:noWrap w:val="0"/>
                  <w:vAlign w:val="center"/>
                </w:tcPr>
                <w:p w14:paraId="037C145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eastAsia="宋体"/>
                      <w:color w:val="auto"/>
                      <w:kern w:val="2"/>
                      <w:sz w:val="21"/>
                      <w:szCs w:val="21"/>
                      <w:lang w:val="en-US" w:eastAsia="zh-CN" w:bidi="ar-SA"/>
                    </w:rPr>
                  </w:pPr>
                  <w:r>
                    <w:rPr>
                      <w:rFonts w:hint="eastAsia"/>
                      <w:color w:val="auto"/>
                      <w:sz w:val="21"/>
                      <w:szCs w:val="21"/>
                      <w:lang w:val="en-US" w:eastAsia="zh-CN"/>
                    </w:rPr>
                    <w:t>14</w:t>
                  </w:r>
                </w:p>
              </w:tc>
              <w:tc>
                <w:tcPr>
                  <w:tcW w:w="783" w:type="pct"/>
                  <w:tcBorders>
                    <w:tl2br w:val="nil"/>
                    <w:tr2bl w:val="nil"/>
                  </w:tcBorders>
                  <w:shd w:val="clear" w:color="auto" w:fill="auto"/>
                  <w:noWrap w:val="0"/>
                  <w:vAlign w:val="center"/>
                </w:tcPr>
                <w:p w14:paraId="68204ED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PET膜</w:t>
                  </w:r>
                </w:p>
              </w:tc>
              <w:tc>
                <w:tcPr>
                  <w:tcW w:w="511" w:type="pct"/>
                  <w:tcBorders>
                    <w:tl2br w:val="nil"/>
                    <w:tr2bl w:val="nil"/>
                  </w:tcBorders>
                  <w:shd w:val="clear" w:color="auto" w:fill="auto"/>
                  <w:noWrap w:val="0"/>
                  <w:vAlign w:val="center"/>
                </w:tcPr>
                <w:p w14:paraId="5942B92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固态</w:t>
                  </w:r>
                </w:p>
              </w:tc>
              <w:tc>
                <w:tcPr>
                  <w:tcW w:w="586" w:type="pct"/>
                  <w:tcBorders>
                    <w:tl2br w:val="nil"/>
                    <w:tr2bl w:val="nil"/>
                  </w:tcBorders>
                  <w:shd w:val="clear" w:color="auto" w:fill="auto"/>
                  <w:noWrap w:val="0"/>
                  <w:vAlign w:val="center"/>
                </w:tcPr>
                <w:p w14:paraId="31F6096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平方米</w:t>
                  </w:r>
                </w:p>
              </w:tc>
              <w:tc>
                <w:tcPr>
                  <w:tcW w:w="603" w:type="pct"/>
                  <w:tcBorders>
                    <w:tl2br w:val="nil"/>
                    <w:tr2bl w:val="nil"/>
                  </w:tcBorders>
                  <w:shd w:val="clear" w:color="auto" w:fill="auto"/>
                  <w:noWrap w:val="0"/>
                  <w:vAlign w:val="center"/>
                </w:tcPr>
                <w:p w14:paraId="655E4E0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4000</w:t>
                  </w:r>
                </w:p>
              </w:tc>
              <w:tc>
                <w:tcPr>
                  <w:tcW w:w="586" w:type="pct"/>
                  <w:tcBorders>
                    <w:tl2br w:val="nil"/>
                    <w:tr2bl w:val="nil"/>
                  </w:tcBorders>
                  <w:shd w:val="clear" w:color="auto" w:fill="auto"/>
                  <w:noWrap w:val="0"/>
                  <w:vAlign w:val="center"/>
                </w:tcPr>
                <w:p w14:paraId="3EE84FD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400</w:t>
                  </w:r>
                </w:p>
              </w:tc>
              <w:tc>
                <w:tcPr>
                  <w:tcW w:w="698" w:type="pct"/>
                  <w:tcBorders>
                    <w:tl2br w:val="nil"/>
                    <w:tr2bl w:val="nil"/>
                  </w:tcBorders>
                  <w:shd w:val="clear" w:color="auto" w:fill="auto"/>
                  <w:noWrap w:val="0"/>
                  <w:vAlign w:val="center"/>
                </w:tcPr>
                <w:p w14:paraId="5E8C82B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塑料卷</w:t>
                  </w:r>
                </w:p>
              </w:tc>
              <w:tc>
                <w:tcPr>
                  <w:tcW w:w="464" w:type="pct"/>
                  <w:vMerge w:val="continue"/>
                  <w:tcBorders>
                    <w:tl2br w:val="nil"/>
                    <w:tr2bl w:val="nil"/>
                  </w:tcBorders>
                  <w:noWrap w:val="0"/>
                  <w:vAlign w:val="center"/>
                </w:tcPr>
                <w:p w14:paraId="7F63DE6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464" w:type="pct"/>
                  <w:vMerge w:val="continue"/>
                  <w:tcBorders>
                    <w:tl2br w:val="nil"/>
                    <w:tr2bl w:val="nil"/>
                  </w:tcBorders>
                  <w:noWrap w:val="0"/>
                  <w:vAlign w:val="center"/>
                </w:tcPr>
                <w:p w14:paraId="6154992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14:paraId="4637C6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9" w:type="pct"/>
                  <w:tcBorders>
                    <w:tl2br w:val="nil"/>
                    <w:tr2bl w:val="nil"/>
                  </w:tcBorders>
                  <w:noWrap w:val="0"/>
                  <w:vAlign w:val="center"/>
                </w:tcPr>
                <w:p w14:paraId="00D1DF1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eastAsia="宋体"/>
                      <w:color w:val="auto"/>
                      <w:kern w:val="2"/>
                      <w:sz w:val="21"/>
                      <w:szCs w:val="21"/>
                      <w:lang w:val="en-US" w:eastAsia="zh-CN" w:bidi="ar-SA"/>
                    </w:rPr>
                  </w:pPr>
                  <w:r>
                    <w:rPr>
                      <w:rFonts w:hint="eastAsia"/>
                      <w:color w:val="auto"/>
                      <w:sz w:val="21"/>
                      <w:szCs w:val="21"/>
                      <w:lang w:val="en-US" w:eastAsia="zh-CN"/>
                    </w:rPr>
                    <w:t>15</w:t>
                  </w:r>
                </w:p>
              </w:tc>
              <w:tc>
                <w:tcPr>
                  <w:tcW w:w="783" w:type="pct"/>
                  <w:tcBorders>
                    <w:tl2br w:val="nil"/>
                    <w:tr2bl w:val="nil"/>
                  </w:tcBorders>
                  <w:shd w:val="clear" w:color="auto" w:fill="auto"/>
                  <w:noWrap w:val="0"/>
                  <w:vAlign w:val="center"/>
                </w:tcPr>
                <w:p w14:paraId="3E18965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有机硅压敏胶</w:t>
                  </w:r>
                </w:p>
              </w:tc>
              <w:tc>
                <w:tcPr>
                  <w:tcW w:w="511" w:type="pct"/>
                  <w:tcBorders>
                    <w:tl2br w:val="nil"/>
                    <w:tr2bl w:val="nil"/>
                  </w:tcBorders>
                  <w:shd w:val="clear" w:color="auto" w:fill="auto"/>
                  <w:noWrap w:val="0"/>
                  <w:vAlign w:val="center"/>
                </w:tcPr>
                <w:p w14:paraId="295897D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液态</w:t>
                  </w:r>
                </w:p>
              </w:tc>
              <w:tc>
                <w:tcPr>
                  <w:tcW w:w="586" w:type="pct"/>
                  <w:tcBorders>
                    <w:tl2br w:val="nil"/>
                    <w:tr2bl w:val="nil"/>
                  </w:tcBorders>
                  <w:shd w:val="clear" w:color="auto" w:fill="auto"/>
                  <w:noWrap w:val="0"/>
                  <w:vAlign w:val="center"/>
                </w:tcPr>
                <w:p w14:paraId="03BD9D2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千克</w:t>
                  </w:r>
                </w:p>
              </w:tc>
              <w:tc>
                <w:tcPr>
                  <w:tcW w:w="603" w:type="pct"/>
                  <w:tcBorders>
                    <w:tl2br w:val="nil"/>
                    <w:tr2bl w:val="nil"/>
                  </w:tcBorders>
                  <w:shd w:val="clear" w:color="auto" w:fill="auto"/>
                  <w:noWrap w:val="0"/>
                  <w:vAlign w:val="center"/>
                </w:tcPr>
                <w:p w14:paraId="560C8E2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300</w:t>
                  </w:r>
                </w:p>
              </w:tc>
              <w:tc>
                <w:tcPr>
                  <w:tcW w:w="586" w:type="pct"/>
                  <w:tcBorders>
                    <w:tl2br w:val="nil"/>
                    <w:tr2bl w:val="nil"/>
                  </w:tcBorders>
                  <w:shd w:val="clear" w:color="auto" w:fill="auto"/>
                  <w:noWrap w:val="0"/>
                  <w:vAlign w:val="center"/>
                </w:tcPr>
                <w:p w14:paraId="42ED08D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50</w:t>
                  </w:r>
                </w:p>
              </w:tc>
              <w:tc>
                <w:tcPr>
                  <w:tcW w:w="698" w:type="pct"/>
                  <w:tcBorders>
                    <w:tl2br w:val="nil"/>
                    <w:tr2bl w:val="nil"/>
                  </w:tcBorders>
                  <w:shd w:val="clear" w:color="auto" w:fill="auto"/>
                  <w:noWrap w:val="0"/>
                  <w:vAlign w:val="center"/>
                </w:tcPr>
                <w:p w14:paraId="11A9948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桶装</w:t>
                  </w:r>
                </w:p>
              </w:tc>
              <w:tc>
                <w:tcPr>
                  <w:tcW w:w="464" w:type="pct"/>
                  <w:vMerge w:val="continue"/>
                  <w:tcBorders>
                    <w:tl2br w:val="nil"/>
                    <w:tr2bl w:val="nil"/>
                  </w:tcBorders>
                  <w:noWrap w:val="0"/>
                  <w:vAlign w:val="center"/>
                </w:tcPr>
                <w:p w14:paraId="2DF409D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464" w:type="pct"/>
                  <w:vMerge w:val="continue"/>
                  <w:tcBorders>
                    <w:tl2br w:val="nil"/>
                    <w:tr2bl w:val="nil"/>
                  </w:tcBorders>
                  <w:noWrap w:val="0"/>
                  <w:vAlign w:val="center"/>
                </w:tcPr>
                <w:p w14:paraId="7C5E6DB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14:paraId="551E2B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9" w:type="pct"/>
                  <w:tcBorders>
                    <w:tl2br w:val="nil"/>
                    <w:tr2bl w:val="nil"/>
                  </w:tcBorders>
                  <w:noWrap w:val="0"/>
                  <w:vAlign w:val="center"/>
                </w:tcPr>
                <w:p w14:paraId="5DDA0D7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eastAsia="宋体"/>
                      <w:color w:val="auto"/>
                      <w:kern w:val="2"/>
                      <w:sz w:val="21"/>
                      <w:szCs w:val="21"/>
                      <w:lang w:val="en-US" w:eastAsia="zh-CN" w:bidi="ar-SA"/>
                    </w:rPr>
                  </w:pPr>
                  <w:r>
                    <w:rPr>
                      <w:rFonts w:hint="eastAsia"/>
                      <w:color w:val="auto"/>
                      <w:sz w:val="21"/>
                      <w:szCs w:val="21"/>
                      <w:lang w:val="en-US" w:eastAsia="zh-CN"/>
                    </w:rPr>
                    <w:t>16</w:t>
                  </w:r>
                </w:p>
              </w:tc>
              <w:tc>
                <w:tcPr>
                  <w:tcW w:w="783" w:type="pct"/>
                  <w:tcBorders>
                    <w:tl2br w:val="nil"/>
                    <w:tr2bl w:val="nil"/>
                  </w:tcBorders>
                  <w:shd w:val="clear" w:color="auto" w:fill="auto"/>
                  <w:noWrap w:val="0"/>
                  <w:vAlign w:val="center"/>
                </w:tcPr>
                <w:p w14:paraId="501E99A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离型膜</w:t>
                  </w:r>
                </w:p>
              </w:tc>
              <w:tc>
                <w:tcPr>
                  <w:tcW w:w="511" w:type="pct"/>
                  <w:tcBorders>
                    <w:tl2br w:val="nil"/>
                    <w:tr2bl w:val="nil"/>
                  </w:tcBorders>
                  <w:shd w:val="clear" w:color="auto" w:fill="auto"/>
                  <w:noWrap w:val="0"/>
                  <w:vAlign w:val="center"/>
                </w:tcPr>
                <w:p w14:paraId="54FEE94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固态</w:t>
                  </w:r>
                </w:p>
              </w:tc>
              <w:tc>
                <w:tcPr>
                  <w:tcW w:w="586" w:type="pct"/>
                  <w:tcBorders>
                    <w:tl2br w:val="nil"/>
                    <w:tr2bl w:val="nil"/>
                  </w:tcBorders>
                  <w:shd w:val="clear" w:color="auto" w:fill="auto"/>
                  <w:noWrap w:val="0"/>
                  <w:vAlign w:val="center"/>
                </w:tcPr>
                <w:p w14:paraId="3082424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平方米</w:t>
                  </w:r>
                </w:p>
              </w:tc>
              <w:tc>
                <w:tcPr>
                  <w:tcW w:w="603" w:type="pct"/>
                  <w:tcBorders>
                    <w:tl2br w:val="nil"/>
                    <w:tr2bl w:val="nil"/>
                  </w:tcBorders>
                  <w:shd w:val="clear" w:color="auto" w:fill="auto"/>
                  <w:noWrap w:val="0"/>
                  <w:vAlign w:val="center"/>
                </w:tcPr>
                <w:p w14:paraId="7FE2FE0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4000</w:t>
                  </w:r>
                </w:p>
              </w:tc>
              <w:tc>
                <w:tcPr>
                  <w:tcW w:w="586" w:type="pct"/>
                  <w:tcBorders>
                    <w:tl2br w:val="nil"/>
                    <w:tr2bl w:val="nil"/>
                  </w:tcBorders>
                  <w:shd w:val="clear" w:color="auto" w:fill="auto"/>
                  <w:noWrap w:val="0"/>
                  <w:vAlign w:val="center"/>
                </w:tcPr>
                <w:p w14:paraId="1DE3230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400</w:t>
                  </w:r>
                </w:p>
              </w:tc>
              <w:tc>
                <w:tcPr>
                  <w:tcW w:w="698" w:type="pct"/>
                  <w:tcBorders>
                    <w:tl2br w:val="nil"/>
                    <w:tr2bl w:val="nil"/>
                  </w:tcBorders>
                  <w:shd w:val="clear" w:color="auto" w:fill="auto"/>
                  <w:noWrap w:val="0"/>
                  <w:vAlign w:val="center"/>
                </w:tcPr>
                <w:p w14:paraId="0103A73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塑料卷</w:t>
                  </w:r>
                </w:p>
              </w:tc>
              <w:tc>
                <w:tcPr>
                  <w:tcW w:w="464" w:type="pct"/>
                  <w:vMerge w:val="continue"/>
                  <w:tcBorders>
                    <w:tl2br w:val="nil"/>
                    <w:tr2bl w:val="nil"/>
                  </w:tcBorders>
                  <w:noWrap w:val="0"/>
                  <w:vAlign w:val="center"/>
                </w:tcPr>
                <w:p w14:paraId="1836A1E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464" w:type="pct"/>
                  <w:vMerge w:val="continue"/>
                  <w:tcBorders>
                    <w:tl2br w:val="nil"/>
                    <w:tr2bl w:val="nil"/>
                  </w:tcBorders>
                  <w:noWrap w:val="0"/>
                  <w:vAlign w:val="center"/>
                </w:tcPr>
                <w:p w14:paraId="0830B2D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14:paraId="16399B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9" w:type="pct"/>
                  <w:tcBorders>
                    <w:tl2br w:val="nil"/>
                    <w:tr2bl w:val="nil"/>
                  </w:tcBorders>
                  <w:noWrap w:val="0"/>
                  <w:vAlign w:val="center"/>
                </w:tcPr>
                <w:p w14:paraId="3CAF271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eastAsia="宋体"/>
                      <w:color w:val="auto"/>
                      <w:kern w:val="2"/>
                      <w:sz w:val="21"/>
                      <w:szCs w:val="21"/>
                      <w:lang w:val="en-US" w:eastAsia="zh-CN" w:bidi="ar-SA"/>
                    </w:rPr>
                  </w:pPr>
                  <w:r>
                    <w:rPr>
                      <w:rFonts w:hint="eastAsia"/>
                      <w:color w:val="auto"/>
                      <w:sz w:val="21"/>
                      <w:szCs w:val="21"/>
                      <w:lang w:val="en-US" w:eastAsia="zh-CN"/>
                    </w:rPr>
                    <w:t>17</w:t>
                  </w:r>
                </w:p>
              </w:tc>
              <w:tc>
                <w:tcPr>
                  <w:tcW w:w="783" w:type="pct"/>
                  <w:tcBorders>
                    <w:tl2br w:val="nil"/>
                    <w:tr2bl w:val="nil"/>
                  </w:tcBorders>
                  <w:shd w:val="clear" w:color="auto" w:fill="auto"/>
                  <w:noWrap w:val="0"/>
                  <w:vAlign w:val="center"/>
                </w:tcPr>
                <w:p w14:paraId="27184EA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塑料管</w:t>
                  </w:r>
                </w:p>
              </w:tc>
              <w:tc>
                <w:tcPr>
                  <w:tcW w:w="511" w:type="pct"/>
                  <w:tcBorders>
                    <w:tl2br w:val="nil"/>
                    <w:tr2bl w:val="nil"/>
                  </w:tcBorders>
                  <w:shd w:val="clear" w:color="auto" w:fill="auto"/>
                  <w:noWrap w:val="0"/>
                  <w:vAlign w:val="center"/>
                </w:tcPr>
                <w:p w14:paraId="23AA51A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固态</w:t>
                  </w:r>
                </w:p>
              </w:tc>
              <w:tc>
                <w:tcPr>
                  <w:tcW w:w="586" w:type="pct"/>
                  <w:tcBorders>
                    <w:tl2br w:val="nil"/>
                    <w:tr2bl w:val="nil"/>
                  </w:tcBorders>
                  <w:shd w:val="clear" w:color="auto" w:fill="auto"/>
                  <w:noWrap w:val="0"/>
                  <w:vAlign w:val="center"/>
                </w:tcPr>
                <w:p w14:paraId="388E522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个</w:t>
                  </w:r>
                </w:p>
              </w:tc>
              <w:tc>
                <w:tcPr>
                  <w:tcW w:w="603" w:type="pct"/>
                  <w:tcBorders>
                    <w:tl2br w:val="nil"/>
                    <w:tr2bl w:val="nil"/>
                  </w:tcBorders>
                  <w:shd w:val="clear" w:color="auto" w:fill="auto"/>
                  <w:noWrap w:val="0"/>
                  <w:vAlign w:val="center"/>
                </w:tcPr>
                <w:p w14:paraId="5B37C72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5000</w:t>
                  </w:r>
                </w:p>
              </w:tc>
              <w:tc>
                <w:tcPr>
                  <w:tcW w:w="586" w:type="pct"/>
                  <w:tcBorders>
                    <w:tl2br w:val="nil"/>
                    <w:tr2bl w:val="nil"/>
                  </w:tcBorders>
                  <w:shd w:val="clear" w:color="auto" w:fill="auto"/>
                  <w:noWrap w:val="0"/>
                  <w:vAlign w:val="center"/>
                </w:tcPr>
                <w:p w14:paraId="6EBF58A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300</w:t>
                  </w:r>
                </w:p>
              </w:tc>
              <w:tc>
                <w:tcPr>
                  <w:tcW w:w="698" w:type="pct"/>
                  <w:tcBorders>
                    <w:tl2br w:val="nil"/>
                    <w:tr2bl w:val="nil"/>
                  </w:tcBorders>
                  <w:shd w:val="clear" w:color="auto" w:fill="auto"/>
                  <w:noWrap w:val="0"/>
                  <w:vAlign w:val="center"/>
                </w:tcPr>
                <w:p w14:paraId="26185FF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箱</w:t>
                  </w:r>
                  <w:r>
                    <w:rPr>
                      <w:rFonts w:hint="eastAsia" w:ascii="Times New Roman" w:hAnsi="Times New Roman" w:eastAsia="宋体" w:cs="Times New Roman"/>
                      <w:color w:val="auto"/>
                      <w:lang w:val="en-US" w:eastAsia="zh-CN"/>
                    </w:rPr>
                    <w:t>装</w:t>
                  </w:r>
                </w:p>
              </w:tc>
              <w:tc>
                <w:tcPr>
                  <w:tcW w:w="464" w:type="pct"/>
                  <w:vMerge w:val="continue"/>
                  <w:tcBorders>
                    <w:tl2br w:val="nil"/>
                    <w:tr2bl w:val="nil"/>
                  </w:tcBorders>
                  <w:noWrap w:val="0"/>
                  <w:vAlign w:val="center"/>
                </w:tcPr>
                <w:p w14:paraId="7E5043B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464" w:type="pct"/>
                  <w:vMerge w:val="continue"/>
                  <w:tcBorders>
                    <w:tl2br w:val="nil"/>
                    <w:tr2bl w:val="nil"/>
                  </w:tcBorders>
                  <w:noWrap w:val="0"/>
                  <w:vAlign w:val="center"/>
                </w:tcPr>
                <w:p w14:paraId="7A8D356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14:paraId="7D4B2E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5" w:type="dxa"/>
                  <w:vAlign w:val="center"/>
                </w:tcPr>
                <w:p w14:paraId="4DD6D28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18</w:t>
                  </w:r>
                </w:p>
              </w:tc>
              <w:tc>
                <w:tcPr>
                  <w:tcW w:w="1323" w:type="dxa"/>
                  <w:shd w:val="clear" w:color="auto" w:fill="auto"/>
                  <w:vAlign w:val="center"/>
                </w:tcPr>
                <w:p w14:paraId="0C19496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包装盒</w:t>
                  </w:r>
                </w:p>
              </w:tc>
              <w:tc>
                <w:tcPr>
                  <w:tcW w:w="864" w:type="dxa"/>
                  <w:shd w:val="clear" w:color="auto" w:fill="auto"/>
                  <w:vAlign w:val="center"/>
                </w:tcPr>
                <w:p w14:paraId="4C8EDD2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固态</w:t>
                  </w:r>
                </w:p>
              </w:tc>
              <w:tc>
                <w:tcPr>
                  <w:tcW w:w="991" w:type="dxa"/>
                  <w:shd w:val="clear" w:color="auto" w:fill="auto"/>
                  <w:vAlign w:val="center"/>
                </w:tcPr>
                <w:p w14:paraId="5D04F94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个</w:t>
                  </w:r>
                </w:p>
              </w:tc>
              <w:tc>
                <w:tcPr>
                  <w:tcW w:w="1020" w:type="dxa"/>
                  <w:shd w:val="clear" w:color="auto" w:fill="auto"/>
                  <w:vAlign w:val="center"/>
                </w:tcPr>
                <w:p w14:paraId="7E22D35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5000</w:t>
                  </w:r>
                </w:p>
              </w:tc>
              <w:tc>
                <w:tcPr>
                  <w:tcW w:w="991" w:type="dxa"/>
                  <w:shd w:val="clear" w:color="auto" w:fill="auto"/>
                  <w:vAlign w:val="center"/>
                </w:tcPr>
                <w:p w14:paraId="7CFB33D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300</w:t>
                  </w:r>
                </w:p>
              </w:tc>
              <w:tc>
                <w:tcPr>
                  <w:tcW w:w="1180" w:type="dxa"/>
                  <w:shd w:val="clear" w:color="auto" w:fill="auto"/>
                  <w:vAlign w:val="center"/>
                </w:tcPr>
                <w:p w14:paraId="64AD598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箱</w:t>
                  </w:r>
                  <w:r>
                    <w:rPr>
                      <w:rFonts w:hint="eastAsia" w:ascii="Times New Roman" w:hAnsi="Times New Roman" w:eastAsia="宋体" w:cs="Times New Roman"/>
                      <w:color w:val="auto"/>
                      <w:lang w:val="en-US" w:eastAsia="zh-CN"/>
                    </w:rPr>
                    <w:t>装</w:t>
                  </w:r>
                </w:p>
              </w:tc>
              <w:tc>
                <w:tcPr>
                  <w:tcW w:w="464" w:type="pct"/>
                  <w:vMerge w:val="continue"/>
                </w:tcPr>
                <w:p w14:paraId="6A8E5C4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464" w:type="pct"/>
                  <w:vMerge w:val="continue"/>
                </w:tcPr>
                <w:p w14:paraId="6C615F4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bl>
          <w:p w14:paraId="49FC4CDC">
            <w:pPr>
              <w:numPr>
                <w:ilvl w:val="0"/>
                <w:numId w:val="0"/>
              </w:numPr>
              <w:adjustRightInd w:val="0"/>
              <w:snapToGrid w:val="0"/>
              <w:spacing w:line="240" w:lineRule="auto"/>
              <w:jc w:val="center"/>
              <w:rPr>
                <w:rFonts w:hint="default" w:ascii="Times New Roman" w:hAnsi="Times New Roman" w:cs="Times New Roman"/>
                <w:b/>
                <w:bCs w:val="0"/>
                <w:color w:val="auto"/>
                <w:sz w:val="21"/>
                <w:szCs w:val="21"/>
                <w:lang w:val="en-US" w:eastAsia="zh-CN"/>
              </w:rPr>
            </w:pPr>
            <w:r>
              <w:rPr>
                <w:rFonts w:hint="default" w:ascii="Times New Roman" w:hAnsi="Times New Roman" w:cs="Times New Roman"/>
                <w:b/>
                <w:bCs w:val="0"/>
                <w:color w:val="auto"/>
                <w:sz w:val="24"/>
                <w:szCs w:val="24"/>
                <w:lang w:val="en-US" w:eastAsia="zh-CN"/>
              </w:rPr>
              <w:t>表2-5</w:t>
            </w:r>
            <w:r>
              <w:rPr>
                <w:rFonts w:hint="eastAsia" w:ascii="Times New Roman" w:hAnsi="Times New Roman" w:cs="Times New Roman"/>
                <w:b/>
                <w:bCs w:val="0"/>
                <w:color w:val="auto"/>
                <w:sz w:val="24"/>
                <w:szCs w:val="24"/>
                <w:lang w:val="en-US" w:eastAsia="zh-CN"/>
              </w:rPr>
              <w:t xml:space="preserve">  </w:t>
            </w:r>
            <w:r>
              <w:rPr>
                <w:rFonts w:hint="default" w:ascii="Times New Roman" w:hAnsi="Times New Roman" w:cs="Times New Roman"/>
                <w:b/>
                <w:bCs w:val="0"/>
                <w:color w:val="auto"/>
                <w:sz w:val="24"/>
                <w:szCs w:val="24"/>
                <w:lang w:val="en-US" w:eastAsia="zh-CN"/>
              </w:rPr>
              <w:t>主要原辅料理化性质一览表</w:t>
            </w:r>
          </w:p>
          <w:tbl>
            <w:tblPr>
              <w:tblStyle w:val="26"/>
              <w:tblW w:w="498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3"/>
              <w:gridCol w:w="855"/>
              <w:gridCol w:w="6974"/>
            </w:tblGrid>
            <w:tr w14:paraId="21BA28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5" w:type="pct"/>
                  <w:tcBorders>
                    <w:tl2br w:val="nil"/>
                    <w:tr2bl w:val="nil"/>
                  </w:tcBorders>
                  <w:noWrap w:val="0"/>
                  <w:vAlign w:val="center"/>
                </w:tcPr>
                <w:p w14:paraId="57734A28">
                  <w:pPr>
                    <w:pStyle w:val="56"/>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64"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515" w:type="pct"/>
                  <w:tcBorders>
                    <w:tl2br w:val="nil"/>
                    <w:tr2bl w:val="nil"/>
                  </w:tcBorders>
                  <w:noWrap w:val="0"/>
                  <w:vAlign w:val="center"/>
                </w:tcPr>
                <w:p w14:paraId="7F24731F">
                  <w:pPr>
                    <w:pStyle w:val="56"/>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64"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物质</w:t>
                  </w:r>
                </w:p>
                <w:p w14:paraId="11BC001B">
                  <w:pPr>
                    <w:pStyle w:val="56"/>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64"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4199" w:type="pct"/>
                  <w:tcBorders>
                    <w:tl2br w:val="nil"/>
                    <w:tr2bl w:val="nil"/>
                  </w:tcBorders>
                  <w:noWrap w:val="0"/>
                  <w:vAlign w:val="center"/>
                </w:tcPr>
                <w:p w14:paraId="244E6190">
                  <w:pPr>
                    <w:pStyle w:val="56"/>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64"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理化性质</w:t>
                  </w:r>
                </w:p>
              </w:tc>
            </w:tr>
            <w:tr w14:paraId="0DE12D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5" w:type="pct"/>
                  <w:tcBorders>
                    <w:tl2br w:val="nil"/>
                    <w:tr2bl w:val="nil"/>
                  </w:tcBorders>
                  <w:noWrap w:val="0"/>
                  <w:vAlign w:val="center"/>
                </w:tcPr>
                <w:p w14:paraId="37A6A224">
                  <w:pPr>
                    <w:pStyle w:val="56"/>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64"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w:t>
                  </w:r>
                </w:p>
              </w:tc>
              <w:tc>
                <w:tcPr>
                  <w:tcW w:w="515" w:type="pct"/>
                  <w:tcBorders>
                    <w:tl2br w:val="nil"/>
                    <w:tr2bl w:val="nil"/>
                  </w:tcBorders>
                  <w:noWrap w:val="0"/>
                  <w:vAlign w:val="center"/>
                </w:tcPr>
                <w:p w14:paraId="4820C002">
                  <w:pPr>
                    <w:keepNext w:val="0"/>
                    <w:keepLines w:val="0"/>
                    <w:pageBreakBefore w:val="0"/>
                    <w:kinsoku/>
                    <w:wordWrap/>
                    <w:overflowPunct/>
                    <w:autoSpaceDE/>
                    <w:autoSpaceDN/>
                    <w:bidi w:val="0"/>
                    <w:adjustRightInd w:val="0"/>
                    <w:snapToGrid w:val="0"/>
                    <w:spacing w:beforeAutospacing="0" w:afterAutospacing="0" w:line="264"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cs="Times New Roman"/>
                      <w:color w:val="auto"/>
                      <w:highlight w:val="none"/>
                    </w:rPr>
                    <w:t>全氟磺酸树脂</w:t>
                  </w:r>
                </w:p>
              </w:tc>
              <w:tc>
                <w:tcPr>
                  <w:tcW w:w="4199" w:type="pct"/>
                  <w:tcBorders>
                    <w:tl2br w:val="nil"/>
                    <w:tr2bl w:val="nil"/>
                  </w:tcBorders>
                  <w:noWrap w:val="0"/>
                  <w:vAlign w:val="center"/>
                </w:tcPr>
                <w:p w14:paraId="7F5474B4">
                  <w:pPr>
                    <w:rPr>
                      <w:rFonts w:hint="eastAsia" w:ascii="Times New Roman" w:hAnsi="Times New Roman" w:eastAsia="宋体" w:cs="Times New Roman"/>
                      <w:b/>
                      <w:bCs/>
                      <w:color w:val="auto"/>
                      <w:sz w:val="21"/>
                      <w:szCs w:val="21"/>
                      <w:highlight w:val="none"/>
                      <w:lang w:eastAsia="zh-CN"/>
                    </w:rPr>
                  </w:pPr>
                  <w:r>
                    <w:rPr>
                      <w:rFonts w:hint="eastAsia" w:cs="Times New Roman"/>
                      <w:color w:val="auto"/>
                      <w:highlight w:val="none"/>
                      <w:lang w:val="en-US" w:eastAsia="zh-CN"/>
                    </w:rPr>
                    <w:t>固态</w:t>
                  </w:r>
                  <w:r>
                    <w:rPr>
                      <w:rFonts w:hint="default" w:ascii="Times New Roman" w:hAnsi="Times New Roman" w:cs="Times New Roman"/>
                      <w:color w:val="auto"/>
                      <w:highlight w:val="none"/>
                    </w:rPr>
                    <w:t>，主要成分为全氟磺酸树脂，</w:t>
                  </w:r>
                  <w:r>
                    <w:rPr>
                      <w:rFonts w:hint="default" w:ascii="Times New Roman" w:hAnsi="Times New Roman" w:cs="Times New Roman"/>
                      <w:color w:val="auto"/>
                      <w:highlight w:val="none"/>
                      <w:lang w:val="en-US" w:eastAsia="zh-CN"/>
                    </w:rPr>
                    <w:t>密度为2.1g/mL，</w:t>
                  </w:r>
                  <w:r>
                    <w:rPr>
                      <w:rFonts w:hint="default" w:ascii="Times New Roman" w:hAnsi="Times New Roman" w:cs="Times New Roman"/>
                      <w:color w:val="auto"/>
                      <w:highlight w:val="none"/>
                    </w:rPr>
                    <w:t>具有良好的热稳定性，在200℃左右的温度下长期保持稳定，其热分解温度一般在3</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0℃以上。</w:t>
                  </w:r>
                </w:p>
              </w:tc>
            </w:tr>
            <w:tr w14:paraId="0A39FC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5" w:type="pct"/>
                  <w:tcBorders>
                    <w:tl2br w:val="nil"/>
                    <w:tr2bl w:val="nil"/>
                  </w:tcBorders>
                  <w:noWrap w:val="0"/>
                  <w:vAlign w:val="center"/>
                </w:tcPr>
                <w:p w14:paraId="0FB9E213">
                  <w:pPr>
                    <w:pStyle w:val="56"/>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64"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w:t>
                  </w:r>
                </w:p>
              </w:tc>
              <w:tc>
                <w:tcPr>
                  <w:tcW w:w="515" w:type="pct"/>
                  <w:tcBorders>
                    <w:tl2br w:val="nil"/>
                    <w:tr2bl w:val="nil"/>
                  </w:tcBorders>
                  <w:noWrap w:val="0"/>
                  <w:vAlign w:val="center"/>
                </w:tcPr>
                <w:p w14:paraId="1ECD177B">
                  <w:pPr>
                    <w:keepNext w:val="0"/>
                    <w:keepLines w:val="0"/>
                    <w:pageBreakBefore w:val="0"/>
                    <w:widowControl/>
                    <w:suppressLineNumbers w:val="0"/>
                    <w:kinsoku/>
                    <w:wordWrap/>
                    <w:overflowPunct/>
                    <w:autoSpaceDE/>
                    <w:autoSpaceDN/>
                    <w:bidi w:val="0"/>
                    <w:spacing w:beforeAutospacing="0" w:afterAutospacing="0" w:line="264" w:lineRule="auto"/>
                    <w:jc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膜电极催化剂溶剂</w:t>
                  </w:r>
                </w:p>
              </w:tc>
              <w:tc>
                <w:tcPr>
                  <w:tcW w:w="4199" w:type="pct"/>
                  <w:tcBorders>
                    <w:tl2br w:val="nil"/>
                    <w:tr2bl w:val="nil"/>
                  </w:tcBorders>
                  <w:noWrap w:val="0"/>
                  <w:vAlign w:val="center"/>
                </w:tcPr>
                <w:p w14:paraId="0C99EA7D">
                  <w:pPr>
                    <w:keepNext w:val="0"/>
                    <w:keepLines w:val="0"/>
                    <w:pageBreakBefore w:val="0"/>
                    <w:widowControl/>
                    <w:suppressLineNumbers w:val="0"/>
                    <w:kinsoku/>
                    <w:wordWrap/>
                    <w:overflowPunct/>
                    <w:autoSpaceDE/>
                    <w:autoSpaceDN/>
                    <w:bidi w:val="0"/>
                    <w:spacing w:beforeAutospacing="0" w:afterAutospacing="0" w:line="264" w:lineRule="auto"/>
                    <w:jc w:val="both"/>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主要包含N-甲基吡络烷酮</w:t>
                  </w:r>
                  <w:r>
                    <w:rPr>
                      <w:rFonts w:hint="eastAsia" w:cs="Times New Roman"/>
                      <w:b w:val="0"/>
                      <w:bCs w:val="0"/>
                      <w:color w:val="auto"/>
                      <w:kern w:val="0"/>
                      <w:sz w:val="21"/>
                      <w:szCs w:val="21"/>
                      <w:lang w:val="en-US" w:eastAsia="zh-CN" w:bidi="ar"/>
                    </w:rPr>
                    <w:t>（65.2%）</w:t>
                  </w:r>
                  <w:r>
                    <w:rPr>
                      <w:rFonts w:hint="eastAsia" w:ascii="Times New Roman" w:hAnsi="Times New Roman" w:eastAsia="宋体" w:cs="Times New Roman"/>
                      <w:b w:val="0"/>
                      <w:bCs w:val="0"/>
                      <w:color w:val="auto"/>
                      <w:kern w:val="0"/>
                      <w:sz w:val="21"/>
                      <w:szCs w:val="21"/>
                      <w:lang w:val="en-US" w:eastAsia="zh-CN" w:bidi="ar"/>
                    </w:rPr>
                    <w:t>、乙二醇二甲醚</w:t>
                  </w:r>
                  <w:r>
                    <w:rPr>
                      <w:rFonts w:hint="eastAsia" w:cs="Times New Roman"/>
                      <w:b w:val="0"/>
                      <w:bCs w:val="0"/>
                      <w:color w:val="auto"/>
                      <w:kern w:val="0"/>
                      <w:sz w:val="21"/>
                      <w:szCs w:val="21"/>
                      <w:lang w:val="en-US" w:eastAsia="zh-CN" w:bidi="ar"/>
                    </w:rPr>
                    <w:t>（22.8%）</w:t>
                  </w:r>
                  <w:r>
                    <w:rPr>
                      <w:rFonts w:hint="eastAsia" w:ascii="Times New Roman" w:hAnsi="Times New Roman" w:eastAsia="宋体" w:cs="Times New Roman"/>
                      <w:b w:val="0"/>
                      <w:bCs w:val="0"/>
                      <w:color w:val="auto"/>
                      <w:kern w:val="0"/>
                      <w:sz w:val="21"/>
                      <w:szCs w:val="21"/>
                      <w:lang w:val="en-US" w:eastAsia="zh-CN" w:bidi="ar"/>
                    </w:rPr>
                    <w:t>、去离子水</w:t>
                  </w:r>
                  <w:r>
                    <w:rPr>
                      <w:rFonts w:hint="eastAsia" w:cs="Times New Roman"/>
                      <w:b w:val="0"/>
                      <w:bCs w:val="0"/>
                      <w:color w:val="auto"/>
                      <w:kern w:val="0"/>
                      <w:sz w:val="21"/>
                      <w:szCs w:val="21"/>
                      <w:lang w:val="en-US" w:eastAsia="zh-CN" w:bidi="ar"/>
                    </w:rPr>
                    <w:t>（11.5%）</w:t>
                  </w:r>
                  <w:r>
                    <w:rPr>
                      <w:rFonts w:hint="eastAsia" w:ascii="Times New Roman" w:hAnsi="Times New Roman" w:eastAsia="宋体" w:cs="Times New Roman"/>
                      <w:b w:val="0"/>
                      <w:bCs w:val="0"/>
                      <w:color w:val="auto"/>
                      <w:kern w:val="0"/>
                      <w:sz w:val="21"/>
                      <w:szCs w:val="21"/>
                      <w:lang w:val="en-US" w:eastAsia="zh-CN" w:bidi="ar"/>
                    </w:rPr>
                    <w:t>、异丙醇</w:t>
                  </w:r>
                  <w:r>
                    <w:rPr>
                      <w:rFonts w:hint="eastAsia" w:cs="Times New Roman"/>
                      <w:b w:val="0"/>
                      <w:bCs w:val="0"/>
                      <w:color w:val="auto"/>
                      <w:kern w:val="0"/>
                      <w:sz w:val="21"/>
                      <w:szCs w:val="21"/>
                      <w:lang w:val="en-US" w:eastAsia="zh-CN" w:bidi="ar"/>
                    </w:rPr>
                    <w:t>（0.5%）</w:t>
                  </w:r>
                  <w:r>
                    <w:rPr>
                      <w:rFonts w:hint="eastAsia" w:ascii="Times New Roman" w:hAnsi="Times New Roman" w:eastAsia="宋体" w:cs="Times New Roman"/>
                      <w:b w:val="0"/>
                      <w:bCs w:val="0"/>
                      <w:color w:val="auto"/>
                      <w:kern w:val="0"/>
                      <w:sz w:val="21"/>
                      <w:szCs w:val="21"/>
                      <w:lang w:val="en-US" w:eastAsia="zh-CN" w:bidi="ar"/>
                    </w:rPr>
                    <w:t>。</w:t>
                  </w:r>
                </w:p>
              </w:tc>
            </w:tr>
            <w:tr w14:paraId="598263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5" w:type="pct"/>
                  <w:tcBorders>
                    <w:tl2br w:val="nil"/>
                    <w:tr2bl w:val="nil"/>
                  </w:tcBorders>
                  <w:noWrap w:val="0"/>
                  <w:vAlign w:val="center"/>
                </w:tcPr>
                <w:p w14:paraId="3EA9EEAC">
                  <w:pPr>
                    <w:pStyle w:val="56"/>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64" w:lineRule="auto"/>
                    <w:jc w:val="center"/>
                    <w:rPr>
                      <w:rFonts w:hint="default" w:ascii="Times New Roman" w:hAnsi="Times New Roman" w:eastAsia="宋体" w:cs="Times New Roman"/>
                      <w:b w:val="0"/>
                      <w:bCs w:val="0"/>
                      <w:snapToGrid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3</w:t>
                  </w:r>
                </w:p>
              </w:tc>
              <w:tc>
                <w:tcPr>
                  <w:tcW w:w="515" w:type="pct"/>
                  <w:tcBorders>
                    <w:tl2br w:val="nil"/>
                    <w:tr2bl w:val="nil"/>
                  </w:tcBorders>
                  <w:noWrap w:val="0"/>
                  <w:vAlign w:val="center"/>
                </w:tcPr>
                <w:p w14:paraId="6D709531">
                  <w:pPr>
                    <w:keepNext w:val="0"/>
                    <w:keepLines w:val="0"/>
                    <w:pageBreakBefore w:val="0"/>
                    <w:kinsoku/>
                    <w:wordWrap/>
                    <w:overflowPunct/>
                    <w:autoSpaceDE/>
                    <w:autoSpaceDN/>
                    <w:bidi w:val="0"/>
                    <w:adjustRightInd w:val="0"/>
                    <w:snapToGrid w:val="0"/>
                    <w:spacing w:beforeAutospacing="0" w:afterAutospacing="0" w:line="264" w:lineRule="auto"/>
                    <w:jc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双氧水</w:t>
                  </w:r>
                </w:p>
              </w:tc>
              <w:tc>
                <w:tcPr>
                  <w:tcW w:w="4199" w:type="pct"/>
                  <w:tcBorders>
                    <w:tl2br w:val="nil"/>
                    <w:tr2bl w:val="nil"/>
                  </w:tcBorders>
                  <w:noWrap w:val="0"/>
                  <w:vAlign w:val="center"/>
                </w:tcPr>
                <w:p w14:paraId="1813EBAF">
                  <w:pP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为无色、有轻微刺激性气味且透明的液体，在暗处较稳定，受热、光照或遇到某些杂质易分解为</w:t>
                  </w:r>
                  <w:r>
                    <w:rPr>
                      <w:rFonts w:hint="default" w:ascii="Times New Roman" w:hAnsi="Times New Roman" w:cs="Times New Roman"/>
                      <w:b w:val="0"/>
                      <w:bCs w:val="0"/>
                      <w:color w:val="auto"/>
                      <w:sz w:val="21"/>
                      <w:szCs w:val="21"/>
                      <w:highlight w:val="none"/>
                      <w:lang w:val="en-US" w:eastAsia="zh-CN"/>
                    </w:rPr>
                    <w:fldChar w:fldCharType="begin"/>
                  </w:r>
                  <w:r>
                    <w:rPr>
                      <w:rFonts w:hint="default" w:ascii="Times New Roman" w:hAnsi="Times New Roman" w:cs="Times New Roman"/>
                      <w:b w:val="0"/>
                      <w:bCs w:val="0"/>
                      <w:color w:val="auto"/>
                      <w:sz w:val="21"/>
                      <w:szCs w:val="21"/>
                      <w:highlight w:val="none"/>
                      <w:lang w:val="en-US" w:eastAsia="zh-CN"/>
                    </w:rPr>
                    <w:instrText xml:space="preserve"> HYPERLINK "https://baike.baidu.com/item/%E6%B0%A7%E6%B0%94/64782?fromModule=lemma_inlink" \t "https://baike.baidu.com/item/%E8%BF%87%E6%B0%A7%E5%8C%96%E6%B0%A2/_blank" </w:instrText>
                  </w:r>
                  <w:r>
                    <w:rPr>
                      <w:rFonts w:hint="default" w:ascii="Times New Roman" w:hAnsi="Times New Roman" w:cs="Times New Roman"/>
                      <w:b w:val="0"/>
                      <w:bCs w:val="0"/>
                      <w:color w:val="auto"/>
                      <w:sz w:val="21"/>
                      <w:szCs w:val="21"/>
                      <w:highlight w:val="none"/>
                      <w:lang w:val="en-US" w:eastAsia="zh-CN"/>
                    </w:rPr>
                    <w:fldChar w:fldCharType="separate"/>
                  </w:r>
                  <w:r>
                    <w:rPr>
                      <w:rFonts w:hint="default" w:ascii="Times New Roman" w:hAnsi="Times New Roman" w:cs="Times New Roman"/>
                      <w:b w:val="0"/>
                      <w:bCs w:val="0"/>
                      <w:color w:val="auto"/>
                      <w:sz w:val="21"/>
                      <w:szCs w:val="21"/>
                      <w:highlight w:val="none"/>
                      <w:lang w:val="en-US" w:eastAsia="zh-CN"/>
                    </w:rPr>
                    <w:t>氧气</w:t>
                  </w:r>
                  <w:r>
                    <w:rPr>
                      <w:rFonts w:hint="default" w:ascii="Times New Roman" w:hAnsi="Times New Roman" w:cs="Times New Roman"/>
                      <w:b w:val="0"/>
                      <w:bCs w:val="0"/>
                      <w:color w:val="auto"/>
                      <w:sz w:val="21"/>
                      <w:szCs w:val="21"/>
                      <w:highlight w:val="none"/>
                      <w:lang w:val="en-US" w:eastAsia="zh-CN"/>
                    </w:rPr>
                    <w:fldChar w:fldCharType="end"/>
                  </w:r>
                  <w:r>
                    <w:rPr>
                      <w:rFonts w:hint="default" w:ascii="Times New Roman" w:hAnsi="Times New Roman" w:cs="Times New Roman"/>
                      <w:b w:val="0"/>
                      <w:bCs w:val="0"/>
                      <w:color w:val="auto"/>
                      <w:sz w:val="21"/>
                      <w:szCs w:val="21"/>
                      <w:highlight w:val="none"/>
                      <w:lang w:val="en-US" w:eastAsia="zh-CN"/>
                    </w:rPr>
                    <w:t>和水，能以任意比例与水互溶。</w:t>
                  </w:r>
                </w:p>
              </w:tc>
            </w:tr>
            <w:tr w14:paraId="482EE5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5" w:type="pct"/>
                  <w:tcBorders>
                    <w:tl2br w:val="nil"/>
                    <w:tr2bl w:val="nil"/>
                  </w:tcBorders>
                  <w:noWrap w:val="0"/>
                  <w:vAlign w:val="center"/>
                </w:tcPr>
                <w:p w14:paraId="1E51CD6A">
                  <w:pPr>
                    <w:pStyle w:val="56"/>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64" w:lineRule="auto"/>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4</w:t>
                  </w:r>
                </w:p>
              </w:tc>
              <w:tc>
                <w:tcPr>
                  <w:tcW w:w="515" w:type="pct"/>
                  <w:tcBorders>
                    <w:tl2br w:val="nil"/>
                    <w:tr2bl w:val="nil"/>
                  </w:tcBorders>
                  <w:noWrap w:val="0"/>
                  <w:vAlign w:val="center"/>
                </w:tcPr>
                <w:p w14:paraId="2C385975">
                  <w:pPr>
                    <w:keepNext w:val="0"/>
                    <w:keepLines w:val="0"/>
                    <w:pageBreakBefore w:val="0"/>
                    <w:widowControl/>
                    <w:suppressLineNumbers w:val="0"/>
                    <w:kinsoku/>
                    <w:wordWrap/>
                    <w:overflowPunct/>
                    <w:autoSpaceDE/>
                    <w:autoSpaceDN/>
                    <w:bidi w:val="0"/>
                    <w:spacing w:beforeAutospacing="0" w:afterAutospacing="0" w:line="264" w:lineRule="auto"/>
                    <w:jc w:val="center"/>
                    <w:rPr>
                      <w:rFonts w:hint="eastAsia" w:ascii="Times New Roman" w:hAnsi="Times New Roman" w:eastAsia="宋体" w:cs="Times New Roman"/>
                      <w:b w:val="0"/>
                      <w:bCs w:val="0"/>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氧化钼</w:t>
                  </w:r>
                </w:p>
              </w:tc>
              <w:tc>
                <w:tcPr>
                  <w:tcW w:w="4199" w:type="pct"/>
                  <w:tcBorders>
                    <w:tl2br w:val="nil"/>
                    <w:tr2bl w:val="nil"/>
                  </w:tcBorders>
                  <w:noWrap w:val="0"/>
                  <w:vAlign w:val="center"/>
                </w:tcPr>
                <w:p w14:paraId="5A0A5103">
                  <w:pPr>
                    <w:keepNext w:val="0"/>
                    <w:keepLines w:val="0"/>
                    <w:pageBreakBefore w:val="0"/>
                    <w:widowControl/>
                    <w:suppressLineNumbers w:val="0"/>
                    <w:kinsoku/>
                    <w:wordWrap/>
                    <w:overflowPunct/>
                    <w:autoSpaceDE/>
                    <w:autoSpaceDN/>
                    <w:bidi w:val="0"/>
                    <w:spacing w:beforeAutospacing="0" w:afterAutospacing="0" w:line="264" w:lineRule="auto"/>
                    <w:jc w:val="both"/>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一种无机化合物，化学式为MoO</w:t>
                  </w:r>
                  <w:r>
                    <w:rPr>
                      <w:rFonts w:hint="default" w:ascii="Times New Roman" w:hAnsi="Times New Roman" w:eastAsia="宋体" w:cs="Times New Roman"/>
                      <w:b w:val="0"/>
                      <w:bCs w:val="0"/>
                      <w:color w:val="auto"/>
                      <w:kern w:val="0"/>
                      <w:sz w:val="21"/>
                      <w:szCs w:val="21"/>
                      <w:vertAlign w:val="subscript"/>
                      <w:lang w:val="en-US" w:eastAsia="zh-CN" w:bidi="ar"/>
                    </w:rPr>
                    <w:t>3</w:t>
                  </w:r>
                  <w:r>
                    <w:rPr>
                      <w:rFonts w:hint="default" w:ascii="Times New Roman" w:hAnsi="Times New Roman" w:eastAsia="宋体" w:cs="Times New Roman"/>
                      <w:b w:val="0"/>
                      <w:bCs w:val="0"/>
                      <w:color w:val="auto"/>
                      <w:kern w:val="0"/>
                      <w:sz w:val="21"/>
                      <w:szCs w:val="21"/>
                      <w:lang w:val="en-US" w:eastAsia="zh-CN" w:bidi="ar"/>
                    </w:rPr>
                    <w:t>，主要用于测定蛋白质、酚、砷、铅、铋等，也可用作五氧化二磷、三氧化砷、双氧水、酚和醇类的还原剂，还可用于制备钼盐、钼合金。</w:t>
                  </w:r>
                </w:p>
              </w:tc>
            </w:tr>
            <w:tr w14:paraId="302218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5" w:type="pct"/>
                  <w:tcBorders>
                    <w:tl2br w:val="nil"/>
                    <w:tr2bl w:val="nil"/>
                  </w:tcBorders>
                  <w:noWrap w:val="0"/>
                  <w:vAlign w:val="center"/>
                </w:tcPr>
                <w:p w14:paraId="55D19270">
                  <w:pPr>
                    <w:pStyle w:val="56"/>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64" w:lineRule="auto"/>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5</w:t>
                  </w:r>
                </w:p>
              </w:tc>
              <w:tc>
                <w:tcPr>
                  <w:tcW w:w="515" w:type="pct"/>
                  <w:tcBorders>
                    <w:tl2br w:val="nil"/>
                    <w:tr2bl w:val="nil"/>
                  </w:tcBorders>
                  <w:noWrap w:val="0"/>
                  <w:vAlign w:val="center"/>
                </w:tcPr>
                <w:p w14:paraId="3F666A5D">
                  <w:pPr>
                    <w:keepNext w:val="0"/>
                    <w:keepLines w:val="0"/>
                    <w:pageBreakBefore w:val="0"/>
                    <w:kinsoku/>
                    <w:wordWrap/>
                    <w:overflowPunct/>
                    <w:topLinePunct w:val="0"/>
                    <w:autoSpaceDE/>
                    <w:autoSpaceDN/>
                    <w:bidi w:val="0"/>
                    <w:adjustRightInd w:val="0"/>
                    <w:snapToGrid w:val="0"/>
                    <w:spacing w:beforeAutospacing="0" w:afterAutospacing="0" w:line="264" w:lineRule="auto"/>
                    <w:jc w:val="center"/>
                    <w:rPr>
                      <w:rFonts w:hint="eastAsia" w:ascii="Times New Roman" w:hAnsi="Times New Roman" w:eastAsia="宋体" w:cs="Times New Roman"/>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钯盐</w:t>
                  </w:r>
                </w:p>
              </w:tc>
              <w:tc>
                <w:tcPr>
                  <w:tcW w:w="4199" w:type="pct"/>
                  <w:tcBorders>
                    <w:tl2br w:val="nil"/>
                    <w:tr2bl w:val="nil"/>
                  </w:tcBorders>
                  <w:noWrap w:val="0"/>
                  <w:vAlign w:val="center"/>
                </w:tcPr>
                <w:p w14:paraId="0489E97B">
                  <w:pPr>
                    <w:keepNext w:val="0"/>
                    <w:keepLines w:val="0"/>
                    <w:pageBreakBefore w:val="0"/>
                    <w:widowControl/>
                    <w:numPr>
                      <w:ilvl w:val="0"/>
                      <w:numId w:val="0"/>
                    </w:numPr>
                    <w:suppressLineNumbers w:val="0"/>
                    <w:pBdr>
                      <w:left w:val="none" w:color="auto" w:sz="0" w:space="0"/>
                    </w:pBdr>
                    <w:kinsoku/>
                    <w:wordWrap/>
                    <w:overflowPunct/>
                    <w:autoSpaceDE/>
                    <w:autoSpaceDN/>
                    <w:bidi w:val="0"/>
                    <w:spacing w:beforeAutospacing="0" w:afterAutospacing="0" w:line="264" w:lineRule="auto"/>
                    <w:ind w:left="-60" w:leftChars="0"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i w:val="0"/>
                      <w:iCs w:val="0"/>
                      <w:caps w:val="0"/>
                      <w:color w:val="auto"/>
                      <w:spacing w:val="0"/>
                      <w:sz w:val="21"/>
                      <w:szCs w:val="21"/>
                      <w:shd w:val="clear" w:color="auto" w:fill="FFFFFF"/>
                      <w:lang w:val="en-US" w:eastAsia="zh-CN"/>
                    </w:rPr>
                    <w:t>全称为</w:t>
                  </w:r>
                  <w:r>
                    <w:rPr>
                      <w:rFonts w:hint="default" w:ascii="Times New Roman" w:hAnsi="Times New Roman" w:eastAsia="宋体" w:cs="Times New Roman"/>
                      <w:i w:val="0"/>
                      <w:iCs w:val="0"/>
                      <w:caps w:val="0"/>
                      <w:color w:val="auto"/>
                      <w:spacing w:val="0"/>
                      <w:sz w:val="21"/>
                      <w:szCs w:val="21"/>
                      <w:shd w:val="clear" w:color="auto" w:fill="FFFFFF"/>
                    </w:rPr>
                    <w:t>二(乙酰丙酮)钯(II)（Pd(acac)₂）</w:t>
                  </w:r>
                  <w:r>
                    <w:rPr>
                      <w:rFonts w:hint="eastAsia" w:ascii="Times New Roman" w:hAnsi="Times New Roman" w:eastAsia="宋体" w:cs="Times New Roman"/>
                      <w:i w:val="0"/>
                      <w:iCs w:val="0"/>
                      <w:caps w:val="0"/>
                      <w:color w:val="auto"/>
                      <w:spacing w:val="0"/>
                      <w:sz w:val="21"/>
                      <w:szCs w:val="21"/>
                      <w:shd w:val="clear" w:color="auto" w:fill="FFFFFF"/>
                      <w:lang w:eastAsia="zh-CN"/>
                    </w:rPr>
                    <w:t>，</w:t>
                  </w:r>
                  <w:r>
                    <w:rPr>
                      <w:rFonts w:hint="default" w:ascii="Times New Roman" w:hAnsi="Times New Roman" w:eastAsia="宋体" w:cs="Times New Roman"/>
                      <w:i w:val="0"/>
                      <w:iCs w:val="0"/>
                      <w:caps w:val="0"/>
                      <w:color w:val="auto"/>
                      <w:spacing w:val="0"/>
                      <w:sz w:val="21"/>
                      <w:szCs w:val="21"/>
                      <w:shd w:val="clear" w:color="auto" w:fill="FFFFFF"/>
                    </w:rPr>
                    <w:t>是一种橙黄色至黄色结晶性固体，分子式为C₁₀H₁₄O₄Pd，熔点约205°C（分解）。它难溶于水，但可溶于有机溶剂如苯、氯仿、丙酮等。该化合物中钯原子与两个乙酰丙酮基团通过氧原子螯合形成稳定的平面正方形配位结构。热稳定性较差，加热至分解温度时释放钯金属。化学性质上，它是一种常用的钯催化剂前体，在交叉偶联反应（如Suzuki、Heck反应）、氢化反应及C-H键活化中表现出高催化活性，对空气和湿度相对稳定，但需避光保存。</w:t>
                  </w:r>
                </w:p>
              </w:tc>
            </w:tr>
            <w:tr w14:paraId="3428A5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5" w:type="pct"/>
                  <w:tcBorders>
                    <w:tl2br w:val="nil"/>
                    <w:tr2bl w:val="nil"/>
                  </w:tcBorders>
                  <w:noWrap w:val="0"/>
                  <w:vAlign w:val="center"/>
                </w:tcPr>
                <w:p w14:paraId="100EBB8E">
                  <w:pPr>
                    <w:pStyle w:val="56"/>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64" w:lineRule="auto"/>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6</w:t>
                  </w:r>
                </w:p>
              </w:tc>
              <w:tc>
                <w:tcPr>
                  <w:tcW w:w="515" w:type="pct"/>
                  <w:tcBorders>
                    <w:tl2br w:val="nil"/>
                    <w:tr2bl w:val="nil"/>
                  </w:tcBorders>
                  <w:noWrap w:val="0"/>
                  <w:vAlign w:val="center"/>
                </w:tcPr>
                <w:p w14:paraId="63DB28A8">
                  <w:pPr>
                    <w:keepNext w:val="0"/>
                    <w:keepLines w:val="0"/>
                    <w:pageBreakBefore w:val="0"/>
                    <w:kinsoku/>
                    <w:wordWrap/>
                    <w:overflowPunct/>
                    <w:topLinePunct w:val="0"/>
                    <w:autoSpaceDE/>
                    <w:autoSpaceDN/>
                    <w:bidi w:val="0"/>
                    <w:adjustRightInd w:val="0"/>
                    <w:snapToGrid w:val="0"/>
                    <w:spacing w:beforeAutospacing="0" w:afterAutospacing="0" w:line="264" w:lineRule="auto"/>
                    <w:jc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甲酸</w:t>
                  </w:r>
                </w:p>
              </w:tc>
              <w:tc>
                <w:tcPr>
                  <w:tcW w:w="4199" w:type="pct"/>
                  <w:tcBorders>
                    <w:tl2br w:val="nil"/>
                    <w:tr2bl w:val="nil"/>
                  </w:tcBorders>
                  <w:noWrap w:val="0"/>
                  <w:vAlign w:val="center"/>
                </w:tcPr>
                <w:p w14:paraId="35FE3E54">
                  <w:pPr>
                    <w:keepNext w:val="0"/>
                    <w:keepLines w:val="0"/>
                    <w:pageBreakBefore w:val="0"/>
                    <w:widowControl/>
                    <w:numPr>
                      <w:ilvl w:val="0"/>
                      <w:numId w:val="0"/>
                    </w:numPr>
                    <w:suppressLineNumbers w:val="0"/>
                    <w:pBdr>
                      <w:left w:val="none" w:color="auto" w:sz="0" w:space="0"/>
                    </w:pBdr>
                    <w:kinsoku/>
                    <w:wordWrap/>
                    <w:overflowPunct/>
                    <w:autoSpaceDE/>
                    <w:autoSpaceDN/>
                    <w:bidi w:val="0"/>
                    <w:spacing w:beforeAutospacing="0" w:afterAutospacing="0" w:line="264" w:lineRule="auto"/>
                    <w:ind w:left="-60" w:leftChars="0" w:firstLine="0" w:firstLineChars="0"/>
                    <w:jc w:val="both"/>
                    <w:rPr>
                      <w:rFonts w:hint="eastAsia" w:ascii="Times New Roman" w:hAnsi="Times New Roman" w:eastAsia="宋体" w:cs="Times New Roman"/>
                      <w:i w:val="0"/>
                      <w:iCs w:val="0"/>
                      <w:caps w:val="0"/>
                      <w:color w:val="auto"/>
                      <w:spacing w:val="0"/>
                      <w:sz w:val="21"/>
                      <w:szCs w:val="21"/>
                      <w:shd w:val="clear" w:color="auto" w:fill="FFFFFF"/>
                      <w:lang w:val="en-US" w:eastAsia="zh-CN"/>
                    </w:rPr>
                  </w:pPr>
                  <w:r>
                    <w:rPr>
                      <w:rFonts w:hint="eastAsia" w:ascii="Times New Roman" w:hAnsi="Times New Roman" w:eastAsia="宋体" w:cs="Times New Roman"/>
                      <w:i w:val="0"/>
                      <w:iCs w:val="0"/>
                      <w:caps w:val="0"/>
                      <w:color w:val="auto"/>
                      <w:spacing w:val="0"/>
                      <w:sz w:val="21"/>
                      <w:szCs w:val="21"/>
                      <w:shd w:val="clear" w:color="auto" w:fill="FFFFFF"/>
                      <w:lang w:val="en-US" w:eastAsia="zh-CN"/>
                    </w:rPr>
                    <w:t>化学式为HCOOH或CH</w:t>
                  </w:r>
                  <w:r>
                    <w:rPr>
                      <w:rFonts w:hint="eastAsia" w:ascii="Times New Roman" w:hAnsi="Times New Roman" w:eastAsia="宋体" w:cs="Times New Roman"/>
                      <w:i w:val="0"/>
                      <w:iCs w:val="0"/>
                      <w:caps w:val="0"/>
                      <w:color w:val="auto"/>
                      <w:spacing w:val="0"/>
                      <w:sz w:val="21"/>
                      <w:szCs w:val="21"/>
                      <w:shd w:val="clear" w:color="auto" w:fill="FFFFFF"/>
                      <w:vertAlign w:val="subscript"/>
                      <w:lang w:val="en-US" w:eastAsia="zh-CN"/>
                    </w:rPr>
                    <w:t>2</w:t>
                  </w:r>
                  <w:r>
                    <w:rPr>
                      <w:rFonts w:hint="eastAsia" w:ascii="Times New Roman" w:hAnsi="Times New Roman" w:eastAsia="宋体" w:cs="Times New Roman"/>
                      <w:i w:val="0"/>
                      <w:iCs w:val="0"/>
                      <w:caps w:val="0"/>
                      <w:color w:val="auto"/>
                      <w:spacing w:val="0"/>
                      <w:sz w:val="21"/>
                      <w:szCs w:val="21"/>
                      <w:shd w:val="clear" w:color="auto" w:fill="FFFFFF"/>
                      <w:lang w:val="en-US" w:eastAsia="zh-CN"/>
                    </w:rPr>
                    <w:t>O</w:t>
                  </w:r>
                  <w:r>
                    <w:rPr>
                      <w:rFonts w:hint="eastAsia" w:ascii="Times New Roman" w:hAnsi="Times New Roman" w:eastAsia="宋体" w:cs="Times New Roman"/>
                      <w:i w:val="0"/>
                      <w:iCs w:val="0"/>
                      <w:caps w:val="0"/>
                      <w:color w:val="auto"/>
                      <w:spacing w:val="0"/>
                      <w:sz w:val="21"/>
                      <w:szCs w:val="21"/>
                      <w:shd w:val="clear" w:color="auto" w:fill="FFFFFF"/>
                      <w:vertAlign w:val="subscript"/>
                      <w:lang w:val="en-US" w:eastAsia="zh-CN"/>
                    </w:rPr>
                    <w:t>2</w:t>
                  </w:r>
                  <w:r>
                    <w:rPr>
                      <w:rFonts w:hint="eastAsia" w:ascii="Times New Roman" w:hAnsi="Times New Roman" w:eastAsia="宋体" w:cs="Times New Roman"/>
                      <w:i w:val="0"/>
                      <w:iCs w:val="0"/>
                      <w:caps w:val="0"/>
                      <w:color w:val="auto"/>
                      <w:spacing w:val="0"/>
                      <w:sz w:val="21"/>
                      <w:szCs w:val="21"/>
                      <w:shd w:val="clear" w:color="auto" w:fill="FFFFFF"/>
                      <w:lang w:val="en-US" w:eastAsia="zh-CN"/>
                    </w:rPr>
                    <w:t>，弱电解质、最简单的</w:t>
                  </w:r>
                  <w:r>
                    <w:rPr>
                      <w:rFonts w:hint="eastAsia" w:ascii="Times New Roman" w:hAnsi="Times New Roman" w:eastAsia="宋体" w:cs="Times New Roman"/>
                      <w:i w:val="0"/>
                      <w:iCs w:val="0"/>
                      <w:caps w:val="0"/>
                      <w:color w:val="auto"/>
                      <w:spacing w:val="0"/>
                      <w:sz w:val="21"/>
                      <w:szCs w:val="21"/>
                      <w:shd w:val="clear" w:color="auto" w:fill="FFFFFF"/>
                      <w:lang w:val="en-US" w:eastAsia="zh-CN"/>
                    </w:rPr>
                    <w:fldChar w:fldCharType="begin"/>
                  </w:r>
                  <w:r>
                    <w:rPr>
                      <w:rFonts w:hint="eastAsia" w:ascii="Times New Roman" w:hAnsi="Times New Roman" w:eastAsia="宋体" w:cs="Times New Roman"/>
                      <w:i w:val="0"/>
                      <w:iCs w:val="0"/>
                      <w:caps w:val="0"/>
                      <w:color w:val="auto"/>
                      <w:spacing w:val="0"/>
                      <w:sz w:val="21"/>
                      <w:szCs w:val="21"/>
                      <w:shd w:val="clear" w:color="auto" w:fill="FFFFFF"/>
                      <w:lang w:val="en-US" w:eastAsia="zh-CN"/>
                    </w:rPr>
                    <w:instrText xml:space="preserve"> HYPERLINK "https://baike.baidu.com/item/%E8%84%82%E8%82%AA%E9%85%B8/478673?fromModule=lemma_inlink" \t "https://baike.baidu.com/item/%E7%94%B2%E9%85%B8/_blank" </w:instrText>
                  </w:r>
                  <w:r>
                    <w:rPr>
                      <w:rFonts w:hint="eastAsia" w:ascii="Times New Roman" w:hAnsi="Times New Roman" w:eastAsia="宋体" w:cs="Times New Roman"/>
                      <w:i w:val="0"/>
                      <w:iCs w:val="0"/>
                      <w:caps w:val="0"/>
                      <w:color w:val="auto"/>
                      <w:spacing w:val="0"/>
                      <w:sz w:val="21"/>
                      <w:szCs w:val="21"/>
                      <w:shd w:val="clear" w:color="auto" w:fill="FFFFFF"/>
                      <w:lang w:val="en-US" w:eastAsia="zh-CN"/>
                    </w:rPr>
                    <w:fldChar w:fldCharType="separate"/>
                  </w:r>
                  <w:r>
                    <w:rPr>
                      <w:rFonts w:hint="eastAsia" w:ascii="Times New Roman" w:hAnsi="Times New Roman" w:eastAsia="宋体" w:cs="Times New Roman"/>
                      <w:i w:val="0"/>
                      <w:iCs w:val="0"/>
                      <w:caps w:val="0"/>
                      <w:color w:val="auto"/>
                      <w:spacing w:val="0"/>
                      <w:sz w:val="21"/>
                      <w:szCs w:val="21"/>
                      <w:shd w:val="clear" w:color="auto" w:fill="FFFFFF"/>
                      <w:lang w:val="en-US" w:eastAsia="zh-CN"/>
                    </w:rPr>
                    <w:t>脂肪酸</w:t>
                  </w:r>
                  <w:r>
                    <w:rPr>
                      <w:rFonts w:hint="eastAsia" w:ascii="Times New Roman" w:hAnsi="Times New Roman" w:eastAsia="宋体" w:cs="Times New Roman"/>
                      <w:i w:val="0"/>
                      <w:iCs w:val="0"/>
                      <w:caps w:val="0"/>
                      <w:color w:val="auto"/>
                      <w:spacing w:val="0"/>
                      <w:sz w:val="21"/>
                      <w:szCs w:val="21"/>
                      <w:shd w:val="clear" w:color="auto" w:fill="FFFFFF"/>
                      <w:lang w:val="en-US" w:eastAsia="zh-CN"/>
                    </w:rPr>
                    <w:fldChar w:fldCharType="end"/>
                  </w:r>
                  <w:r>
                    <w:rPr>
                      <w:rFonts w:hint="eastAsia" w:ascii="Times New Roman" w:hAnsi="Times New Roman" w:eastAsia="宋体" w:cs="Times New Roman"/>
                      <w:i w:val="0"/>
                      <w:iCs w:val="0"/>
                      <w:caps w:val="0"/>
                      <w:color w:val="auto"/>
                      <w:spacing w:val="0"/>
                      <w:sz w:val="21"/>
                      <w:szCs w:val="21"/>
                      <w:shd w:val="clear" w:color="auto" w:fill="FFFFFF"/>
                      <w:lang w:val="en-US" w:eastAsia="zh-CN"/>
                    </w:rPr>
                    <w:t>，为无色透明、有强烈刺激性气味的发烟液体，</w:t>
                  </w:r>
                  <w:r>
                    <w:rPr>
                      <w:rFonts w:hint="default" w:ascii="Times New Roman" w:hAnsi="Times New Roman" w:eastAsia="宋体" w:cs="Times New Roman"/>
                      <w:i w:val="0"/>
                      <w:iCs w:val="0"/>
                      <w:caps w:val="0"/>
                      <w:color w:val="auto"/>
                      <w:spacing w:val="0"/>
                      <w:sz w:val="21"/>
                      <w:szCs w:val="21"/>
                      <w:shd w:val="clear" w:color="auto" w:fill="FFFFFF"/>
                    </w:rPr>
                    <w:t>沸点</w:t>
                  </w:r>
                  <w:r>
                    <w:rPr>
                      <w:rFonts w:hint="eastAsia" w:ascii="Times New Roman" w:hAnsi="Times New Roman" w:eastAsia="宋体" w:cs="Times New Roman"/>
                      <w:i w:val="0"/>
                      <w:iCs w:val="0"/>
                      <w:caps w:val="0"/>
                      <w:color w:val="auto"/>
                      <w:spacing w:val="0"/>
                      <w:sz w:val="21"/>
                      <w:szCs w:val="21"/>
                      <w:shd w:val="clear" w:color="auto" w:fill="FFFFFF"/>
                      <w:lang w:val="en-US" w:eastAsia="zh-CN"/>
                    </w:rPr>
                    <w:t>100.6</w:t>
                  </w:r>
                  <w:r>
                    <w:rPr>
                      <w:rFonts w:hint="default" w:ascii="Times New Roman" w:hAnsi="Times New Roman" w:eastAsia="宋体" w:cs="Times New Roman"/>
                      <w:i w:val="0"/>
                      <w:iCs w:val="0"/>
                      <w:caps w:val="0"/>
                      <w:color w:val="auto"/>
                      <w:spacing w:val="0"/>
                      <w:sz w:val="21"/>
                      <w:szCs w:val="21"/>
                      <w:shd w:val="clear" w:color="auto" w:fill="FFFFFF"/>
                    </w:rPr>
                    <w:t>°C，熔点</w:t>
                  </w:r>
                  <w:r>
                    <w:rPr>
                      <w:rFonts w:hint="eastAsia" w:ascii="Times New Roman" w:hAnsi="Times New Roman" w:eastAsia="宋体" w:cs="Times New Roman"/>
                      <w:i w:val="0"/>
                      <w:iCs w:val="0"/>
                      <w:caps w:val="0"/>
                      <w:color w:val="auto"/>
                      <w:spacing w:val="0"/>
                      <w:sz w:val="21"/>
                      <w:szCs w:val="21"/>
                      <w:shd w:val="clear" w:color="auto" w:fill="FFFFFF"/>
                      <w:lang w:val="en-US" w:eastAsia="zh-CN"/>
                    </w:rPr>
                    <w:t>8.4</w:t>
                  </w:r>
                  <w:r>
                    <w:rPr>
                      <w:rFonts w:hint="default" w:ascii="Times New Roman" w:hAnsi="Times New Roman" w:eastAsia="宋体" w:cs="Times New Roman"/>
                      <w:i w:val="0"/>
                      <w:iCs w:val="0"/>
                      <w:caps w:val="0"/>
                      <w:color w:val="auto"/>
                      <w:spacing w:val="0"/>
                      <w:sz w:val="21"/>
                      <w:szCs w:val="21"/>
                      <w:shd w:val="clear" w:color="auto" w:fill="FFFFFF"/>
                    </w:rPr>
                    <w:t>°C，密度约为</w:t>
                  </w:r>
                  <w:r>
                    <w:rPr>
                      <w:rFonts w:hint="eastAsia" w:ascii="Times New Roman" w:hAnsi="Times New Roman" w:eastAsia="宋体" w:cs="Times New Roman"/>
                      <w:i w:val="0"/>
                      <w:iCs w:val="0"/>
                      <w:caps w:val="0"/>
                      <w:color w:val="auto"/>
                      <w:spacing w:val="0"/>
                      <w:sz w:val="21"/>
                      <w:szCs w:val="21"/>
                      <w:shd w:val="clear" w:color="auto" w:fill="FFFFFF"/>
                      <w:lang w:val="en-US" w:eastAsia="zh-CN"/>
                    </w:rPr>
                    <w:t>1.22</w:t>
                  </w:r>
                  <w:r>
                    <w:rPr>
                      <w:rFonts w:hint="default" w:ascii="Times New Roman" w:hAnsi="Times New Roman" w:eastAsia="宋体" w:cs="Times New Roman"/>
                      <w:i w:val="0"/>
                      <w:iCs w:val="0"/>
                      <w:caps w:val="0"/>
                      <w:color w:val="auto"/>
                      <w:spacing w:val="0"/>
                      <w:sz w:val="21"/>
                      <w:szCs w:val="21"/>
                      <w:shd w:val="clear" w:color="auto" w:fill="FFFFFF"/>
                    </w:rPr>
                    <w:t>g/cm³。易溶于水、乙醇、乙醚、苯等有机溶剂</w:t>
                  </w:r>
                  <w:r>
                    <w:rPr>
                      <w:rFonts w:hint="eastAsia" w:ascii="Times New Roman" w:hAnsi="Times New Roman" w:eastAsia="宋体" w:cs="Times New Roman"/>
                      <w:i w:val="0"/>
                      <w:iCs w:val="0"/>
                      <w:caps w:val="0"/>
                      <w:color w:val="auto"/>
                      <w:spacing w:val="0"/>
                      <w:sz w:val="21"/>
                      <w:szCs w:val="21"/>
                      <w:shd w:val="clear" w:color="auto" w:fill="FFFFFF"/>
                      <w:lang w:eastAsia="zh-CN"/>
                    </w:rPr>
                    <w:t>。</w:t>
                  </w:r>
                </w:p>
              </w:tc>
            </w:tr>
            <w:tr w14:paraId="151932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5" w:type="pct"/>
                  <w:tcBorders>
                    <w:tl2br w:val="nil"/>
                    <w:tr2bl w:val="nil"/>
                  </w:tcBorders>
                  <w:shd w:val="clear" w:color="auto" w:fill="auto"/>
                  <w:noWrap w:val="0"/>
                  <w:vAlign w:val="center"/>
                </w:tcPr>
                <w:p w14:paraId="4A68F821">
                  <w:pPr>
                    <w:pStyle w:val="56"/>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64" w:lineRule="auto"/>
                    <w:jc w:val="center"/>
                    <w:rPr>
                      <w:rFonts w:hint="eastAsia" w:ascii="Times New Roman" w:hAnsi="Times New Roman" w:eastAsia="宋体" w:cs="Times New Roman"/>
                      <w:b w:val="0"/>
                      <w:bCs w:val="0"/>
                      <w:snapToGrid w:val="0"/>
                      <w:color w:val="auto"/>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7</w:t>
                  </w:r>
                </w:p>
              </w:tc>
              <w:tc>
                <w:tcPr>
                  <w:tcW w:w="515" w:type="pct"/>
                  <w:tcBorders>
                    <w:tl2br w:val="nil"/>
                    <w:tr2bl w:val="nil"/>
                  </w:tcBorders>
                  <w:noWrap w:val="0"/>
                  <w:vAlign w:val="center"/>
                </w:tcPr>
                <w:p w14:paraId="791B6E18">
                  <w:pPr>
                    <w:keepNext w:val="0"/>
                    <w:keepLines w:val="0"/>
                    <w:pageBreakBefore w:val="0"/>
                    <w:kinsoku/>
                    <w:wordWrap/>
                    <w:overflowPunct/>
                    <w:topLinePunct w:val="0"/>
                    <w:autoSpaceDE/>
                    <w:autoSpaceDN/>
                    <w:bidi w:val="0"/>
                    <w:adjustRightInd w:val="0"/>
                    <w:snapToGrid w:val="0"/>
                    <w:spacing w:beforeAutospacing="0" w:afterAutospacing="0" w:line="264" w:lineRule="auto"/>
                    <w:jc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乙酸</w:t>
                  </w:r>
                </w:p>
              </w:tc>
              <w:tc>
                <w:tcPr>
                  <w:tcW w:w="4199" w:type="pct"/>
                  <w:tcBorders>
                    <w:tl2br w:val="nil"/>
                    <w:tr2bl w:val="nil"/>
                  </w:tcBorders>
                  <w:noWrap w:val="0"/>
                  <w:vAlign w:val="center"/>
                </w:tcPr>
                <w:p w14:paraId="1452E195">
                  <w:pPr>
                    <w:keepNext w:val="0"/>
                    <w:keepLines w:val="0"/>
                    <w:pageBreakBefore w:val="0"/>
                    <w:widowControl/>
                    <w:numPr>
                      <w:ilvl w:val="0"/>
                      <w:numId w:val="0"/>
                    </w:numPr>
                    <w:suppressLineNumbers w:val="0"/>
                    <w:pBdr>
                      <w:left w:val="none" w:color="auto" w:sz="0" w:space="0"/>
                    </w:pBdr>
                    <w:tabs>
                      <w:tab w:val="left" w:pos="1303"/>
                    </w:tabs>
                    <w:kinsoku/>
                    <w:wordWrap/>
                    <w:overflowPunct/>
                    <w:autoSpaceDE/>
                    <w:autoSpaceDN/>
                    <w:bidi w:val="0"/>
                    <w:spacing w:beforeAutospacing="0" w:afterAutospacing="0" w:line="264" w:lineRule="auto"/>
                    <w:ind w:left="-60" w:leftChars="0" w:firstLine="0" w:firstLineChars="0"/>
                    <w:jc w:val="both"/>
                    <w:rPr>
                      <w:rFonts w:hint="eastAsia" w:ascii="Times New Roman" w:hAnsi="Times New Roman" w:eastAsia="宋体" w:cs="Times New Roman"/>
                      <w:i w:val="0"/>
                      <w:iCs w:val="0"/>
                      <w:caps w:val="0"/>
                      <w:color w:val="auto"/>
                      <w:spacing w:val="0"/>
                      <w:sz w:val="21"/>
                      <w:szCs w:val="21"/>
                      <w:shd w:val="clear" w:color="auto" w:fill="FFFFFF"/>
                      <w:lang w:val="en-US" w:eastAsia="zh-CN"/>
                    </w:rPr>
                  </w:pPr>
                  <w:r>
                    <w:rPr>
                      <w:rFonts w:hint="eastAsia" w:ascii="Times New Roman" w:hAnsi="Times New Roman" w:eastAsia="宋体" w:cs="Times New Roman"/>
                      <w:i w:val="0"/>
                      <w:iCs w:val="0"/>
                      <w:caps w:val="0"/>
                      <w:color w:val="auto"/>
                      <w:spacing w:val="0"/>
                      <w:sz w:val="21"/>
                      <w:szCs w:val="21"/>
                      <w:shd w:val="clear" w:color="auto" w:fill="FFFFFF"/>
                      <w:lang w:val="en-US" w:eastAsia="zh-CN"/>
                    </w:rPr>
                    <w:t>化学式为CH</w:t>
                  </w:r>
                  <w:r>
                    <w:rPr>
                      <w:rFonts w:hint="eastAsia" w:cs="Times New Roman"/>
                      <w:i w:val="0"/>
                      <w:iCs w:val="0"/>
                      <w:caps w:val="0"/>
                      <w:color w:val="auto"/>
                      <w:spacing w:val="0"/>
                      <w:sz w:val="21"/>
                      <w:szCs w:val="21"/>
                      <w:shd w:val="clear" w:color="auto" w:fill="FFFFFF"/>
                      <w:vertAlign w:val="subscript"/>
                      <w:lang w:val="en-US" w:eastAsia="zh-CN"/>
                    </w:rPr>
                    <w:t>3</w:t>
                  </w:r>
                  <w:r>
                    <w:rPr>
                      <w:rFonts w:hint="eastAsia" w:ascii="Times New Roman" w:hAnsi="Times New Roman" w:eastAsia="宋体" w:cs="Times New Roman"/>
                      <w:i w:val="0"/>
                      <w:iCs w:val="0"/>
                      <w:caps w:val="0"/>
                      <w:color w:val="auto"/>
                      <w:spacing w:val="0"/>
                      <w:sz w:val="21"/>
                      <w:szCs w:val="21"/>
                      <w:shd w:val="clear" w:color="auto" w:fill="FFFFFF"/>
                      <w:lang w:val="en-US" w:eastAsia="zh-CN"/>
                    </w:rPr>
                    <w:t>COOH</w:t>
                  </w:r>
                  <w:r>
                    <w:rPr>
                      <w:rFonts w:hint="eastAsia" w:cs="Times New Roman"/>
                      <w:i w:val="0"/>
                      <w:iCs w:val="0"/>
                      <w:caps w:val="0"/>
                      <w:color w:val="auto"/>
                      <w:spacing w:val="0"/>
                      <w:sz w:val="21"/>
                      <w:szCs w:val="21"/>
                      <w:shd w:val="clear" w:color="auto" w:fill="FFFFFF"/>
                      <w:lang w:val="en-US" w:eastAsia="zh-CN"/>
                    </w:rPr>
                    <w:t>，</w:t>
                  </w:r>
                  <w:r>
                    <w:rPr>
                      <w:rFonts w:hint="eastAsia" w:ascii="Times New Roman" w:hAnsi="Times New Roman" w:eastAsia="宋体" w:cs="Times New Roman"/>
                      <w:i w:val="0"/>
                      <w:iCs w:val="0"/>
                      <w:caps w:val="0"/>
                      <w:color w:val="auto"/>
                      <w:spacing w:val="0"/>
                      <w:sz w:val="21"/>
                      <w:szCs w:val="21"/>
                      <w:shd w:val="clear" w:color="auto" w:fill="FFFFFF"/>
                      <w:lang w:val="en-US" w:eastAsia="zh-CN"/>
                    </w:rPr>
                    <w:t>它在常温常压下是一种无色透明、有强烈刺激性酸味的液体。熔点约16.6</w:t>
                  </w:r>
                  <w:r>
                    <w:rPr>
                      <w:rFonts w:hint="default" w:ascii="Times New Roman" w:hAnsi="Times New Roman" w:eastAsia="宋体" w:cs="Times New Roman"/>
                      <w:i w:val="0"/>
                      <w:iCs w:val="0"/>
                      <w:caps w:val="0"/>
                      <w:color w:val="auto"/>
                      <w:spacing w:val="0"/>
                      <w:sz w:val="21"/>
                      <w:szCs w:val="21"/>
                      <w:shd w:val="clear" w:color="auto" w:fill="FFFFFF"/>
                    </w:rPr>
                    <w:t>°C</w:t>
                  </w:r>
                  <w:r>
                    <w:rPr>
                      <w:rFonts w:hint="eastAsia" w:ascii="Times New Roman" w:hAnsi="Times New Roman" w:eastAsia="宋体" w:cs="Times New Roman"/>
                      <w:i w:val="0"/>
                      <w:iCs w:val="0"/>
                      <w:caps w:val="0"/>
                      <w:color w:val="auto"/>
                      <w:spacing w:val="0"/>
                      <w:sz w:val="21"/>
                      <w:szCs w:val="21"/>
                      <w:shd w:val="clear" w:color="auto" w:fill="FFFFFF"/>
                      <w:lang w:val="en-US" w:eastAsia="zh-CN"/>
                    </w:rPr>
                    <w:t>，沸点约117.9</w:t>
                  </w:r>
                  <w:r>
                    <w:rPr>
                      <w:rFonts w:hint="default" w:ascii="Times New Roman" w:hAnsi="Times New Roman" w:eastAsia="宋体" w:cs="Times New Roman"/>
                      <w:i w:val="0"/>
                      <w:iCs w:val="0"/>
                      <w:caps w:val="0"/>
                      <w:color w:val="auto"/>
                      <w:spacing w:val="0"/>
                      <w:sz w:val="21"/>
                      <w:szCs w:val="21"/>
                      <w:shd w:val="clear" w:color="auto" w:fill="FFFFFF"/>
                    </w:rPr>
                    <w:t>°C</w:t>
                  </w:r>
                  <w:r>
                    <w:rPr>
                      <w:rFonts w:hint="eastAsia" w:ascii="Times New Roman" w:hAnsi="Times New Roman" w:eastAsia="宋体" w:cs="Times New Roman"/>
                      <w:i w:val="0"/>
                      <w:iCs w:val="0"/>
                      <w:caps w:val="0"/>
                      <w:color w:val="auto"/>
                      <w:spacing w:val="0"/>
                      <w:sz w:val="21"/>
                      <w:szCs w:val="21"/>
                      <w:shd w:val="clear" w:color="auto" w:fill="FFFFFF"/>
                      <w:lang w:val="en-US" w:eastAsia="zh-CN"/>
                    </w:rPr>
                    <w:t>，密度约为1.05</w:t>
                  </w:r>
                  <w:r>
                    <w:rPr>
                      <w:rFonts w:hint="default" w:ascii="Times New Roman" w:hAnsi="Times New Roman" w:eastAsia="宋体" w:cs="Times New Roman"/>
                      <w:i w:val="0"/>
                      <w:iCs w:val="0"/>
                      <w:caps w:val="0"/>
                      <w:color w:val="auto"/>
                      <w:spacing w:val="0"/>
                      <w:sz w:val="21"/>
                      <w:szCs w:val="21"/>
                      <w:shd w:val="clear" w:color="auto" w:fill="FFFFFF"/>
                    </w:rPr>
                    <w:t>g/cm³</w:t>
                  </w:r>
                  <w:r>
                    <w:rPr>
                      <w:rFonts w:hint="eastAsia" w:ascii="Times New Roman" w:hAnsi="Times New Roman" w:eastAsia="宋体" w:cs="Times New Roman"/>
                      <w:i w:val="0"/>
                      <w:iCs w:val="0"/>
                      <w:caps w:val="0"/>
                      <w:color w:val="auto"/>
                      <w:spacing w:val="0"/>
                      <w:sz w:val="21"/>
                      <w:szCs w:val="21"/>
                      <w:shd w:val="clear" w:color="auto" w:fill="FFFFFF"/>
                      <w:lang w:val="en-US" w:eastAsia="zh-CN"/>
                    </w:rPr>
                    <w:t>。它易溶于水、乙醇、乙醚等溶剂。</w:t>
                  </w:r>
                </w:p>
              </w:tc>
            </w:tr>
            <w:tr w14:paraId="54B8A7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5" w:type="pct"/>
                  <w:tcBorders>
                    <w:tl2br w:val="nil"/>
                    <w:tr2bl w:val="nil"/>
                  </w:tcBorders>
                  <w:shd w:val="clear" w:color="auto" w:fill="auto"/>
                  <w:noWrap w:val="0"/>
                  <w:vAlign w:val="center"/>
                </w:tcPr>
                <w:p w14:paraId="68BE8377">
                  <w:pPr>
                    <w:pStyle w:val="56"/>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64" w:lineRule="auto"/>
                    <w:jc w:val="center"/>
                    <w:rPr>
                      <w:rFonts w:hint="default" w:ascii="Times New Roman" w:hAnsi="Times New Roman" w:eastAsia="宋体" w:cs="Times New Roman"/>
                      <w:b w:val="0"/>
                      <w:bCs w:val="0"/>
                      <w:snapToGrid w:val="0"/>
                      <w:color w:val="auto"/>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8</w:t>
                  </w:r>
                </w:p>
              </w:tc>
              <w:tc>
                <w:tcPr>
                  <w:tcW w:w="515" w:type="pct"/>
                  <w:tcBorders>
                    <w:tl2br w:val="nil"/>
                    <w:tr2bl w:val="nil"/>
                  </w:tcBorders>
                  <w:noWrap w:val="0"/>
                  <w:vAlign w:val="center"/>
                </w:tcPr>
                <w:p w14:paraId="23C7C296">
                  <w:pPr>
                    <w:pStyle w:val="56"/>
                    <w:keepNext w:val="0"/>
                    <w:keepLines w:val="0"/>
                    <w:pageBreakBefore w:val="0"/>
                    <w:widowControl w:val="0"/>
                    <w:kinsoku/>
                    <w:wordWrap/>
                    <w:overflowPunct/>
                    <w:autoSpaceDE/>
                    <w:autoSpaceDN/>
                    <w:bidi w:val="0"/>
                    <w:adjustRightInd w:val="0"/>
                    <w:snapToGrid w:val="0"/>
                    <w:spacing w:before="0" w:beforeLines="0" w:beforeAutospacing="0" w:after="0" w:afterLines="0" w:afterAutospacing="0" w:line="264" w:lineRule="auto"/>
                    <w:jc w:val="center"/>
                    <w:rPr>
                      <w:rFonts w:hint="default" w:ascii="Times New Roman" w:hAnsi="Times New Roman" w:eastAsia="宋体" w:cs="Times New Roman"/>
                      <w:b w:val="0"/>
                      <w:bCs w:val="0"/>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甲醇</w:t>
                  </w:r>
                </w:p>
              </w:tc>
              <w:tc>
                <w:tcPr>
                  <w:tcW w:w="4199" w:type="pct"/>
                  <w:tcBorders>
                    <w:tl2br w:val="nil"/>
                    <w:tr2bl w:val="nil"/>
                  </w:tcBorders>
                  <w:noWrap w:val="0"/>
                  <w:vAlign w:val="center"/>
                </w:tcPr>
                <w:p w14:paraId="3933E139">
                  <w:pPr>
                    <w:pStyle w:val="56"/>
                    <w:keepNext w:val="0"/>
                    <w:keepLines w:val="0"/>
                    <w:pageBreakBefore w:val="0"/>
                    <w:widowControl w:val="0"/>
                    <w:kinsoku/>
                    <w:wordWrap/>
                    <w:overflowPunct/>
                    <w:autoSpaceDE/>
                    <w:autoSpaceDN/>
                    <w:bidi w:val="0"/>
                    <w:adjustRightInd w:val="0"/>
                    <w:snapToGrid w:val="0"/>
                    <w:spacing w:before="0" w:beforeLines="0" w:beforeAutospacing="0" w:after="0" w:afterLines="0" w:afterAutospacing="0" w:line="264" w:lineRule="auto"/>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aps w:val="0"/>
                      <w:color w:val="auto"/>
                      <w:spacing w:val="0"/>
                      <w:sz w:val="21"/>
                      <w:szCs w:val="21"/>
                      <w:shd w:val="clear" w:color="auto" w:fill="FFFFFF"/>
                    </w:rPr>
                    <w:t>甲醇（CH₃OH）是一种无色、挥发性液体，具有轻微的乙醇样气味，沸点64.7°C，熔点-97.6°C，密度约为0.79 g/cm³。它可与水、乙醇、乙醚等多数极性溶剂互溶，是一种重要的极性溶剂。甲醇易燃，燃烧时产生淡蓝色火焰，其蒸气与空气混合可形成爆炸性混合物。化学性质上，甲醇可发生氧化、酯化、脱水等反应，例如氧化生成甲醛或甲酸，是化工生产中合成甲醛、乙酸等产品的重要原料。需注意其毒性，误食或长期吸入可能导致视神经损伤甚至死亡。</w:t>
                  </w:r>
                </w:p>
              </w:tc>
            </w:tr>
            <w:tr w14:paraId="406766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5" w:type="pct"/>
                  <w:tcBorders>
                    <w:tl2br w:val="nil"/>
                    <w:tr2bl w:val="nil"/>
                  </w:tcBorders>
                  <w:shd w:val="clear" w:color="auto" w:fill="auto"/>
                  <w:noWrap w:val="0"/>
                  <w:vAlign w:val="center"/>
                </w:tcPr>
                <w:p w14:paraId="02193D75">
                  <w:pPr>
                    <w:pStyle w:val="56"/>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64" w:lineRule="auto"/>
                    <w:jc w:val="center"/>
                    <w:rPr>
                      <w:rFonts w:hint="default" w:ascii="Times New Roman" w:hAnsi="Times New Roman" w:eastAsia="宋体" w:cs="Times New Roman"/>
                      <w:b w:val="0"/>
                      <w:bCs w:val="0"/>
                      <w:snapToGrid w:val="0"/>
                      <w:color w:val="auto"/>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9</w:t>
                  </w:r>
                </w:p>
              </w:tc>
              <w:tc>
                <w:tcPr>
                  <w:tcW w:w="515" w:type="pct"/>
                  <w:tcBorders>
                    <w:tl2br w:val="nil"/>
                    <w:tr2bl w:val="nil"/>
                  </w:tcBorders>
                  <w:noWrap w:val="0"/>
                  <w:vAlign w:val="center"/>
                </w:tcPr>
                <w:p w14:paraId="5A5EE126">
                  <w:pPr>
                    <w:keepNext w:val="0"/>
                    <w:keepLines w:val="0"/>
                    <w:pageBreakBefore w:val="0"/>
                    <w:kinsoku/>
                    <w:wordWrap/>
                    <w:overflowPunct/>
                    <w:topLinePunct w:val="0"/>
                    <w:autoSpaceDE/>
                    <w:autoSpaceDN/>
                    <w:bidi w:val="0"/>
                    <w:adjustRightInd w:val="0"/>
                    <w:snapToGrid w:val="0"/>
                    <w:spacing w:beforeAutospacing="0" w:afterAutospacing="0" w:line="264" w:lineRule="auto"/>
                    <w:jc w:val="center"/>
                    <w:rPr>
                      <w:rFonts w:hint="default" w:ascii="Times New Roman" w:hAnsi="Times New Roman" w:eastAsia="宋体" w:cs="Times New Roman"/>
                      <w:color w:val="auto"/>
                      <w:kern w:val="2"/>
                      <w:sz w:val="21"/>
                      <w:szCs w:val="21"/>
                      <w:lang w:val="en-US" w:eastAsia="zh-CN" w:bidi="ar-SA"/>
                    </w:rPr>
                  </w:pPr>
                  <w:r>
                    <w:rPr>
                      <w:rFonts w:hint="eastAsia" w:ascii="宋体" w:hAnsi="宋体" w:cs="宋体"/>
                      <w:i w:val="0"/>
                      <w:iCs w:val="0"/>
                      <w:color w:val="auto"/>
                      <w:kern w:val="0"/>
                      <w:sz w:val="21"/>
                      <w:szCs w:val="21"/>
                      <w:u w:val="none"/>
                      <w:lang w:val="en-US" w:eastAsia="zh-CN" w:bidi="ar"/>
                    </w:rPr>
                    <w:t>有机硅压敏</w:t>
                  </w:r>
                  <w:r>
                    <w:rPr>
                      <w:rFonts w:hint="eastAsia" w:ascii="宋体" w:hAnsi="宋体" w:eastAsia="宋体" w:cs="宋体"/>
                      <w:i w:val="0"/>
                      <w:iCs w:val="0"/>
                      <w:color w:val="auto"/>
                      <w:kern w:val="0"/>
                      <w:sz w:val="21"/>
                      <w:szCs w:val="21"/>
                      <w:u w:val="none"/>
                      <w:lang w:val="en-US" w:eastAsia="zh-CN" w:bidi="ar"/>
                    </w:rPr>
                    <w:t>胶</w:t>
                  </w:r>
                </w:p>
              </w:tc>
              <w:tc>
                <w:tcPr>
                  <w:tcW w:w="4199" w:type="pct"/>
                  <w:tcBorders>
                    <w:tl2br w:val="nil"/>
                    <w:tr2bl w:val="nil"/>
                  </w:tcBorders>
                  <w:noWrap w:val="0"/>
                  <w:vAlign w:val="center"/>
                </w:tcPr>
                <w:p w14:paraId="440D5938">
                  <w:pPr>
                    <w:keepNext w:val="0"/>
                    <w:keepLines w:val="0"/>
                    <w:pageBreakBefore w:val="0"/>
                    <w:widowControl/>
                    <w:numPr>
                      <w:ilvl w:val="0"/>
                      <w:numId w:val="0"/>
                    </w:numPr>
                    <w:suppressLineNumbers w:val="0"/>
                    <w:pBdr>
                      <w:left w:val="none" w:color="auto" w:sz="0" w:space="0"/>
                    </w:pBdr>
                    <w:kinsoku/>
                    <w:wordWrap/>
                    <w:overflowPunct/>
                    <w:autoSpaceDE/>
                    <w:autoSpaceDN/>
                    <w:bidi w:val="0"/>
                    <w:spacing w:beforeAutospacing="0" w:afterAutospacing="0" w:line="264" w:lineRule="auto"/>
                    <w:ind w:left="-60" w:leftChars="0"/>
                    <w:jc w:val="both"/>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有机硅压敏胶是以硅橡胶生胶和MQ树脂缩合而成的胶类材料，主要成分为有机硅氧烷，常用</w:t>
                  </w:r>
                  <w:r>
                    <w:rPr>
                      <w:rFonts w:hint="default" w:ascii="Times New Roman" w:hAnsi="Times New Roman" w:eastAsia="宋体" w:cs="Times New Roman"/>
                      <w:b w:val="0"/>
                      <w:bCs w:val="0"/>
                      <w:color w:val="auto"/>
                      <w:sz w:val="21"/>
                      <w:szCs w:val="21"/>
                      <w:highlight w:val="none"/>
                      <w:lang w:val="en-US" w:eastAsia="zh-CN"/>
                    </w:rPr>
                    <w:fldChar w:fldCharType="begin"/>
                  </w:r>
                  <w:r>
                    <w:rPr>
                      <w:rFonts w:hint="default" w:ascii="Times New Roman" w:hAnsi="Times New Roman" w:eastAsia="宋体" w:cs="Times New Roman"/>
                      <w:b w:val="0"/>
                      <w:bCs w:val="0"/>
                      <w:color w:val="auto"/>
                      <w:sz w:val="21"/>
                      <w:szCs w:val="21"/>
                      <w:highlight w:val="none"/>
                      <w:lang w:val="en-US" w:eastAsia="zh-CN"/>
                    </w:rPr>
                    <w:instrText xml:space="preserve"> HYPERLINK "https://baike.baidu.com/item/%E7%94%B2%E8%8B%AF/1920908?fromModule=lemma_inlink" \t "https://baike.baidu.com/item/%E6%9C%89%E6%9C%BA%E7%A1%85%E5%8E%8B%E6%95%8F%E8%83%B6/_blank" </w:instrText>
                  </w:r>
                  <w:r>
                    <w:rPr>
                      <w:rFonts w:hint="default" w:ascii="Times New Roman" w:hAnsi="Times New Roman" w:eastAsia="宋体" w:cs="Times New Roman"/>
                      <w:b w:val="0"/>
                      <w:bCs w:val="0"/>
                      <w:color w:val="auto"/>
                      <w:sz w:val="21"/>
                      <w:szCs w:val="21"/>
                      <w:highlight w:val="none"/>
                      <w:lang w:val="en-US" w:eastAsia="zh-CN"/>
                    </w:rPr>
                    <w:fldChar w:fldCharType="separate"/>
                  </w:r>
                  <w:r>
                    <w:rPr>
                      <w:rFonts w:hint="default" w:ascii="Times New Roman" w:hAnsi="Times New Roman" w:eastAsia="宋体" w:cs="Times New Roman"/>
                      <w:b w:val="0"/>
                      <w:bCs w:val="0"/>
                      <w:color w:val="auto"/>
                      <w:sz w:val="21"/>
                      <w:szCs w:val="21"/>
                      <w:highlight w:val="none"/>
                      <w:lang w:val="en-US" w:eastAsia="zh-CN"/>
                    </w:rPr>
                    <w:t>甲苯</w:t>
                  </w:r>
                  <w:r>
                    <w:rPr>
                      <w:rFonts w:hint="default" w:ascii="Times New Roman" w:hAnsi="Times New Roman" w:eastAsia="宋体" w:cs="Times New Roman"/>
                      <w:b w:val="0"/>
                      <w:bCs w:val="0"/>
                      <w:color w:val="auto"/>
                      <w:sz w:val="21"/>
                      <w:szCs w:val="21"/>
                      <w:highlight w:val="none"/>
                      <w:lang w:val="en-US" w:eastAsia="zh-CN"/>
                    </w:rPr>
                    <w:fldChar w:fldCharType="end"/>
                  </w: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fldChar w:fldCharType="begin"/>
                  </w:r>
                  <w:r>
                    <w:rPr>
                      <w:rFonts w:hint="default" w:ascii="Times New Roman" w:hAnsi="Times New Roman" w:eastAsia="宋体" w:cs="Times New Roman"/>
                      <w:b w:val="0"/>
                      <w:bCs w:val="0"/>
                      <w:color w:val="auto"/>
                      <w:sz w:val="21"/>
                      <w:szCs w:val="21"/>
                      <w:highlight w:val="none"/>
                      <w:lang w:val="en-US" w:eastAsia="zh-CN"/>
                    </w:rPr>
                    <w:instrText xml:space="preserve"> HYPERLINK "https://baike.baidu.com/item/%E4%BA%8C%E7%94%B2%E8%8B%AF/628736?fromModule=lemma_inlink" \t "https://baike.baidu.com/item/%E6%9C%89%E6%9C%BA%E7%A1%85%E5%8E%8B%E6%95%8F%E8%83%B6/_blank" </w:instrText>
                  </w:r>
                  <w:r>
                    <w:rPr>
                      <w:rFonts w:hint="default" w:ascii="Times New Roman" w:hAnsi="Times New Roman" w:eastAsia="宋体" w:cs="Times New Roman"/>
                      <w:b w:val="0"/>
                      <w:bCs w:val="0"/>
                      <w:color w:val="auto"/>
                      <w:sz w:val="21"/>
                      <w:szCs w:val="21"/>
                      <w:highlight w:val="none"/>
                      <w:lang w:val="en-US" w:eastAsia="zh-CN"/>
                    </w:rPr>
                    <w:fldChar w:fldCharType="separate"/>
                  </w:r>
                  <w:r>
                    <w:rPr>
                      <w:rFonts w:hint="default" w:ascii="Times New Roman" w:hAnsi="Times New Roman" w:eastAsia="宋体" w:cs="Times New Roman"/>
                      <w:b w:val="0"/>
                      <w:bCs w:val="0"/>
                      <w:color w:val="auto"/>
                      <w:sz w:val="21"/>
                      <w:szCs w:val="21"/>
                      <w:highlight w:val="none"/>
                      <w:lang w:val="en-US" w:eastAsia="zh-CN"/>
                    </w:rPr>
                    <w:t>二甲苯</w:t>
                  </w:r>
                  <w:r>
                    <w:rPr>
                      <w:rFonts w:hint="default" w:ascii="Times New Roman" w:hAnsi="Times New Roman" w:eastAsia="宋体" w:cs="Times New Roman"/>
                      <w:b w:val="0"/>
                      <w:bCs w:val="0"/>
                      <w:color w:val="auto"/>
                      <w:sz w:val="21"/>
                      <w:szCs w:val="21"/>
                      <w:highlight w:val="none"/>
                      <w:lang w:val="en-US" w:eastAsia="zh-CN"/>
                    </w:rPr>
                    <w:fldChar w:fldCharType="end"/>
                  </w:r>
                  <w:r>
                    <w:rPr>
                      <w:rFonts w:hint="default" w:ascii="Times New Roman" w:hAnsi="Times New Roman" w:eastAsia="宋体" w:cs="Times New Roman"/>
                      <w:b w:val="0"/>
                      <w:bCs w:val="0"/>
                      <w:color w:val="auto"/>
                      <w:sz w:val="21"/>
                      <w:szCs w:val="21"/>
                      <w:highlight w:val="none"/>
                      <w:lang w:val="en-US" w:eastAsia="zh-CN"/>
                    </w:rPr>
                    <w:t>作为溶剂，应用于变压器玻纤胶带、高温绝缘胶带、屏幕保护膜及</w:t>
                  </w:r>
                  <w:r>
                    <w:rPr>
                      <w:rFonts w:hint="default" w:ascii="Times New Roman" w:hAnsi="Times New Roman" w:eastAsia="宋体" w:cs="Times New Roman"/>
                      <w:b w:val="0"/>
                      <w:bCs w:val="0"/>
                      <w:color w:val="auto"/>
                      <w:sz w:val="21"/>
                      <w:szCs w:val="21"/>
                      <w:highlight w:val="none"/>
                      <w:lang w:val="en-US" w:eastAsia="zh-CN"/>
                    </w:rPr>
                    <w:fldChar w:fldCharType="begin"/>
                  </w:r>
                  <w:r>
                    <w:rPr>
                      <w:rFonts w:hint="default" w:ascii="Times New Roman" w:hAnsi="Times New Roman" w:eastAsia="宋体" w:cs="Times New Roman"/>
                      <w:b w:val="0"/>
                      <w:bCs w:val="0"/>
                      <w:color w:val="auto"/>
                      <w:sz w:val="21"/>
                      <w:szCs w:val="21"/>
                      <w:highlight w:val="none"/>
                      <w:lang w:val="en-US" w:eastAsia="zh-CN"/>
                    </w:rPr>
                    <w:instrText xml:space="preserve"> HYPERLINK "https://baike.baidu.com/item/%E8%81%9A%E9%85%B0%E4%BA%9A%E8%83%BA%E8%83%B6%E5%B8%A6/4156393?fromModule=lemma_inlink" \t "https://baike.baidu.com/item/%E6%9C%89%E6%9C%BA%E7%A1%85%E5%8E%8B%E6%95%8F%E8%83%B6/_blank" </w:instrText>
                  </w:r>
                  <w:r>
                    <w:rPr>
                      <w:rFonts w:hint="default" w:ascii="Times New Roman" w:hAnsi="Times New Roman" w:eastAsia="宋体" w:cs="Times New Roman"/>
                      <w:b w:val="0"/>
                      <w:bCs w:val="0"/>
                      <w:color w:val="auto"/>
                      <w:sz w:val="21"/>
                      <w:szCs w:val="21"/>
                      <w:highlight w:val="none"/>
                      <w:lang w:val="en-US" w:eastAsia="zh-CN"/>
                    </w:rPr>
                    <w:fldChar w:fldCharType="separate"/>
                  </w:r>
                  <w:r>
                    <w:rPr>
                      <w:rFonts w:hint="default" w:ascii="Times New Roman" w:hAnsi="Times New Roman" w:eastAsia="宋体" w:cs="Times New Roman"/>
                      <w:b w:val="0"/>
                      <w:bCs w:val="0"/>
                      <w:color w:val="auto"/>
                      <w:sz w:val="21"/>
                      <w:szCs w:val="21"/>
                      <w:highlight w:val="none"/>
                      <w:lang w:val="en-US" w:eastAsia="zh-CN"/>
                    </w:rPr>
                    <w:t>聚酰亚胺胶带</w:t>
                  </w:r>
                  <w:r>
                    <w:rPr>
                      <w:rFonts w:hint="default" w:ascii="Times New Roman" w:hAnsi="Times New Roman" w:eastAsia="宋体" w:cs="Times New Roman"/>
                      <w:b w:val="0"/>
                      <w:bCs w:val="0"/>
                      <w:color w:val="auto"/>
                      <w:sz w:val="21"/>
                      <w:szCs w:val="21"/>
                      <w:highlight w:val="none"/>
                      <w:lang w:val="en-US" w:eastAsia="zh-CN"/>
                    </w:rPr>
                    <w:fldChar w:fldCharType="end"/>
                  </w:r>
                  <w:r>
                    <w:rPr>
                      <w:rFonts w:hint="default" w:ascii="Times New Roman" w:hAnsi="Times New Roman" w:eastAsia="宋体" w:cs="Times New Roman"/>
                      <w:b w:val="0"/>
                      <w:bCs w:val="0"/>
                      <w:color w:val="auto"/>
                      <w:sz w:val="21"/>
                      <w:szCs w:val="21"/>
                      <w:highlight w:val="none"/>
                      <w:lang w:val="en-US" w:eastAsia="zh-CN"/>
                    </w:rPr>
                    <w:t>等领域。</w:t>
                  </w:r>
                  <w:r>
                    <w:rPr>
                      <w:rFonts w:hint="eastAsia" w:ascii="Times New Roman" w:hAnsi="Times New Roman" w:eastAsia="宋体" w:cs="Times New Roman"/>
                      <w:b w:val="0"/>
                      <w:bCs w:val="0"/>
                      <w:color w:val="auto"/>
                      <w:sz w:val="21"/>
                      <w:szCs w:val="21"/>
                      <w:highlight w:val="none"/>
                      <w:lang w:val="en-US" w:eastAsia="zh-CN"/>
                    </w:rPr>
                    <w:t>本项目使用的有机硅压敏胶密度为</w:t>
                  </w:r>
                  <w:r>
                    <w:rPr>
                      <w:rFonts w:hint="eastAsia" w:cs="Times New Roman"/>
                      <w:b w:val="0"/>
                      <w:bCs w:val="0"/>
                      <w:color w:val="auto"/>
                      <w:sz w:val="21"/>
                      <w:szCs w:val="21"/>
                      <w:highlight w:val="none"/>
                      <w:lang w:val="en-US" w:eastAsia="zh-CN"/>
                    </w:rPr>
                    <w:t>1.02</w:t>
                  </w:r>
                  <w:r>
                    <w:rPr>
                      <w:rFonts w:hint="eastAsia" w:ascii="Times New Roman" w:hAnsi="Times New Roman" w:eastAsia="宋体" w:cs="Times New Roman"/>
                      <w:b w:val="0"/>
                      <w:bCs w:val="0"/>
                      <w:color w:val="auto"/>
                      <w:sz w:val="21"/>
                      <w:szCs w:val="21"/>
                      <w:highlight w:val="none"/>
                      <w:lang w:val="en-US" w:eastAsia="zh-CN"/>
                    </w:rPr>
                    <w:t xml:space="preserve"> g/mL，使用甲苯作为溶剂，占比为40%。</w:t>
                  </w:r>
                  <w:r>
                    <w:rPr>
                      <w:rFonts w:hint="default" w:ascii="Times New Roman" w:hAnsi="Times New Roman" w:eastAsia="宋体" w:cs="Times New Roman"/>
                      <w:i w:val="0"/>
                      <w:iCs w:val="0"/>
                      <w:caps w:val="0"/>
                      <w:color w:val="auto"/>
                      <w:spacing w:val="0"/>
                      <w:sz w:val="21"/>
                      <w:szCs w:val="21"/>
                      <w:shd w:val="clear" w:color="auto" w:fill="FFFFFF"/>
                    </w:rPr>
                    <w:t>沸点</w:t>
                  </w:r>
                  <w:r>
                    <w:rPr>
                      <w:rFonts w:hint="eastAsia" w:ascii="Times New Roman" w:hAnsi="Times New Roman" w:eastAsia="宋体" w:cs="Times New Roman"/>
                      <w:i w:val="0"/>
                      <w:iCs w:val="0"/>
                      <w:caps w:val="0"/>
                      <w:color w:val="auto"/>
                      <w:spacing w:val="0"/>
                      <w:sz w:val="21"/>
                      <w:szCs w:val="21"/>
                      <w:shd w:val="clear" w:color="auto" w:fill="FFFFFF"/>
                      <w:lang w:val="en-US" w:eastAsia="zh-CN"/>
                    </w:rPr>
                    <w:t>110.6</w:t>
                  </w:r>
                  <w:r>
                    <w:rPr>
                      <w:rFonts w:hint="default" w:ascii="Times New Roman" w:hAnsi="Times New Roman" w:eastAsia="宋体" w:cs="Times New Roman"/>
                      <w:i w:val="0"/>
                      <w:iCs w:val="0"/>
                      <w:caps w:val="0"/>
                      <w:color w:val="auto"/>
                      <w:spacing w:val="0"/>
                      <w:sz w:val="21"/>
                      <w:szCs w:val="21"/>
                      <w:shd w:val="clear" w:color="auto" w:fill="FFFFFF"/>
                    </w:rPr>
                    <w:t>°C，熔点</w:t>
                  </w:r>
                  <w:r>
                    <w:rPr>
                      <w:rFonts w:hint="eastAsia" w:ascii="Times New Roman" w:hAnsi="Times New Roman" w:eastAsia="宋体" w:cs="Times New Roman"/>
                      <w:i w:val="0"/>
                      <w:iCs w:val="0"/>
                      <w:caps w:val="0"/>
                      <w:color w:val="auto"/>
                      <w:spacing w:val="0"/>
                      <w:sz w:val="21"/>
                      <w:szCs w:val="21"/>
                      <w:shd w:val="clear" w:color="auto" w:fill="FFFFFF"/>
                      <w:lang w:val="en-US" w:eastAsia="zh-CN"/>
                    </w:rPr>
                    <w:t>-94.9</w:t>
                  </w:r>
                  <w:r>
                    <w:rPr>
                      <w:rFonts w:hint="default" w:ascii="Times New Roman" w:hAnsi="Times New Roman" w:eastAsia="宋体" w:cs="Times New Roman"/>
                      <w:i w:val="0"/>
                      <w:iCs w:val="0"/>
                      <w:caps w:val="0"/>
                      <w:color w:val="auto"/>
                      <w:spacing w:val="0"/>
                      <w:sz w:val="21"/>
                      <w:szCs w:val="21"/>
                      <w:shd w:val="clear" w:color="auto" w:fill="FFFFFF"/>
                    </w:rPr>
                    <w:t>°C，急性毒性很低（小鼠静脉LD₅₀为5000 mg/kg）</w:t>
                  </w:r>
                  <w:r>
                    <w:rPr>
                      <w:rFonts w:hint="eastAsia" w:ascii="Times New Roman" w:hAnsi="Times New Roman" w:eastAsia="宋体" w:cs="Times New Roman"/>
                      <w:i w:val="0"/>
                      <w:iCs w:val="0"/>
                      <w:caps w:val="0"/>
                      <w:color w:val="auto"/>
                      <w:spacing w:val="0"/>
                      <w:sz w:val="21"/>
                      <w:szCs w:val="21"/>
                      <w:shd w:val="clear" w:color="auto" w:fill="FFFFFF"/>
                      <w:lang w:eastAsia="zh-CN"/>
                    </w:rPr>
                    <w:t>，当空气中浓度达到300 ppm时可刺激人眼。</w:t>
                  </w:r>
                </w:p>
              </w:tc>
            </w:tr>
            <w:tr w14:paraId="7768F5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5" w:type="pct"/>
                  <w:tcBorders>
                    <w:tl2br w:val="nil"/>
                    <w:tr2bl w:val="nil"/>
                  </w:tcBorders>
                  <w:shd w:val="clear" w:color="auto" w:fill="auto"/>
                  <w:noWrap w:val="0"/>
                  <w:vAlign w:val="center"/>
                </w:tcPr>
                <w:p w14:paraId="00DDFA0D">
                  <w:pPr>
                    <w:pStyle w:val="56"/>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64" w:lineRule="auto"/>
                    <w:jc w:val="center"/>
                    <w:rPr>
                      <w:rFonts w:hint="default" w:ascii="Times New Roman" w:hAnsi="Times New Roman" w:eastAsia="宋体" w:cs="Times New Roman"/>
                      <w:b w:val="0"/>
                      <w:bCs w:val="0"/>
                      <w:snapToGrid w:val="0"/>
                      <w:color w:val="auto"/>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10</w:t>
                  </w:r>
                </w:p>
              </w:tc>
              <w:tc>
                <w:tcPr>
                  <w:tcW w:w="515" w:type="pct"/>
                  <w:tcBorders>
                    <w:tl2br w:val="nil"/>
                    <w:tr2bl w:val="nil"/>
                  </w:tcBorders>
                  <w:noWrap w:val="0"/>
                  <w:vAlign w:val="center"/>
                </w:tcPr>
                <w:p w14:paraId="282AAC4A">
                  <w:pPr>
                    <w:keepNext w:val="0"/>
                    <w:keepLines w:val="0"/>
                    <w:pageBreakBefore w:val="0"/>
                    <w:kinsoku/>
                    <w:wordWrap/>
                    <w:overflowPunct/>
                    <w:topLinePunct w:val="0"/>
                    <w:autoSpaceDE/>
                    <w:autoSpaceDN/>
                    <w:bidi w:val="0"/>
                    <w:adjustRightInd w:val="0"/>
                    <w:snapToGrid w:val="0"/>
                    <w:spacing w:beforeAutospacing="0" w:afterAutospacing="0" w:line="264" w:lineRule="auto"/>
                    <w:jc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催化剂</w:t>
                  </w:r>
                </w:p>
              </w:tc>
              <w:tc>
                <w:tcPr>
                  <w:tcW w:w="4199" w:type="pct"/>
                  <w:tcBorders>
                    <w:tl2br w:val="nil"/>
                    <w:tr2bl w:val="nil"/>
                  </w:tcBorders>
                  <w:noWrap w:val="0"/>
                  <w:vAlign w:val="center"/>
                </w:tcPr>
                <w:p w14:paraId="117DAC10">
                  <w:pPr>
                    <w:keepNext w:val="0"/>
                    <w:keepLines w:val="0"/>
                    <w:pageBreakBefore w:val="0"/>
                    <w:widowControl/>
                    <w:numPr>
                      <w:ilvl w:val="0"/>
                      <w:numId w:val="0"/>
                    </w:numPr>
                    <w:suppressLineNumbers w:val="0"/>
                    <w:pBdr>
                      <w:left w:val="none" w:color="auto" w:sz="0" w:space="0"/>
                    </w:pBdr>
                    <w:kinsoku/>
                    <w:wordWrap/>
                    <w:overflowPunct/>
                    <w:autoSpaceDE/>
                    <w:autoSpaceDN/>
                    <w:bidi w:val="0"/>
                    <w:spacing w:beforeAutospacing="0" w:afterAutospacing="0" w:line="264" w:lineRule="auto"/>
                    <w:ind w:left="-60" w:leftChars="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主要由Pt/C催化剂与全氟磺酸离子聚合物混合而成，催化层是膜电极的关键组成部分，负责电化学反应中的催化作用。催化剂的活性位点主要是Pt纳米颗粒，它们与气体接触并催化氢气和氧气的反应，同时与碳载体共同传递电子，而离聚物则负责氢离子的传递。膜电极的性能在很大程度上取决于催化剂的类型、厚度及其与界面的相互作用。</w:t>
                  </w:r>
                </w:p>
              </w:tc>
            </w:tr>
            <w:tr w14:paraId="36D030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5" w:type="pct"/>
                  <w:tcBorders>
                    <w:tl2br w:val="nil"/>
                    <w:tr2bl w:val="nil"/>
                  </w:tcBorders>
                  <w:shd w:val="clear" w:color="auto" w:fill="auto"/>
                  <w:noWrap w:val="0"/>
                  <w:vAlign w:val="center"/>
                </w:tcPr>
                <w:p w14:paraId="551C88FB">
                  <w:pPr>
                    <w:pStyle w:val="56"/>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64" w:lineRule="auto"/>
                    <w:jc w:val="center"/>
                    <w:rPr>
                      <w:rFonts w:hint="default" w:ascii="Times New Roman" w:hAnsi="Times New Roman" w:eastAsia="宋体" w:cs="Times New Roman"/>
                      <w:b w:val="0"/>
                      <w:bCs w:val="0"/>
                      <w:snapToGrid w:val="0"/>
                      <w:color w:val="auto"/>
                      <w:sz w:val="21"/>
                      <w:szCs w:val="21"/>
                      <w:highlight w:val="none"/>
                      <w:lang w:val="en-US" w:eastAsia="zh-CN" w:bidi="ar-SA"/>
                    </w:rPr>
                  </w:pPr>
                  <w:r>
                    <w:rPr>
                      <w:rFonts w:hint="eastAsia" w:cs="Times New Roman"/>
                      <w:b w:val="0"/>
                      <w:bCs w:val="0"/>
                      <w:color w:val="auto"/>
                      <w:sz w:val="21"/>
                      <w:szCs w:val="21"/>
                      <w:highlight w:val="none"/>
                      <w:lang w:val="en-US" w:eastAsia="zh-CN"/>
                    </w:rPr>
                    <w:t>11</w:t>
                  </w:r>
                </w:p>
              </w:tc>
              <w:tc>
                <w:tcPr>
                  <w:tcW w:w="515" w:type="pct"/>
                  <w:tcBorders>
                    <w:tl2br w:val="nil"/>
                    <w:tr2bl w:val="nil"/>
                  </w:tcBorders>
                  <w:noWrap w:val="0"/>
                  <w:vAlign w:val="center"/>
                </w:tcPr>
                <w:p w14:paraId="7A867608">
                  <w:pPr>
                    <w:keepNext w:val="0"/>
                    <w:keepLines w:val="0"/>
                    <w:pageBreakBefore w:val="0"/>
                    <w:kinsoku/>
                    <w:wordWrap/>
                    <w:overflowPunct/>
                    <w:topLinePunct w:val="0"/>
                    <w:autoSpaceDE/>
                    <w:autoSpaceDN/>
                    <w:bidi w:val="0"/>
                    <w:adjustRightInd w:val="0"/>
                    <w:snapToGrid w:val="0"/>
                    <w:spacing w:beforeAutospacing="0" w:afterAutospacing="0" w:line="264" w:lineRule="auto"/>
                    <w:jc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质子交换膜</w:t>
                  </w:r>
                </w:p>
              </w:tc>
              <w:tc>
                <w:tcPr>
                  <w:tcW w:w="4199" w:type="pct"/>
                  <w:tcBorders>
                    <w:tl2br w:val="nil"/>
                    <w:tr2bl w:val="nil"/>
                  </w:tcBorders>
                  <w:noWrap w:val="0"/>
                  <w:vAlign w:val="center"/>
                </w:tcPr>
                <w:p w14:paraId="7FC0C378">
                  <w:pPr>
                    <w:keepNext w:val="0"/>
                    <w:keepLines w:val="0"/>
                    <w:pageBreakBefore w:val="0"/>
                    <w:widowControl/>
                    <w:numPr>
                      <w:ilvl w:val="0"/>
                      <w:numId w:val="0"/>
                    </w:numPr>
                    <w:suppressLineNumbers w:val="0"/>
                    <w:pBdr>
                      <w:left w:val="none" w:color="auto" w:sz="0" w:space="0"/>
                    </w:pBdr>
                    <w:kinsoku/>
                    <w:wordWrap/>
                    <w:overflowPunct/>
                    <w:autoSpaceDE/>
                    <w:autoSpaceDN/>
                    <w:bidi w:val="0"/>
                    <w:spacing w:beforeAutospacing="0" w:afterAutospacing="0" w:line="264" w:lineRule="auto"/>
                    <w:ind w:left="-60" w:leftChars="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highlight w:val="none"/>
                      <w:lang w:val="en-US" w:eastAsia="zh-CN"/>
                    </w:rPr>
                    <w:t>质子交换膜是燃料电池关键材料，其作用是在反应时，只让阳极失去电子的氢离子（质子）透过到达阴极，但阻止电子、氢分子、水分子等通过，需要其具有以下几个特性：电导率高（高选择性地离子导电而非电子导电）；化学稳定性好（耐酸碱和抗氧化还原能力）；热稳定性好；良好的机械性能（如强度和柔韧性）；反应气体的透气率低、水的电渗系数小；可加工性好、价格适当。质子交换膜主要成分为全氟磺酸树脂，在200℃左右的温度下长期保持稳定，其热分解温度一般在350℃以上，本项目所用质子交换膜为外购。</w:t>
                  </w:r>
                </w:p>
              </w:tc>
            </w:tr>
            <w:tr w14:paraId="45E160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5" w:type="pct"/>
                  <w:tcBorders>
                    <w:tl2br w:val="nil"/>
                    <w:tr2bl w:val="nil"/>
                  </w:tcBorders>
                  <w:shd w:val="clear" w:color="auto" w:fill="auto"/>
                  <w:noWrap w:val="0"/>
                  <w:vAlign w:val="center"/>
                </w:tcPr>
                <w:p w14:paraId="0DDCBA0D">
                  <w:pPr>
                    <w:pStyle w:val="56"/>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64" w:lineRule="auto"/>
                    <w:jc w:val="center"/>
                    <w:rPr>
                      <w:rFonts w:hint="default" w:ascii="Times New Roman" w:hAnsi="Times New Roman" w:eastAsia="宋体" w:cs="Times New Roman"/>
                      <w:b w:val="0"/>
                      <w:bCs w:val="0"/>
                      <w:snapToGrid w:val="0"/>
                      <w:color w:val="auto"/>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1</w:t>
                  </w:r>
                  <w:r>
                    <w:rPr>
                      <w:rFonts w:hint="eastAsia" w:cs="Times New Roman"/>
                      <w:b w:val="0"/>
                      <w:bCs w:val="0"/>
                      <w:color w:val="auto"/>
                      <w:sz w:val="21"/>
                      <w:szCs w:val="21"/>
                      <w:highlight w:val="none"/>
                      <w:lang w:val="en-US" w:eastAsia="zh-CN"/>
                    </w:rPr>
                    <w:t>2</w:t>
                  </w:r>
                </w:p>
              </w:tc>
              <w:tc>
                <w:tcPr>
                  <w:tcW w:w="515" w:type="pct"/>
                  <w:tcBorders>
                    <w:tl2br w:val="nil"/>
                    <w:tr2bl w:val="nil"/>
                  </w:tcBorders>
                  <w:noWrap w:val="0"/>
                  <w:vAlign w:val="center"/>
                </w:tcPr>
                <w:p w14:paraId="43DBC9B9">
                  <w:pPr>
                    <w:keepNext w:val="0"/>
                    <w:keepLines w:val="0"/>
                    <w:pageBreakBefore w:val="0"/>
                    <w:kinsoku/>
                    <w:wordWrap/>
                    <w:overflowPunct/>
                    <w:topLinePunct w:val="0"/>
                    <w:autoSpaceDE/>
                    <w:autoSpaceDN/>
                    <w:bidi w:val="0"/>
                    <w:adjustRightInd w:val="0"/>
                    <w:snapToGrid w:val="0"/>
                    <w:spacing w:beforeAutospacing="0" w:afterAutospacing="0" w:line="264" w:lineRule="auto"/>
                    <w:jc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气体扩散层</w:t>
                  </w:r>
                </w:p>
              </w:tc>
              <w:tc>
                <w:tcPr>
                  <w:tcW w:w="4199" w:type="pct"/>
                  <w:tcBorders>
                    <w:tl2br w:val="nil"/>
                    <w:tr2bl w:val="nil"/>
                  </w:tcBorders>
                  <w:noWrap w:val="0"/>
                  <w:vAlign w:val="center"/>
                </w:tcPr>
                <w:p w14:paraId="05473313">
                  <w:pPr>
                    <w:keepNext w:val="0"/>
                    <w:keepLines w:val="0"/>
                    <w:pageBreakBefore w:val="0"/>
                    <w:widowControl/>
                    <w:numPr>
                      <w:ilvl w:val="0"/>
                      <w:numId w:val="0"/>
                    </w:numPr>
                    <w:suppressLineNumbers w:val="0"/>
                    <w:pBdr>
                      <w:left w:val="none" w:color="auto" w:sz="0" w:space="0"/>
                    </w:pBdr>
                    <w:kinsoku/>
                    <w:wordWrap/>
                    <w:overflowPunct/>
                    <w:autoSpaceDE/>
                    <w:autoSpaceDN/>
                    <w:bidi w:val="0"/>
                    <w:spacing w:beforeAutospacing="0" w:afterAutospacing="0" w:line="264" w:lineRule="auto"/>
                    <w:ind w:left="-60" w:leftChars="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气体扩散层</w:t>
                  </w:r>
                  <w:r>
                    <w:rPr>
                      <w:rFonts w:hint="eastAsia" w:ascii="Times New Roman" w:hAnsi="Times New Roman" w:eastAsia="宋体" w:cs="Times New Roman"/>
                      <w:b w:val="0"/>
                      <w:bCs w:val="0"/>
                      <w:color w:val="auto"/>
                      <w:sz w:val="21"/>
                      <w:szCs w:val="21"/>
                      <w:highlight w:val="none"/>
                      <w:lang w:val="en-US" w:eastAsia="zh-CN"/>
                    </w:rPr>
                    <w:t>由碳材料和聚四氟乙烯组成，</w:t>
                  </w:r>
                  <w:r>
                    <w:rPr>
                      <w:rFonts w:hint="default" w:ascii="Times New Roman" w:hAnsi="Times New Roman" w:eastAsia="宋体" w:cs="Times New Roman"/>
                      <w:b w:val="0"/>
                      <w:bCs w:val="0"/>
                      <w:color w:val="auto"/>
                      <w:sz w:val="21"/>
                      <w:szCs w:val="21"/>
                      <w:highlight w:val="none"/>
                      <w:lang w:val="en-US" w:eastAsia="zh-CN"/>
                    </w:rPr>
                    <w:t>在燃料电池中起到支撑催化层、收集电流、传导气体和排出反应产物水的重要作用</w:t>
                  </w:r>
                  <w:r>
                    <w:rPr>
                      <w:rFonts w:hint="eastAsia" w:ascii="Times New Roman" w:hAnsi="Times New Roman" w:eastAsia="宋体" w:cs="Times New Roman"/>
                      <w:b w:val="0"/>
                      <w:bCs w:val="0"/>
                      <w:color w:val="auto"/>
                      <w:sz w:val="21"/>
                      <w:szCs w:val="21"/>
                      <w:highlight w:val="none"/>
                      <w:lang w:val="en-US" w:eastAsia="zh-CN"/>
                    </w:rPr>
                    <w:t>。</w:t>
                  </w:r>
                </w:p>
              </w:tc>
            </w:tr>
            <w:tr w14:paraId="2351D9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5" w:type="pct"/>
                  <w:tcBorders>
                    <w:tl2br w:val="nil"/>
                    <w:tr2bl w:val="nil"/>
                  </w:tcBorders>
                  <w:shd w:val="clear" w:color="auto" w:fill="auto"/>
                  <w:noWrap w:val="0"/>
                  <w:vAlign w:val="center"/>
                </w:tcPr>
                <w:p w14:paraId="64C1113F">
                  <w:pPr>
                    <w:pStyle w:val="56"/>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64" w:lineRule="auto"/>
                    <w:jc w:val="center"/>
                    <w:rPr>
                      <w:rFonts w:hint="default" w:ascii="Times New Roman" w:hAnsi="Times New Roman" w:eastAsia="宋体" w:cs="Times New Roman"/>
                      <w:b w:val="0"/>
                      <w:bCs w:val="0"/>
                      <w:snapToGrid w:val="0"/>
                      <w:color w:val="auto"/>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1</w:t>
                  </w:r>
                  <w:r>
                    <w:rPr>
                      <w:rFonts w:hint="eastAsia" w:cs="Times New Roman"/>
                      <w:b w:val="0"/>
                      <w:bCs w:val="0"/>
                      <w:color w:val="auto"/>
                      <w:sz w:val="21"/>
                      <w:szCs w:val="21"/>
                      <w:highlight w:val="none"/>
                      <w:lang w:val="en-US" w:eastAsia="zh-CN"/>
                    </w:rPr>
                    <w:t>3</w:t>
                  </w:r>
                </w:p>
              </w:tc>
              <w:tc>
                <w:tcPr>
                  <w:tcW w:w="515" w:type="pct"/>
                  <w:tcBorders>
                    <w:tl2br w:val="nil"/>
                    <w:tr2bl w:val="nil"/>
                  </w:tcBorders>
                  <w:noWrap w:val="0"/>
                  <w:vAlign w:val="center"/>
                </w:tcPr>
                <w:p w14:paraId="6D4801D0">
                  <w:pPr>
                    <w:keepNext w:val="0"/>
                    <w:keepLines w:val="0"/>
                    <w:pageBreakBefore w:val="0"/>
                    <w:kinsoku/>
                    <w:wordWrap/>
                    <w:overflowPunct/>
                    <w:topLinePunct w:val="0"/>
                    <w:autoSpaceDE/>
                    <w:autoSpaceDN/>
                    <w:bidi w:val="0"/>
                    <w:adjustRightInd w:val="0"/>
                    <w:snapToGrid w:val="0"/>
                    <w:spacing w:beforeAutospacing="0" w:afterAutospacing="0" w:line="264" w:lineRule="auto"/>
                    <w:jc w:val="center"/>
                    <w:rPr>
                      <w:rFonts w:hint="default" w:ascii="宋体" w:hAnsi="宋体" w:cs="宋体"/>
                      <w:i w:val="0"/>
                      <w:iCs w:val="0"/>
                      <w:color w:val="auto"/>
                      <w:kern w:val="0"/>
                      <w:sz w:val="21"/>
                      <w:szCs w:val="21"/>
                      <w:u w:val="none"/>
                      <w:lang w:val="en-US" w:eastAsia="zh-CN" w:bidi="ar"/>
                    </w:rPr>
                  </w:pPr>
                  <w:r>
                    <w:rPr>
                      <w:rStyle w:val="63"/>
                      <w:rFonts w:eastAsia="宋体"/>
                      <w:color w:val="auto"/>
                      <w:lang w:val="en-US" w:eastAsia="zh-CN" w:bidi="ar"/>
                    </w:rPr>
                    <w:t>PET</w:t>
                  </w:r>
                  <w:r>
                    <w:rPr>
                      <w:rStyle w:val="64"/>
                      <w:rFonts w:hint="eastAsia"/>
                      <w:color w:val="auto"/>
                      <w:lang w:val="en-US" w:eastAsia="zh-CN" w:bidi="ar"/>
                    </w:rPr>
                    <w:t>膜</w:t>
                  </w:r>
                </w:p>
              </w:tc>
              <w:tc>
                <w:tcPr>
                  <w:tcW w:w="4199" w:type="pct"/>
                  <w:tcBorders>
                    <w:tl2br w:val="nil"/>
                    <w:tr2bl w:val="nil"/>
                  </w:tcBorders>
                  <w:noWrap w:val="0"/>
                  <w:vAlign w:val="center"/>
                </w:tcPr>
                <w:p w14:paraId="1D6FC173">
                  <w:pPr>
                    <w:keepNext w:val="0"/>
                    <w:keepLines w:val="0"/>
                    <w:pageBreakBefore w:val="0"/>
                    <w:widowControl/>
                    <w:numPr>
                      <w:ilvl w:val="0"/>
                      <w:numId w:val="0"/>
                    </w:numPr>
                    <w:suppressLineNumbers w:val="0"/>
                    <w:pBdr>
                      <w:left w:val="none" w:color="auto" w:sz="0" w:space="0"/>
                    </w:pBdr>
                    <w:kinsoku/>
                    <w:wordWrap/>
                    <w:overflowPunct/>
                    <w:autoSpaceDE/>
                    <w:autoSpaceDN/>
                    <w:bidi w:val="0"/>
                    <w:spacing w:beforeAutospacing="0" w:afterAutospacing="0" w:line="264" w:lineRule="auto"/>
                    <w:ind w:left="-60" w:leftChars="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fldChar w:fldCharType="begin"/>
                  </w:r>
                  <w:r>
                    <w:rPr>
                      <w:rFonts w:hint="default" w:ascii="Times New Roman" w:hAnsi="Times New Roman" w:eastAsia="宋体" w:cs="Times New Roman"/>
                      <w:b w:val="0"/>
                      <w:bCs w:val="0"/>
                      <w:color w:val="auto"/>
                      <w:sz w:val="21"/>
                      <w:szCs w:val="21"/>
                      <w:highlight w:val="none"/>
                      <w:lang w:val="en-US" w:eastAsia="zh-CN"/>
                    </w:rPr>
                    <w:instrText xml:space="preserve"> HYPERLINK "https://www.chembk.com/cn/chem/PET%E8%96%84%E8%86%9C" \t "https://cn.bing.com/_blank" </w:instrText>
                  </w:r>
                  <w:r>
                    <w:rPr>
                      <w:rFonts w:hint="default" w:ascii="Times New Roman" w:hAnsi="Times New Roman" w:eastAsia="宋体" w:cs="Times New Roman"/>
                      <w:b w:val="0"/>
                      <w:bCs w:val="0"/>
                      <w:color w:val="auto"/>
                      <w:sz w:val="21"/>
                      <w:szCs w:val="21"/>
                      <w:highlight w:val="none"/>
                      <w:lang w:val="en-US" w:eastAsia="zh-CN"/>
                    </w:rPr>
                    <w:fldChar w:fldCharType="separate"/>
                  </w:r>
                  <w:r>
                    <w:rPr>
                      <w:rFonts w:hint="default" w:ascii="Times New Roman" w:hAnsi="Times New Roman" w:eastAsia="宋体" w:cs="Times New Roman"/>
                      <w:b w:val="0"/>
                      <w:bCs w:val="0"/>
                      <w:color w:val="auto"/>
                      <w:sz w:val="21"/>
                      <w:szCs w:val="21"/>
                      <w:highlight w:val="none"/>
                      <w:lang w:val="en-US" w:eastAsia="zh-CN"/>
                    </w:rPr>
                    <w:t>由聚对苯二甲酸乙二醇酯（Polyethylene Terephthalate，简称PET）制成的薄膜材料。它是一种热塑性塑料，具有优异的透明性、机械强度和化学稳定性，通常通过熔融挤出、延伸和冷却等工艺制造而成。 </w:t>
                  </w:r>
                  <w:r>
                    <w:rPr>
                      <w:rFonts w:hint="default" w:ascii="Times New Roman" w:hAnsi="Times New Roman" w:eastAsia="宋体" w:cs="Times New Roman"/>
                      <w:b w:val="0"/>
                      <w:bCs w:val="0"/>
                      <w:color w:val="auto"/>
                      <w:sz w:val="21"/>
                      <w:szCs w:val="21"/>
                      <w:highlight w:val="none"/>
                      <w:lang w:val="en-US" w:eastAsia="zh-CN"/>
                    </w:rPr>
                    <w:fldChar w:fldCharType="end"/>
                  </w:r>
                </w:p>
              </w:tc>
            </w:tr>
            <w:tr w14:paraId="3DD0DF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5" w:type="pct"/>
                  <w:tcBorders>
                    <w:tl2br w:val="nil"/>
                    <w:tr2bl w:val="nil"/>
                  </w:tcBorders>
                  <w:noWrap w:val="0"/>
                  <w:vAlign w:val="center"/>
                </w:tcPr>
                <w:p w14:paraId="61F85E6C">
                  <w:pPr>
                    <w:pStyle w:val="56"/>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64" w:lineRule="auto"/>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14</w:t>
                  </w:r>
                </w:p>
              </w:tc>
              <w:tc>
                <w:tcPr>
                  <w:tcW w:w="515" w:type="pct"/>
                  <w:tcBorders>
                    <w:tl2br w:val="nil"/>
                    <w:tr2bl w:val="nil"/>
                  </w:tcBorders>
                  <w:noWrap w:val="0"/>
                  <w:vAlign w:val="center"/>
                </w:tcPr>
                <w:p w14:paraId="4066C39E">
                  <w:pPr>
                    <w:keepNext w:val="0"/>
                    <w:keepLines w:val="0"/>
                    <w:pageBreakBefore w:val="0"/>
                    <w:kinsoku/>
                    <w:wordWrap/>
                    <w:overflowPunct/>
                    <w:topLinePunct w:val="0"/>
                    <w:autoSpaceDE/>
                    <w:autoSpaceDN/>
                    <w:bidi w:val="0"/>
                    <w:adjustRightInd w:val="0"/>
                    <w:snapToGrid w:val="0"/>
                    <w:spacing w:beforeAutospacing="0" w:afterAutospacing="0" w:line="264" w:lineRule="auto"/>
                    <w:jc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离型膜</w:t>
                  </w:r>
                </w:p>
              </w:tc>
              <w:tc>
                <w:tcPr>
                  <w:tcW w:w="4199" w:type="pct"/>
                  <w:tcBorders>
                    <w:tl2br w:val="nil"/>
                    <w:tr2bl w:val="nil"/>
                  </w:tcBorders>
                  <w:noWrap w:val="0"/>
                  <w:vAlign w:val="center"/>
                </w:tcPr>
                <w:p w14:paraId="062E2252">
                  <w:pPr>
                    <w:keepNext w:val="0"/>
                    <w:keepLines w:val="0"/>
                    <w:pageBreakBefore w:val="0"/>
                    <w:widowControl/>
                    <w:numPr>
                      <w:ilvl w:val="0"/>
                      <w:numId w:val="0"/>
                    </w:numPr>
                    <w:suppressLineNumbers w:val="0"/>
                    <w:pBdr>
                      <w:left w:val="none" w:color="auto" w:sz="0" w:space="0"/>
                    </w:pBdr>
                    <w:kinsoku/>
                    <w:wordWrap/>
                    <w:overflowPunct/>
                    <w:autoSpaceDE/>
                    <w:autoSpaceDN/>
                    <w:bidi w:val="0"/>
                    <w:spacing w:beforeAutospacing="0" w:afterAutospacing="0" w:line="264" w:lineRule="auto"/>
                    <w:ind w:left="-60" w:leftChars="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离型膜是指薄膜</w:t>
                  </w:r>
                  <w:r>
                    <w:rPr>
                      <w:rFonts w:hint="default" w:ascii="Times New Roman" w:hAnsi="Times New Roman" w:eastAsia="宋体" w:cs="Times New Roman"/>
                      <w:b w:val="0"/>
                      <w:bCs w:val="0"/>
                      <w:color w:val="auto"/>
                      <w:sz w:val="21"/>
                      <w:szCs w:val="21"/>
                      <w:highlight w:val="none"/>
                      <w:lang w:val="en-US" w:eastAsia="zh-CN"/>
                    </w:rPr>
                    <w:fldChar w:fldCharType="begin"/>
                  </w:r>
                  <w:r>
                    <w:rPr>
                      <w:rFonts w:hint="default" w:ascii="Times New Roman" w:hAnsi="Times New Roman" w:eastAsia="宋体" w:cs="Times New Roman"/>
                      <w:b w:val="0"/>
                      <w:bCs w:val="0"/>
                      <w:color w:val="auto"/>
                      <w:sz w:val="21"/>
                      <w:szCs w:val="21"/>
                      <w:highlight w:val="none"/>
                      <w:lang w:val="en-US" w:eastAsia="zh-CN"/>
                    </w:rPr>
                    <w:instrText xml:space="preserve"> HYPERLINK "https://baike.baidu.com/item/%E8%A1%A8%E9%9D%A2%E8%83%BD/98335?fromModule=lemma_inlink" \t "https://baike.baidu.com/item/%E7%A6%BB%E5%9E%8B%E8%86%9C/_blank" </w:instrText>
                  </w:r>
                  <w:r>
                    <w:rPr>
                      <w:rFonts w:hint="default" w:ascii="Times New Roman" w:hAnsi="Times New Roman" w:eastAsia="宋体" w:cs="Times New Roman"/>
                      <w:b w:val="0"/>
                      <w:bCs w:val="0"/>
                      <w:color w:val="auto"/>
                      <w:sz w:val="21"/>
                      <w:szCs w:val="21"/>
                      <w:highlight w:val="none"/>
                      <w:lang w:val="en-US" w:eastAsia="zh-CN"/>
                    </w:rPr>
                    <w:fldChar w:fldCharType="separate"/>
                  </w:r>
                  <w:r>
                    <w:rPr>
                      <w:rFonts w:hint="default" w:ascii="Times New Roman" w:hAnsi="Times New Roman" w:eastAsia="宋体" w:cs="Times New Roman"/>
                      <w:b w:val="0"/>
                      <w:bCs w:val="0"/>
                      <w:color w:val="auto"/>
                      <w:sz w:val="21"/>
                      <w:szCs w:val="21"/>
                      <w:highlight w:val="none"/>
                      <w:lang w:val="en-US" w:eastAsia="zh-CN"/>
                    </w:rPr>
                    <w:t>表面能</w:t>
                  </w:r>
                  <w:r>
                    <w:rPr>
                      <w:rFonts w:hint="default" w:ascii="Times New Roman" w:hAnsi="Times New Roman" w:eastAsia="宋体" w:cs="Times New Roman"/>
                      <w:b w:val="0"/>
                      <w:bCs w:val="0"/>
                      <w:color w:val="auto"/>
                      <w:sz w:val="21"/>
                      <w:szCs w:val="21"/>
                      <w:highlight w:val="none"/>
                      <w:lang w:val="en-US" w:eastAsia="zh-CN"/>
                    </w:rPr>
                    <w:fldChar w:fldCharType="end"/>
                  </w:r>
                  <w:r>
                    <w:rPr>
                      <w:rFonts w:hint="default" w:ascii="Times New Roman" w:hAnsi="Times New Roman" w:eastAsia="宋体" w:cs="Times New Roman"/>
                      <w:b w:val="0"/>
                      <w:bCs w:val="0"/>
                      <w:color w:val="auto"/>
                      <w:sz w:val="21"/>
                      <w:szCs w:val="21"/>
                      <w:highlight w:val="none"/>
                      <w:lang w:val="en-US" w:eastAsia="zh-CN"/>
                    </w:rPr>
                    <w:t>有区分的薄膜，离型膜与特定的材料在有限的条件下接触后不具有粘性，或轻微的粘性。为了增加塑料薄膜的</w:t>
                  </w:r>
                  <w:r>
                    <w:rPr>
                      <w:rFonts w:hint="default" w:ascii="Times New Roman" w:hAnsi="Times New Roman" w:eastAsia="宋体" w:cs="Times New Roman"/>
                      <w:b w:val="0"/>
                      <w:bCs w:val="0"/>
                      <w:color w:val="auto"/>
                      <w:sz w:val="21"/>
                      <w:szCs w:val="21"/>
                      <w:highlight w:val="none"/>
                      <w:lang w:val="en-US" w:eastAsia="zh-CN"/>
                    </w:rPr>
                    <w:fldChar w:fldCharType="begin"/>
                  </w:r>
                  <w:r>
                    <w:rPr>
                      <w:rFonts w:hint="default" w:ascii="Times New Roman" w:hAnsi="Times New Roman" w:eastAsia="宋体" w:cs="Times New Roman"/>
                      <w:b w:val="0"/>
                      <w:bCs w:val="0"/>
                      <w:color w:val="auto"/>
                      <w:sz w:val="21"/>
                      <w:szCs w:val="21"/>
                      <w:highlight w:val="none"/>
                      <w:lang w:val="en-US" w:eastAsia="zh-CN"/>
                    </w:rPr>
                    <w:instrText xml:space="preserve"> HYPERLINK "https://baike.baidu.com/item/%E7%A6%BB%E5%9E%8B%E5%8A%9B/9504967?fromModule=lemma_inlink" \t "https://baike.baidu.com/item/%E7%A6%BB%E5%9E%8B%E8%86%9C/_blank" </w:instrText>
                  </w:r>
                  <w:r>
                    <w:rPr>
                      <w:rFonts w:hint="default" w:ascii="Times New Roman" w:hAnsi="Times New Roman" w:eastAsia="宋体" w:cs="Times New Roman"/>
                      <w:b w:val="0"/>
                      <w:bCs w:val="0"/>
                      <w:color w:val="auto"/>
                      <w:sz w:val="21"/>
                      <w:szCs w:val="21"/>
                      <w:highlight w:val="none"/>
                      <w:lang w:val="en-US" w:eastAsia="zh-CN"/>
                    </w:rPr>
                    <w:fldChar w:fldCharType="separate"/>
                  </w:r>
                  <w:r>
                    <w:rPr>
                      <w:rFonts w:hint="default" w:ascii="Times New Roman" w:hAnsi="Times New Roman" w:eastAsia="宋体" w:cs="Times New Roman"/>
                      <w:b w:val="0"/>
                      <w:bCs w:val="0"/>
                      <w:color w:val="auto"/>
                      <w:sz w:val="21"/>
                      <w:szCs w:val="21"/>
                      <w:highlight w:val="none"/>
                      <w:lang w:val="en-US" w:eastAsia="zh-CN"/>
                    </w:rPr>
                    <w:t>离型力</w:t>
                  </w:r>
                  <w:r>
                    <w:rPr>
                      <w:rFonts w:hint="default" w:ascii="Times New Roman" w:hAnsi="Times New Roman" w:eastAsia="宋体" w:cs="Times New Roman"/>
                      <w:b w:val="0"/>
                      <w:bCs w:val="0"/>
                      <w:color w:val="auto"/>
                      <w:sz w:val="21"/>
                      <w:szCs w:val="21"/>
                      <w:highlight w:val="none"/>
                      <w:lang w:val="en-US" w:eastAsia="zh-CN"/>
                    </w:rPr>
                    <w:fldChar w:fldCharType="end"/>
                  </w:r>
                  <w:r>
                    <w:rPr>
                      <w:rFonts w:hint="default" w:ascii="Times New Roman" w:hAnsi="Times New Roman" w:eastAsia="宋体" w:cs="Times New Roman"/>
                      <w:b w:val="0"/>
                      <w:bCs w:val="0"/>
                      <w:color w:val="auto"/>
                      <w:sz w:val="21"/>
                      <w:szCs w:val="21"/>
                      <w:highlight w:val="none"/>
                      <w:lang w:val="en-US" w:eastAsia="zh-CN"/>
                    </w:rPr>
                    <w:t>，会将</w:t>
                  </w:r>
                  <w:r>
                    <w:rPr>
                      <w:rFonts w:hint="default" w:ascii="Times New Roman" w:hAnsi="Times New Roman" w:eastAsia="宋体" w:cs="Times New Roman"/>
                      <w:b w:val="0"/>
                      <w:bCs w:val="0"/>
                      <w:color w:val="auto"/>
                      <w:sz w:val="21"/>
                      <w:szCs w:val="21"/>
                      <w:highlight w:val="none"/>
                      <w:lang w:val="en-US" w:eastAsia="zh-CN"/>
                    </w:rPr>
                    <w:fldChar w:fldCharType="begin"/>
                  </w:r>
                  <w:r>
                    <w:rPr>
                      <w:rFonts w:hint="default" w:ascii="Times New Roman" w:hAnsi="Times New Roman" w:eastAsia="宋体" w:cs="Times New Roman"/>
                      <w:b w:val="0"/>
                      <w:bCs w:val="0"/>
                      <w:color w:val="auto"/>
                      <w:sz w:val="21"/>
                      <w:szCs w:val="21"/>
                      <w:highlight w:val="none"/>
                      <w:lang w:val="en-US" w:eastAsia="zh-CN"/>
                    </w:rPr>
                    <w:instrText xml:space="preserve"> HYPERLINK "https://baike.baidu.com/item/%E5%A1%91%E6%96%99%E8%96%84%E8%86%9C/3170760?fromModule=lemma_inlink" \t "https://baike.baidu.com/item/%E7%A6%BB%E5%9E%8B%E8%86%9C/_blank" </w:instrText>
                  </w:r>
                  <w:r>
                    <w:rPr>
                      <w:rFonts w:hint="default" w:ascii="Times New Roman" w:hAnsi="Times New Roman" w:eastAsia="宋体" w:cs="Times New Roman"/>
                      <w:b w:val="0"/>
                      <w:bCs w:val="0"/>
                      <w:color w:val="auto"/>
                      <w:sz w:val="21"/>
                      <w:szCs w:val="21"/>
                      <w:highlight w:val="none"/>
                      <w:lang w:val="en-US" w:eastAsia="zh-CN"/>
                    </w:rPr>
                    <w:fldChar w:fldCharType="separate"/>
                  </w:r>
                  <w:r>
                    <w:rPr>
                      <w:rFonts w:hint="default" w:ascii="Times New Roman" w:hAnsi="Times New Roman" w:eastAsia="宋体" w:cs="Times New Roman"/>
                      <w:b w:val="0"/>
                      <w:bCs w:val="0"/>
                      <w:color w:val="auto"/>
                      <w:sz w:val="21"/>
                      <w:szCs w:val="21"/>
                      <w:highlight w:val="none"/>
                      <w:lang w:val="en-US" w:eastAsia="zh-CN"/>
                    </w:rPr>
                    <w:t>塑料薄膜</w:t>
                  </w:r>
                  <w:r>
                    <w:rPr>
                      <w:rFonts w:hint="default" w:ascii="Times New Roman" w:hAnsi="Times New Roman" w:eastAsia="宋体" w:cs="Times New Roman"/>
                      <w:b w:val="0"/>
                      <w:bCs w:val="0"/>
                      <w:color w:val="auto"/>
                      <w:sz w:val="21"/>
                      <w:szCs w:val="21"/>
                      <w:highlight w:val="none"/>
                      <w:lang w:val="en-US" w:eastAsia="zh-CN"/>
                    </w:rPr>
                    <w:fldChar w:fldCharType="end"/>
                  </w:r>
                  <w:r>
                    <w:rPr>
                      <w:rFonts w:hint="default" w:ascii="Times New Roman" w:hAnsi="Times New Roman" w:eastAsia="宋体" w:cs="Times New Roman"/>
                      <w:b w:val="0"/>
                      <w:bCs w:val="0"/>
                      <w:color w:val="auto"/>
                      <w:sz w:val="21"/>
                      <w:szCs w:val="21"/>
                      <w:highlight w:val="none"/>
                      <w:lang w:val="en-US" w:eastAsia="zh-CN"/>
                    </w:rPr>
                    <w:t>做</w:t>
                  </w:r>
                  <w:r>
                    <w:rPr>
                      <w:rFonts w:hint="default" w:ascii="Times New Roman" w:hAnsi="Times New Roman" w:eastAsia="宋体" w:cs="Times New Roman"/>
                      <w:b w:val="0"/>
                      <w:bCs w:val="0"/>
                      <w:color w:val="auto"/>
                      <w:sz w:val="21"/>
                      <w:szCs w:val="21"/>
                      <w:highlight w:val="none"/>
                      <w:lang w:val="en-US" w:eastAsia="zh-CN"/>
                    </w:rPr>
                    <w:fldChar w:fldCharType="begin"/>
                  </w:r>
                  <w:r>
                    <w:rPr>
                      <w:rFonts w:hint="default" w:ascii="Times New Roman" w:hAnsi="Times New Roman" w:eastAsia="宋体" w:cs="Times New Roman"/>
                      <w:b w:val="0"/>
                      <w:bCs w:val="0"/>
                      <w:color w:val="auto"/>
                      <w:sz w:val="21"/>
                      <w:szCs w:val="21"/>
                      <w:highlight w:val="none"/>
                      <w:lang w:val="en-US" w:eastAsia="zh-CN"/>
                    </w:rPr>
                    <w:instrText xml:space="preserve"> HYPERLINK "https://baike.baidu.com/item/%E7%AD%89%E7%A6%BB%E5%AD%90%E5%A4%84%E7%90%86/9726869?fromModule=lemma_inlink" \t "https://baike.baidu.com/item/%E7%A6%BB%E5%9E%8B%E8%86%9C/_blank" </w:instrText>
                  </w:r>
                  <w:r>
                    <w:rPr>
                      <w:rFonts w:hint="default" w:ascii="Times New Roman" w:hAnsi="Times New Roman" w:eastAsia="宋体" w:cs="Times New Roman"/>
                      <w:b w:val="0"/>
                      <w:bCs w:val="0"/>
                      <w:color w:val="auto"/>
                      <w:sz w:val="21"/>
                      <w:szCs w:val="21"/>
                      <w:highlight w:val="none"/>
                      <w:lang w:val="en-US" w:eastAsia="zh-CN"/>
                    </w:rPr>
                    <w:fldChar w:fldCharType="separate"/>
                  </w:r>
                  <w:r>
                    <w:rPr>
                      <w:rFonts w:hint="default" w:ascii="Times New Roman" w:hAnsi="Times New Roman" w:eastAsia="宋体" w:cs="Times New Roman"/>
                      <w:b w:val="0"/>
                      <w:bCs w:val="0"/>
                      <w:color w:val="auto"/>
                      <w:sz w:val="21"/>
                      <w:szCs w:val="21"/>
                      <w:highlight w:val="none"/>
                      <w:lang w:val="en-US" w:eastAsia="zh-CN"/>
                    </w:rPr>
                    <w:t>等离子处理</w:t>
                  </w:r>
                  <w:r>
                    <w:rPr>
                      <w:rFonts w:hint="default" w:ascii="Times New Roman" w:hAnsi="Times New Roman" w:eastAsia="宋体" w:cs="Times New Roman"/>
                      <w:b w:val="0"/>
                      <w:bCs w:val="0"/>
                      <w:color w:val="auto"/>
                      <w:sz w:val="21"/>
                      <w:szCs w:val="21"/>
                      <w:highlight w:val="none"/>
                      <w:lang w:val="en-US" w:eastAsia="zh-CN"/>
                    </w:rPr>
                    <w:fldChar w:fldCharType="end"/>
                  </w:r>
                  <w:r>
                    <w:rPr>
                      <w:rFonts w:hint="default" w:ascii="Times New Roman" w:hAnsi="Times New Roman" w:eastAsia="宋体" w:cs="Times New Roman"/>
                      <w:b w:val="0"/>
                      <w:bCs w:val="0"/>
                      <w:color w:val="auto"/>
                      <w:sz w:val="21"/>
                      <w:szCs w:val="21"/>
                      <w:highlight w:val="none"/>
                      <w:lang w:val="en-US" w:eastAsia="zh-CN"/>
                    </w:rPr>
                    <w:t>，或涂氟处理，或涂硅</w:t>
                  </w:r>
                  <w:r>
                    <w:rPr>
                      <w:rFonts w:hint="default" w:ascii="Times New Roman" w:hAnsi="Times New Roman" w:eastAsia="宋体" w:cs="Times New Roman"/>
                      <w:b w:val="0"/>
                      <w:bCs w:val="0"/>
                      <w:color w:val="auto"/>
                      <w:sz w:val="21"/>
                      <w:szCs w:val="21"/>
                      <w:highlight w:val="none"/>
                      <w:lang w:val="en-US" w:eastAsia="zh-CN"/>
                    </w:rPr>
                    <w:fldChar w:fldCharType="begin"/>
                  </w:r>
                  <w:r>
                    <w:rPr>
                      <w:rFonts w:hint="default" w:ascii="Times New Roman" w:hAnsi="Times New Roman" w:eastAsia="宋体" w:cs="Times New Roman"/>
                      <w:b w:val="0"/>
                      <w:bCs w:val="0"/>
                      <w:color w:val="auto"/>
                      <w:sz w:val="21"/>
                      <w:szCs w:val="21"/>
                      <w:highlight w:val="none"/>
                      <w:lang w:val="en-US" w:eastAsia="zh-CN"/>
                    </w:rPr>
                    <w:instrText xml:space="preserve"> HYPERLINK "https://baike.baidu.com/item/%E7%A6%BB%E5%9E%8B%E5%89%82/3051165?fromModule=lemma_inlink" \t "https://baike.baidu.com/item/%E7%A6%BB%E5%9E%8B%E8%86%9C/_blank" </w:instrText>
                  </w:r>
                  <w:r>
                    <w:rPr>
                      <w:rFonts w:hint="default" w:ascii="Times New Roman" w:hAnsi="Times New Roman" w:eastAsia="宋体" w:cs="Times New Roman"/>
                      <w:b w:val="0"/>
                      <w:bCs w:val="0"/>
                      <w:color w:val="auto"/>
                      <w:sz w:val="21"/>
                      <w:szCs w:val="21"/>
                      <w:highlight w:val="none"/>
                      <w:lang w:val="en-US" w:eastAsia="zh-CN"/>
                    </w:rPr>
                    <w:fldChar w:fldCharType="separate"/>
                  </w:r>
                  <w:r>
                    <w:rPr>
                      <w:rFonts w:hint="default" w:ascii="Times New Roman" w:hAnsi="Times New Roman" w:eastAsia="宋体" w:cs="Times New Roman"/>
                      <w:b w:val="0"/>
                      <w:bCs w:val="0"/>
                      <w:color w:val="auto"/>
                      <w:sz w:val="21"/>
                      <w:szCs w:val="21"/>
                      <w:highlight w:val="none"/>
                      <w:lang w:val="en-US" w:eastAsia="zh-CN"/>
                    </w:rPr>
                    <w:t>离型剂</w:t>
                  </w:r>
                  <w:r>
                    <w:rPr>
                      <w:rFonts w:hint="default" w:ascii="Times New Roman" w:hAnsi="Times New Roman" w:eastAsia="宋体" w:cs="Times New Roman"/>
                      <w:b w:val="0"/>
                      <w:bCs w:val="0"/>
                      <w:color w:val="auto"/>
                      <w:sz w:val="21"/>
                      <w:szCs w:val="21"/>
                      <w:highlight w:val="none"/>
                      <w:lang w:val="en-US" w:eastAsia="zh-CN"/>
                    </w:rPr>
                    <w:fldChar w:fldCharType="end"/>
                  </w:r>
                  <w:r>
                    <w:rPr>
                      <w:rFonts w:hint="default" w:ascii="Times New Roman" w:hAnsi="Times New Roman" w:eastAsia="宋体" w:cs="Times New Roman"/>
                      <w:b w:val="0"/>
                      <w:bCs w:val="0"/>
                      <w:color w:val="auto"/>
                      <w:sz w:val="21"/>
                      <w:szCs w:val="21"/>
                      <w:highlight w:val="none"/>
                      <w:lang w:val="en-US" w:eastAsia="zh-CN"/>
                    </w:rPr>
                    <w:t>于薄膜材质的表层上</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让它对于各种不同的有机压感胶可以表现出极轻且稳定的离型力。</w:t>
                  </w:r>
                </w:p>
              </w:tc>
            </w:tr>
          </w:tbl>
          <w:p w14:paraId="0584BB48">
            <w:pPr>
              <w:numPr>
                <w:ilvl w:val="0"/>
                <w:numId w:val="0"/>
              </w:numPr>
              <w:adjustRightInd w:val="0"/>
              <w:snapToGrid w:val="0"/>
              <w:spacing w:line="360" w:lineRule="auto"/>
              <w:jc w:val="both"/>
              <w:rPr>
                <w:rFonts w:hint="default" w:ascii="Times New Roman" w:hAnsi="Times New Roman" w:cs="Times New Roman"/>
                <w:bCs/>
                <w:color w:val="auto"/>
                <w:sz w:val="24"/>
                <w:szCs w:val="24"/>
                <w:lang w:val="en-US" w:eastAsia="zh-CN"/>
              </w:rPr>
            </w:pPr>
            <w:r>
              <w:rPr>
                <w:rFonts w:hint="default" w:ascii="Times New Roman" w:hAnsi="Times New Roman" w:cs="Times New Roman"/>
                <w:b/>
                <w:bCs/>
                <w:color w:val="auto"/>
                <w:kern w:val="2"/>
                <w:sz w:val="24"/>
                <w:szCs w:val="24"/>
                <w:lang w:val="en-US" w:eastAsia="zh-CN" w:bidi="ar-SA"/>
              </w:rPr>
              <w:t>6、</w:t>
            </w:r>
            <w:r>
              <w:rPr>
                <w:rFonts w:hint="default" w:ascii="Times New Roman" w:hAnsi="Times New Roman" w:cs="Times New Roman"/>
                <w:b/>
                <w:bCs w:val="0"/>
                <w:color w:val="auto"/>
                <w:sz w:val="24"/>
                <w:szCs w:val="24"/>
                <w:lang w:val="en-US" w:eastAsia="zh-CN"/>
              </w:rPr>
              <w:t>公用工程</w:t>
            </w:r>
          </w:p>
          <w:p w14:paraId="48C0F31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96" w:firstLineChars="200"/>
              <w:jc w:val="both"/>
              <w:textAlignment w:val="auto"/>
              <w:rPr>
                <w:rFonts w:hint="eastAsia"/>
                <w:color w:val="auto"/>
                <w:spacing w:val="4"/>
                <w:sz w:val="24"/>
                <w:lang w:val="en-US" w:eastAsia="zh-CN"/>
              </w:rPr>
            </w:pPr>
            <w:r>
              <w:rPr>
                <w:rFonts w:hint="eastAsia"/>
                <w:color w:val="auto"/>
                <w:spacing w:val="4"/>
                <w:sz w:val="24"/>
                <w:lang w:eastAsia="zh-CN"/>
              </w:rPr>
              <w:t>（</w:t>
            </w:r>
            <w:r>
              <w:rPr>
                <w:rFonts w:hint="eastAsia"/>
                <w:color w:val="auto"/>
                <w:spacing w:val="4"/>
                <w:sz w:val="24"/>
                <w:lang w:val="en-US" w:eastAsia="zh-CN"/>
              </w:rPr>
              <w:t>1</w:t>
            </w:r>
            <w:r>
              <w:rPr>
                <w:rFonts w:hint="eastAsia"/>
                <w:color w:val="auto"/>
                <w:spacing w:val="4"/>
                <w:sz w:val="24"/>
                <w:lang w:eastAsia="zh-CN"/>
              </w:rPr>
              <w:t>）</w:t>
            </w:r>
            <w:r>
              <w:rPr>
                <w:rFonts w:hint="eastAsia"/>
                <w:color w:val="auto"/>
                <w:spacing w:val="4"/>
                <w:sz w:val="24"/>
                <w:lang w:val="en-US" w:eastAsia="zh-CN"/>
              </w:rPr>
              <w:t>给排水</w:t>
            </w:r>
          </w:p>
          <w:p w14:paraId="36709F0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96" w:firstLineChars="200"/>
              <w:jc w:val="both"/>
              <w:textAlignment w:val="auto"/>
              <w:rPr>
                <w:rFonts w:hint="eastAsia"/>
                <w:color w:val="auto"/>
                <w:spacing w:val="4"/>
                <w:sz w:val="24"/>
              </w:rPr>
            </w:pPr>
            <w:r>
              <w:rPr>
                <w:color w:val="auto"/>
                <w:spacing w:val="4"/>
                <w:sz w:val="24"/>
              </w:rPr>
              <w:t>由市政供水管网提供，</w:t>
            </w:r>
            <w:r>
              <w:rPr>
                <w:rFonts w:hint="eastAsia"/>
                <w:color w:val="auto"/>
                <w:spacing w:val="4"/>
                <w:sz w:val="24"/>
                <w:lang w:val="en-US" w:eastAsia="zh-CN"/>
              </w:rPr>
              <w:t>给</w:t>
            </w:r>
            <w:r>
              <w:rPr>
                <w:color w:val="auto"/>
                <w:spacing w:val="4"/>
                <w:sz w:val="24"/>
              </w:rPr>
              <w:t>水设施依托</w:t>
            </w:r>
            <w:r>
              <w:rPr>
                <w:rFonts w:hint="eastAsia"/>
                <w:color w:val="auto"/>
                <w:sz w:val="24"/>
                <w:szCs w:val="32"/>
                <w:lang w:val="en-US" w:eastAsia="zh-CN"/>
              </w:rPr>
              <w:t>园区</w:t>
            </w:r>
            <w:r>
              <w:rPr>
                <w:color w:val="auto"/>
                <w:spacing w:val="4"/>
                <w:sz w:val="24"/>
              </w:rPr>
              <w:t>已建成供水管网，本项目废水主要为生活</w:t>
            </w:r>
            <w:r>
              <w:rPr>
                <w:rFonts w:hint="eastAsia"/>
                <w:color w:val="auto"/>
                <w:spacing w:val="4"/>
                <w:sz w:val="24"/>
              </w:rPr>
              <w:t>污</w:t>
            </w:r>
            <w:r>
              <w:rPr>
                <w:color w:val="auto"/>
                <w:spacing w:val="4"/>
                <w:sz w:val="24"/>
              </w:rPr>
              <w:t>水</w:t>
            </w:r>
            <w:r>
              <w:rPr>
                <w:rFonts w:hint="eastAsia"/>
                <w:color w:val="auto"/>
                <w:spacing w:val="4"/>
                <w:sz w:val="24"/>
              </w:rPr>
              <w:t>、</w:t>
            </w:r>
            <w:r>
              <w:rPr>
                <w:rFonts w:hint="eastAsia" w:ascii="Times New Roman" w:hAnsi="Times New Roman" w:cs="Times New Roman"/>
                <w:b w:val="0"/>
                <w:bCs/>
                <w:color w:val="auto"/>
                <w:sz w:val="24"/>
                <w:szCs w:val="24"/>
                <w:lang w:val="en-US" w:eastAsia="zh-CN"/>
              </w:rPr>
              <w:t>纯水制备排放浓水</w:t>
            </w:r>
            <w:r>
              <w:rPr>
                <w:rFonts w:hint="eastAsia"/>
                <w:color w:val="auto"/>
                <w:spacing w:val="4"/>
                <w:sz w:val="24"/>
              </w:rPr>
              <w:t>、</w:t>
            </w:r>
            <w:r>
              <w:rPr>
                <w:rFonts w:hint="eastAsia"/>
                <w:color w:val="auto"/>
                <w:sz w:val="24"/>
                <w:lang w:val="en-US" w:eastAsia="zh-CN"/>
              </w:rPr>
              <w:t>调配</w:t>
            </w:r>
            <w:r>
              <w:rPr>
                <w:rFonts w:hint="eastAsia"/>
                <w:color w:val="auto"/>
                <w:sz w:val="24"/>
              </w:rPr>
              <w:t>器皿清洗</w:t>
            </w:r>
            <w:r>
              <w:rPr>
                <w:rFonts w:hint="default" w:ascii="Times New Roman" w:hAnsi="Times New Roman" w:cs="Times New Roman"/>
                <w:b w:val="0"/>
                <w:bCs/>
                <w:color w:val="auto"/>
                <w:sz w:val="24"/>
                <w:szCs w:val="24"/>
                <w:lang w:val="en-US" w:eastAsia="zh-CN"/>
              </w:rPr>
              <w:t>废水</w:t>
            </w:r>
            <w:r>
              <w:rPr>
                <w:rFonts w:hint="eastAsia"/>
                <w:color w:val="auto"/>
                <w:spacing w:val="4"/>
                <w:sz w:val="24"/>
              </w:rPr>
              <w:t>。</w:t>
            </w:r>
          </w:p>
          <w:p w14:paraId="012EEE2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①生活用水</w:t>
            </w:r>
          </w:p>
          <w:p w14:paraId="4878C78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本项目劳动定员为10人，厂区内不提供食宿，年工作</w:t>
            </w:r>
            <w:r>
              <w:rPr>
                <w:rFonts w:hint="eastAsia" w:ascii="Times New Roman" w:hAnsi="Times New Roman" w:cs="Times New Roman"/>
                <w:b w:val="0"/>
                <w:bCs/>
                <w:color w:val="auto"/>
                <w:sz w:val="24"/>
                <w:szCs w:val="24"/>
                <w:lang w:val="en-US" w:eastAsia="zh-CN"/>
              </w:rPr>
              <w:t>250</w:t>
            </w:r>
            <w:r>
              <w:rPr>
                <w:rFonts w:hint="default" w:ascii="Times New Roman" w:hAnsi="Times New Roman" w:cs="Times New Roman"/>
                <w:b w:val="0"/>
                <w:bCs/>
                <w:color w:val="auto"/>
                <w:sz w:val="24"/>
                <w:szCs w:val="24"/>
                <w:lang w:val="en-US" w:eastAsia="zh-CN"/>
              </w:rPr>
              <w:t>天。</w:t>
            </w:r>
            <w:r>
              <w:rPr>
                <w:rFonts w:hint="default" w:ascii="Times New Roman" w:hAnsi="Times New Roman" w:cs="Times New Roman"/>
                <w:color w:val="auto"/>
                <w:kern w:val="0"/>
                <w:sz w:val="24"/>
                <w:szCs w:val="22"/>
              </w:rPr>
              <w:t>根据《行业用水定额》（DB61/T943-2020），生活用水量按行政办公</w:t>
            </w:r>
            <w:r>
              <w:rPr>
                <w:rFonts w:hint="eastAsia" w:ascii="Times New Roman" w:hAnsi="Times New Roman" w:cs="Times New Roman"/>
                <w:color w:val="auto"/>
                <w:kern w:val="0"/>
                <w:sz w:val="24"/>
                <w:szCs w:val="22"/>
                <w:lang w:val="en-US" w:eastAsia="zh-CN"/>
              </w:rPr>
              <w:t>通用</w:t>
            </w:r>
            <w:r>
              <w:rPr>
                <w:rFonts w:hint="default" w:ascii="Times New Roman" w:hAnsi="Times New Roman" w:cs="Times New Roman"/>
                <w:color w:val="auto"/>
                <w:kern w:val="0"/>
                <w:sz w:val="24"/>
                <w:szCs w:val="22"/>
              </w:rPr>
              <w:t>值计，为</w:t>
            </w:r>
            <w:r>
              <w:rPr>
                <w:rFonts w:hint="eastAsia" w:ascii="Times New Roman" w:hAnsi="Times New Roman" w:cs="Times New Roman"/>
                <w:color w:val="auto"/>
                <w:kern w:val="0"/>
                <w:sz w:val="24"/>
                <w:szCs w:val="22"/>
                <w:lang w:val="en-US" w:eastAsia="zh-CN"/>
              </w:rPr>
              <w:t>25</w:t>
            </w:r>
            <w:r>
              <w:rPr>
                <w:rFonts w:hint="default" w:ascii="Times New Roman" w:hAnsi="Times New Roman" w:cs="Times New Roman"/>
                <w:color w:val="auto"/>
                <w:kern w:val="0"/>
                <w:sz w:val="24"/>
                <w:szCs w:val="22"/>
                <w:lang w:val="en-US" w:eastAsia="zh-CN"/>
              </w:rPr>
              <w:t>m</w:t>
            </w:r>
            <w:r>
              <w:rPr>
                <w:rFonts w:hint="default" w:ascii="Times New Roman" w:hAnsi="Times New Roman" w:cs="Times New Roman"/>
                <w:color w:val="auto"/>
                <w:kern w:val="0"/>
                <w:sz w:val="24"/>
                <w:szCs w:val="22"/>
                <w:vertAlign w:val="superscript"/>
                <w:lang w:val="en-US" w:eastAsia="zh-CN"/>
              </w:rPr>
              <w:t>3</w:t>
            </w:r>
            <w:r>
              <w:rPr>
                <w:rFonts w:hint="default" w:ascii="Times New Roman" w:hAnsi="Times New Roman" w:cs="Times New Roman"/>
                <w:color w:val="auto"/>
                <w:kern w:val="0"/>
                <w:sz w:val="24"/>
                <w:szCs w:val="22"/>
              </w:rPr>
              <w:t>/（人·</w:t>
            </w:r>
            <w:r>
              <w:rPr>
                <w:rFonts w:hint="default" w:ascii="Times New Roman" w:hAnsi="Times New Roman" w:cs="Times New Roman"/>
                <w:color w:val="auto"/>
                <w:kern w:val="0"/>
                <w:sz w:val="24"/>
                <w:szCs w:val="22"/>
                <w:lang w:val="en-US" w:eastAsia="zh-CN"/>
              </w:rPr>
              <w:t>a</w:t>
            </w:r>
            <w:r>
              <w:rPr>
                <w:rFonts w:hint="default" w:ascii="Times New Roman" w:hAnsi="Times New Roman" w:cs="Times New Roman"/>
                <w:color w:val="auto"/>
                <w:kern w:val="0"/>
                <w:sz w:val="24"/>
                <w:szCs w:val="22"/>
              </w:rPr>
              <w:t>）</w:t>
            </w:r>
            <w:r>
              <w:rPr>
                <w:rFonts w:hint="default" w:ascii="Times New Roman" w:hAnsi="Times New Roman" w:cs="Times New Roman"/>
                <w:color w:val="auto"/>
                <w:kern w:val="0"/>
                <w:sz w:val="24"/>
                <w:szCs w:val="22"/>
                <w:lang w:val="zh-TW"/>
              </w:rPr>
              <w:t>，</w:t>
            </w:r>
            <w:r>
              <w:rPr>
                <w:rFonts w:hint="default" w:ascii="Times New Roman" w:hAnsi="Times New Roman" w:cs="Times New Roman"/>
                <w:color w:val="auto"/>
                <w:kern w:val="0"/>
                <w:sz w:val="24"/>
                <w:szCs w:val="22"/>
                <w:lang w:val="en-US" w:eastAsia="zh-CN"/>
              </w:rPr>
              <w:t>则生活用水量为</w:t>
            </w:r>
            <w:r>
              <w:rPr>
                <w:rFonts w:hint="eastAsia" w:ascii="Times New Roman" w:hAnsi="Times New Roman" w:cs="Times New Roman"/>
                <w:color w:val="auto"/>
                <w:kern w:val="0"/>
                <w:sz w:val="24"/>
                <w:szCs w:val="22"/>
                <w:lang w:val="en-US" w:eastAsia="zh-CN"/>
              </w:rPr>
              <w:t>1</w:t>
            </w:r>
            <w:r>
              <w:rPr>
                <w:rFonts w:hint="default" w:ascii="Times New Roman" w:hAnsi="Times New Roman" w:cs="Times New Roman"/>
                <w:color w:val="auto"/>
                <w:kern w:val="0"/>
                <w:sz w:val="24"/>
                <w:szCs w:val="22"/>
              </w:rPr>
              <w:t>m</w:t>
            </w:r>
            <w:r>
              <w:rPr>
                <w:rFonts w:hint="default" w:ascii="Times New Roman" w:hAnsi="Times New Roman" w:cs="Times New Roman"/>
                <w:color w:val="auto"/>
                <w:kern w:val="0"/>
                <w:sz w:val="24"/>
                <w:szCs w:val="22"/>
                <w:vertAlign w:val="superscript"/>
              </w:rPr>
              <w:t>3</w:t>
            </w:r>
            <w:r>
              <w:rPr>
                <w:rFonts w:hint="default" w:ascii="Times New Roman" w:hAnsi="Times New Roman" w:cs="Times New Roman"/>
                <w:color w:val="auto"/>
                <w:kern w:val="0"/>
                <w:sz w:val="24"/>
                <w:szCs w:val="22"/>
              </w:rPr>
              <w:t>/d</w:t>
            </w:r>
            <w:r>
              <w:rPr>
                <w:rFonts w:hint="eastAsia" w:ascii="Times New Roman" w:hAnsi="Times New Roman" w:cs="Times New Roman"/>
                <w:color w:val="auto"/>
                <w:kern w:val="0"/>
                <w:sz w:val="24"/>
                <w:szCs w:val="22"/>
                <w:lang w:eastAsia="zh-CN"/>
              </w:rPr>
              <w:t>（</w:t>
            </w:r>
            <w:r>
              <w:rPr>
                <w:rFonts w:hint="eastAsia" w:ascii="Times New Roman" w:hAnsi="Times New Roman" w:cs="Times New Roman"/>
                <w:color w:val="auto"/>
                <w:kern w:val="0"/>
                <w:sz w:val="24"/>
                <w:szCs w:val="22"/>
                <w:lang w:val="en-US" w:eastAsia="zh-CN"/>
              </w:rPr>
              <w:t>250</w:t>
            </w:r>
            <w:r>
              <w:rPr>
                <w:rFonts w:hint="default" w:ascii="Times New Roman" w:hAnsi="Times New Roman" w:cs="Times New Roman"/>
                <w:color w:val="auto"/>
                <w:kern w:val="0"/>
                <w:sz w:val="24"/>
                <w:szCs w:val="22"/>
              </w:rPr>
              <w:t>m</w:t>
            </w:r>
            <w:r>
              <w:rPr>
                <w:rFonts w:hint="default" w:ascii="Times New Roman" w:hAnsi="Times New Roman" w:cs="Times New Roman"/>
                <w:color w:val="auto"/>
                <w:kern w:val="0"/>
                <w:sz w:val="24"/>
                <w:szCs w:val="22"/>
                <w:vertAlign w:val="superscript"/>
              </w:rPr>
              <w:t>3</w:t>
            </w:r>
            <w:r>
              <w:rPr>
                <w:rFonts w:hint="default" w:ascii="Times New Roman" w:hAnsi="Times New Roman" w:cs="Times New Roman"/>
                <w:color w:val="auto"/>
                <w:kern w:val="0"/>
                <w:sz w:val="24"/>
                <w:szCs w:val="22"/>
              </w:rPr>
              <w:t>/</w:t>
            </w:r>
            <w:r>
              <w:rPr>
                <w:rFonts w:hint="default" w:ascii="Times New Roman" w:hAnsi="Times New Roman" w:eastAsia="宋体" w:cs="Times New Roman"/>
                <w:color w:val="auto"/>
                <w:kern w:val="0"/>
                <w:sz w:val="24"/>
                <w:szCs w:val="22"/>
                <w:lang w:val="en-US" w:eastAsia="zh-CN"/>
              </w:rPr>
              <w:t>a</w:t>
            </w:r>
            <w:r>
              <w:rPr>
                <w:rFonts w:hint="eastAsia" w:ascii="Times New Roman" w:hAnsi="Times New Roman" w:cs="Times New Roman"/>
                <w:color w:val="auto"/>
                <w:kern w:val="0"/>
                <w:sz w:val="24"/>
                <w:szCs w:val="22"/>
                <w:lang w:eastAsia="zh-CN"/>
              </w:rPr>
              <w:t>）</w:t>
            </w:r>
            <w:r>
              <w:rPr>
                <w:rFonts w:hint="default" w:ascii="Times New Roman" w:hAnsi="Times New Roman" w:eastAsia="宋体" w:cs="Times New Roman"/>
                <w:color w:val="auto"/>
                <w:kern w:val="0"/>
                <w:sz w:val="24"/>
                <w:szCs w:val="22"/>
                <w:lang w:val="en-US" w:eastAsia="zh-CN"/>
              </w:rPr>
              <w:t>。</w:t>
            </w:r>
            <w:r>
              <w:rPr>
                <w:rFonts w:hint="default" w:ascii="Times New Roman" w:hAnsi="Times New Roman" w:cs="Times New Roman"/>
                <w:b w:val="0"/>
                <w:bCs/>
                <w:color w:val="auto"/>
                <w:sz w:val="24"/>
                <w:szCs w:val="24"/>
                <w:lang w:val="en-US" w:eastAsia="zh-CN"/>
              </w:rPr>
              <w:t>本项目生活污水产生量以生活用水量的80%计，则生活污水产生量为</w:t>
            </w:r>
            <w:r>
              <w:rPr>
                <w:rFonts w:hint="eastAsia" w:ascii="Times New Roman" w:hAnsi="Times New Roman" w:cs="Times New Roman"/>
                <w:color w:val="auto"/>
                <w:sz w:val="24"/>
                <w:lang w:val="en-US" w:eastAsia="zh-CN"/>
              </w:rPr>
              <w:t>0.8</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200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w:t>
            </w:r>
            <w:r>
              <w:rPr>
                <w:rFonts w:hint="eastAsia" w:ascii="Times New Roman" w:hAnsi="Times New Roman" w:cs="Times New Roman"/>
                <w:color w:val="auto"/>
                <w:sz w:val="24"/>
                <w:lang w:eastAsia="zh-CN"/>
              </w:rPr>
              <w:t>）</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生活污水依托园区化粪池处理后经市政污水管网，最终排入泾河新城第二污水处理厂进行处理。</w:t>
            </w:r>
          </w:p>
          <w:p w14:paraId="181CA18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②</w:t>
            </w:r>
            <w:r>
              <w:rPr>
                <w:rFonts w:hint="eastAsia" w:ascii="Times New Roman" w:hAnsi="Times New Roman" w:cs="Times New Roman"/>
                <w:b w:val="0"/>
                <w:bCs/>
                <w:color w:val="auto"/>
                <w:sz w:val="24"/>
                <w:szCs w:val="24"/>
                <w:lang w:val="en-US" w:eastAsia="zh-CN"/>
              </w:rPr>
              <w:t>纯水机制备用水</w:t>
            </w:r>
          </w:p>
          <w:p w14:paraId="1CB91D3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eastAsia="宋体" w:cs="Times New Roman"/>
                <w:color w:val="auto"/>
                <w:sz w:val="24"/>
                <w:szCs w:val="24"/>
                <w:highlight w:val="none"/>
              </w:rPr>
              <w:t>项目新建1套纯水制备系统，制备效率为</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0%。项目</w:t>
            </w:r>
            <w:r>
              <w:rPr>
                <w:rFonts w:hint="eastAsia" w:ascii="Times New Roman" w:hAnsi="Times New Roman" w:eastAsia="宋体" w:cs="Times New Roman"/>
                <w:color w:val="auto"/>
                <w:sz w:val="24"/>
                <w:szCs w:val="24"/>
                <w:highlight w:val="none"/>
                <w:lang w:val="en-US" w:eastAsia="zh-CN"/>
              </w:rPr>
              <w:t>制作氢气泄漏检测胶带过程中溶剂配制、超声波清洗机</w:t>
            </w:r>
            <w:r>
              <w:rPr>
                <w:rFonts w:hint="default" w:ascii="Times New Roman" w:hAnsi="Times New Roman" w:eastAsia="宋体" w:cs="Times New Roman"/>
                <w:color w:val="auto"/>
                <w:sz w:val="24"/>
                <w:szCs w:val="24"/>
                <w:highlight w:val="none"/>
              </w:rPr>
              <w:t>需要纯水</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根据</w:t>
            </w:r>
            <w:r>
              <w:rPr>
                <w:rFonts w:hint="eastAsia" w:cs="Times New Roman"/>
                <w:color w:val="auto"/>
                <w:sz w:val="24"/>
                <w:szCs w:val="24"/>
                <w:highlight w:val="none"/>
                <w:lang w:val="en-US" w:eastAsia="zh-CN"/>
              </w:rPr>
              <w:t>后文计算</w:t>
            </w:r>
            <w:r>
              <w:rPr>
                <w:rFonts w:hint="eastAsia" w:ascii="Times New Roman" w:hAnsi="Times New Roman" w:eastAsia="宋体" w:cs="Times New Roman"/>
                <w:color w:val="auto"/>
                <w:sz w:val="24"/>
                <w:szCs w:val="24"/>
                <w:highlight w:val="none"/>
                <w:lang w:val="en-US" w:eastAsia="zh-CN"/>
              </w:rPr>
              <w:t>，项目共计需要纯水0.0153</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3.825</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则新鲜水用量为</w:t>
            </w:r>
            <w:r>
              <w:rPr>
                <w:rFonts w:hint="eastAsia" w:ascii="Times New Roman" w:hAnsi="Times New Roman" w:eastAsia="宋体" w:cs="Times New Roman"/>
                <w:color w:val="auto"/>
                <w:sz w:val="24"/>
                <w:szCs w:val="24"/>
                <w:highlight w:val="none"/>
                <w:lang w:val="en-US" w:eastAsia="zh-CN"/>
              </w:rPr>
              <w:t>0.0255</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6.375</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制备过程产生的浓水为</w:t>
            </w:r>
            <w:r>
              <w:rPr>
                <w:rFonts w:hint="eastAsia" w:ascii="Times New Roman" w:hAnsi="Times New Roman" w:eastAsia="宋体" w:cs="Times New Roman"/>
                <w:color w:val="auto"/>
                <w:sz w:val="24"/>
                <w:szCs w:val="24"/>
                <w:highlight w:val="none"/>
                <w:lang w:val="en-US" w:eastAsia="zh-CN"/>
              </w:rPr>
              <w:t>0.0102</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2.55</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能满足企业项目的生产需求</w:t>
            </w:r>
            <w:r>
              <w:rPr>
                <w:rFonts w:hint="default" w:ascii="Times New Roman" w:hAnsi="Times New Roman" w:cs="Times New Roman"/>
                <w:color w:val="auto"/>
                <w:sz w:val="24"/>
                <w:szCs w:val="24"/>
                <w:lang w:val="en-US" w:eastAsia="zh-CN"/>
              </w:rPr>
              <w:t>。</w:t>
            </w:r>
            <w:r>
              <w:rPr>
                <w:rFonts w:hint="eastAsia"/>
                <w:color w:val="auto"/>
                <w:sz w:val="24"/>
              </w:rPr>
              <w:t>纯水制备浓水</w:t>
            </w:r>
            <w:r>
              <w:rPr>
                <w:rFonts w:hint="eastAsia"/>
                <w:color w:val="auto"/>
                <w:sz w:val="24"/>
                <w:lang w:val="en-US" w:eastAsia="zh-CN"/>
              </w:rPr>
              <w:t>与生活污水一同排往园区化粪池</w:t>
            </w:r>
            <w:r>
              <w:rPr>
                <w:rFonts w:hint="default" w:ascii="Times New Roman" w:hAnsi="Times New Roman" w:cs="Times New Roman"/>
                <w:b w:val="0"/>
                <w:bCs/>
                <w:color w:val="auto"/>
                <w:sz w:val="24"/>
                <w:szCs w:val="24"/>
                <w:lang w:val="en-US" w:eastAsia="zh-CN"/>
              </w:rPr>
              <w:t>。</w:t>
            </w:r>
          </w:p>
          <w:p w14:paraId="33B246BA">
            <w:pPr>
              <w:pStyle w:val="6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b w:val="0"/>
                <w:bCs/>
                <w:color w:val="auto"/>
                <w:sz w:val="24"/>
                <w:szCs w:val="24"/>
                <w:lang w:val="en-US" w:eastAsia="zh-CN"/>
              </w:rPr>
              <w:t>③</w:t>
            </w:r>
            <w:r>
              <w:rPr>
                <w:rFonts w:hint="eastAsia" w:ascii="Times New Roman" w:hAnsi="Times New Roman" w:eastAsia="宋体" w:cs="Times New Roman"/>
                <w:color w:val="auto"/>
                <w:sz w:val="24"/>
                <w:szCs w:val="24"/>
                <w:highlight w:val="none"/>
                <w:lang w:val="en-US" w:eastAsia="zh-CN"/>
              </w:rPr>
              <w:t>制作氢气泄漏检测胶带过程中溶剂配制用水</w:t>
            </w:r>
          </w:p>
          <w:p w14:paraId="4467F3AB">
            <w:pPr>
              <w:pStyle w:val="6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Cs w:val="24"/>
                <w:lang w:val="en-US" w:eastAsia="zh-CN"/>
              </w:rPr>
            </w:pPr>
            <w:r>
              <w:rPr>
                <w:rFonts w:hint="eastAsia" w:hAnsi="Times New Roman" w:cs="Times New Roman"/>
                <w:color w:val="auto"/>
                <w:sz w:val="24"/>
                <w:szCs w:val="24"/>
                <w:lang w:val="en-US" w:eastAsia="zh-CN"/>
              </w:rPr>
              <w:t>本项目</w:t>
            </w:r>
            <w:r>
              <w:rPr>
                <w:rFonts w:hint="eastAsia" w:ascii="Times New Roman" w:hAnsi="Times New Roman" w:eastAsia="宋体" w:cs="Times New Roman"/>
                <w:color w:val="auto"/>
                <w:sz w:val="24"/>
                <w:szCs w:val="24"/>
                <w:highlight w:val="none"/>
                <w:lang w:val="en-US" w:eastAsia="zh-CN"/>
              </w:rPr>
              <w:t>制作氢气泄漏检测胶带过程中敏感层制备</w:t>
            </w:r>
            <w:r>
              <w:rPr>
                <w:rFonts w:hint="eastAsia" w:hAnsi="Times New Roman" w:cs="Times New Roman"/>
                <w:color w:val="auto"/>
                <w:sz w:val="24"/>
                <w:szCs w:val="24"/>
                <w:lang w:val="en-US" w:eastAsia="zh-CN"/>
              </w:rPr>
              <w:t>需要使用超纯水，由</w:t>
            </w:r>
            <w:r>
              <w:rPr>
                <w:rFonts w:hint="default" w:ascii="Times New Roman" w:hAnsi="Times New Roman" w:cs="Times New Roman"/>
                <w:b w:val="0"/>
                <w:bCs w:val="0"/>
                <w:color w:val="auto"/>
                <w:lang w:val="en-US" w:eastAsia="zh-CN"/>
              </w:rPr>
              <w:t>变色材料</w:t>
            </w:r>
            <w:r>
              <w:rPr>
                <w:rFonts w:hint="eastAsia" w:ascii="Times New Roman" w:hAnsi="Times New Roman" w:cs="Times New Roman"/>
                <w:b w:val="0"/>
                <w:bCs w:val="0"/>
                <w:color w:val="auto"/>
                <w:lang w:val="en-US" w:eastAsia="zh-CN"/>
              </w:rPr>
              <w:t>、</w:t>
            </w:r>
            <w:r>
              <w:rPr>
                <w:rFonts w:hint="default" w:ascii="Times New Roman" w:hAnsi="Times New Roman" w:cs="Times New Roman"/>
                <w:b w:val="0"/>
                <w:bCs w:val="0"/>
                <w:color w:val="auto"/>
                <w:lang w:val="en-US" w:eastAsia="zh-CN"/>
              </w:rPr>
              <w:t>超纯水</w:t>
            </w:r>
            <w:r>
              <w:rPr>
                <w:rFonts w:hint="eastAsia" w:ascii="Times New Roman" w:hAnsi="Times New Roman" w:cs="Times New Roman"/>
                <w:b w:val="0"/>
                <w:bCs w:val="0"/>
                <w:color w:val="auto"/>
                <w:lang w:val="en-US" w:eastAsia="zh-CN"/>
              </w:rPr>
              <w:t>、</w:t>
            </w:r>
            <w:r>
              <w:rPr>
                <w:rFonts w:hint="default" w:ascii="Times New Roman" w:hAnsi="Times New Roman" w:cs="Times New Roman"/>
                <w:b w:val="0"/>
                <w:bCs w:val="0"/>
                <w:color w:val="auto"/>
                <w:lang w:val="en-US" w:eastAsia="zh-CN"/>
              </w:rPr>
              <w:t>有机硅压敏胶</w:t>
            </w:r>
            <w:r>
              <w:rPr>
                <w:rFonts w:hint="eastAsia" w:ascii="Times New Roman" w:cs="Times New Roman"/>
                <w:b w:val="0"/>
                <w:bCs w:val="0"/>
                <w:color w:val="auto"/>
                <w:lang w:val="en-US" w:eastAsia="zh-CN"/>
              </w:rPr>
              <w:t>按照1:1:4的比例</w:t>
            </w:r>
            <w:r>
              <w:rPr>
                <w:rFonts w:hint="eastAsia" w:ascii="Times New Roman" w:hAnsi="Times New Roman" w:cs="Times New Roman"/>
                <w:b w:val="0"/>
                <w:bCs w:val="0"/>
                <w:color w:val="auto"/>
                <w:lang w:val="en-US" w:eastAsia="zh-CN"/>
              </w:rPr>
              <w:t>制成，有机硅压敏胶使用量为300kg/a，则</w:t>
            </w:r>
            <w:r>
              <w:rPr>
                <w:rFonts w:hint="eastAsia" w:hAnsi="Times New Roman" w:cs="Times New Roman"/>
                <w:snapToGrid w:val="0"/>
                <w:color w:val="auto"/>
                <w:szCs w:val="24"/>
                <w:lang w:val="en-US" w:eastAsia="zh-CN"/>
              </w:rPr>
              <w:t>用于</w:t>
            </w:r>
            <w:r>
              <w:rPr>
                <w:rFonts w:hint="eastAsia" w:ascii="Times New Roman" w:hAnsi="Times New Roman" w:eastAsia="宋体" w:cs="Times New Roman"/>
                <w:color w:val="auto"/>
                <w:sz w:val="24"/>
                <w:szCs w:val="24"/>
                <w:highlight w:val="none"/>
                <w:lang w:val="en-US" w:eastAsia="zh-CN"/>
              </w:rPr>
              <w:t>敏感层制备</w:t>
            </w:r>
            <w:r>
              <w:rPr>
                <w:rFonts w:hint="eastAsia" w:hAnsi="Times New Roman" w:cs="Times New Roman"/>
                <w:snapToGrid w:val="0"/>
                <w:color w:val="auto"/>
                <w:szCs w:val="24"/>
                <w:lang w:val="en-US" w:eastAsia="zh-CN"/>
              </w:rPr>
              <w:t>的超纯水使用量为0.0003</w:t>
            </w:r>
            <w:r>
              <w:rPr>
                <w:rFonts w:hAnsi="Times New Roman" w:cs="Times New Roman"/>
                <w:snapToGrid w:val="0"/>
                <w:color w:val="auto"/>
                <w:szCs w:val="24"/>
              </w:rPr>
              <w:t>m</w:t>
            </w:r>
            <w:r>
              <w:rPr>
                <w:rFonts w:hAnsi="Times New Roman" w:cs="Times New Roman"/>
                <w:snapToGrid w:val="0"/>
                <w:color w:val="auto"/>
                <w:szCs w:val="24"/>
                <w:vertAlign w:val="superscript"/>
              </w:rPr>
              <w:t>3</w:t>
            </w:r>
            <w:r>
              <w:rPr>
                <w:rFonts w:hAnsi="Times New Roman" w:cs="Times New Roman"/>
                <w:snapToGrid w:val="0"/>
                <w:color w:val="auto"/>
                <w:szCs w:val="24"/>
              </w:rPr>
              <w:t>/d</w:t>
            </w:r>
            <w:r>
              <w:rPr>
                <w:rFonts w:hint="eastAsia"/>
                <w:color w:val="auto"/>
                <w:sz w:val="24"/>
                <w:lang w:eastAsia="zh-CN"/>
              </w:rPr>
              <w:t>（</w:t>
            </w:r>
            <w:r>
              <w:rPr>
                <w:rFonts w:hint="eastAsia"/>
                <w:color w:val="auto"/>
                <w:sz w:val="24"/>
                <w:lang w:val="en-US" w:eastAsia="zh-CN"/>
              </w:rPr>
              <w:t>0.075</w:t>
            </w:r>
            <w:r>
              <w:rPr>
                <w:color w:val="auto"/>
                <w:sz w:val="24"/>
              </w:rPr>
              <w:t>m</w:t>
            </w:r>
            <w:r>
              <w:rPr>
                <w:color w:val="auto"/>
                <w:sz w:val="24"/>
                <w:vertAlign w:val="superscript"/>
              </w:rPr>
              <w:t>3</w:t>
            </w:r>
            <w:r>
              <w:rPr>
                <w:color w:val="auto"/>
                <w:sz w:val="24"/>
              </w:rPr>
              <w:t>/a</w:t>
            </w:r>
            <w:r>
              <w:rPr>
                <w:rFonts w:hint="eastAsia"/>
                <w:color w:val="auto"/>
                <w:sz w:val="24"/>
                <w:lang w:eastAsia="zh-CN"/>
              </w:rPr>
              <w:t>）</w:t>
            </w:r>
            <w:r>
              <w:rPr>
                <w:rFonts w:ascii="Times New Roman" w:hAnsi="Times New Roman" w:cs="Times New Roman"/>
                <w:color w:val="auto"/>
                <w:szCs w:val="24"/>
              </w:rPr>
              <w:t>。</w:t>
            </w:r>
            <w:r>
              <w:rPr>
                <w:rFonts w:hint="eastAsia" w:ascii="Times New Roman" w:hAnsi="Times New Roman" w:cs="Times New Roman"/>
                <w:color w:val="auto"/>
                <w:szCs w:val="24"/>
                <w:lang w:val="en-US" w:eastAsia="zh-CN"/>
              </w:rPr>
              <w:t>该部分随后进入产品中，无废水产生。</w:t>
            </w:r>
          </w:p>
          <w:p w14:paraId="562D3160">
            <w:pPr>
              <w:pStyle w:val="6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hAnsi="Times New Roman" w:cs="Times New Roman"/>
                <w:color w:val="auto"/>
                <w:sz w:val="24"/>
                <w:szCs w:val="24"/>
                <w:lang w:val="en-US" w:eastAsia="zh-CN"/>
              </w:rPr>
            </w:pPr>
            <w:r>
              <w:rPr>
                <w:rFonts w:hint="eastAsia" w:hAnsi="Times New Roman" w:cs="Times New Roman"/>
                <w:color w:val="auto"/>
                <w:sz w:val="24"/>
                <w:szCs w:val="24"/>
                <w:lang w:val="en-US" w:eastAsia="zh-CN"/>
              </w:rPr>
              <w:fldChar w:fldCharType="begin"/>
            </w:r>
            <w:r>
              <w:rPr>
                <w:rFonts w:hint="eastAsia" w:hAnsi="Times New Roman" w:cs="Times New Roman"/>
                <w:color w:val="auto"/>
                <w:sz w:val="24"/>
                <w:szCs w:val="24"/>
                <w:lang w:val="en-US" w:eastAsia="zh-CN"/>
              </w:rPr>
              <w:instrText xml:space="preserve"> = 4 \* GB3 \* MERGEFORMAT </w:instrText>
            </w:r>
            <w:r>
              <w:rPr>
                <w:rFonts w:hint="eastAsia" w:hAnsi="Times New Roman" w:cs="Times New Roman"/>
                <w:color w:val="auto"/>
                <w:sz w:val="24"/>
                <w:szCs w:val="24"/>
                <w:lang w:val="en-US" w:eastAsia="zh-CN"/>
              </w:rPr>
              <w:fldChar w:fldCharType="separate"/>
            </w:r>
            <w:r>
              <w:rPr>
                <w:rFonts w:hint="default" w:hAnsi="Times New Roman" w:cs="Times New Roman"/>
                <w:color w:val="auto"/>
                <w:sz w:val="24"/>
                <w:szCs w:val="24"/>
                <w:lang w:val="en-US" w:eastAsia="zh-CN"/>
              </w:rPr>
              <w:t>④</w:t>
            </w:r>
            <w:r>
              <w:rPr>
                <w:rFonts w:hint="eastAsia" w:hAnsi="Times New Roman" w:cs="Times New Roman"/>
                <w:color w:val="auto"/>
                <w:sz w:val="24"/>
                <w:szCs w:val="24"/>
                <w:lang w:val="en-US" w:eastAsia="zh-CN"/>
              </w:rPr>
              <w:fldChar w:fldCharType="end"/>
            </w:r>
            <w:r>
              <w:rPr>
                <w:rFonts w:hint="eastAsia" w:hAnsi="Times New Roman" w:cs="Times New Roman"/>
                <w:color w:val="auto"/>
                <w:sz w:val="24"/>
                <w:szCs w:val="24"/>
                <w:lang w:val="en-US" w:eastAsia="zh-CN"/>
              </w:rPr>
              <w:t>超声波清洗机用水</w:t>
            </w:r>
          </w:p>
          <w:p w14:paraId="48B7C0CF">
            <w:pPr>
              <w:pStyle w:val="6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hAnsi="Times New Roman" w:cs="Times New Roman"/>
                <w:color w:val="0000FF"/>
                <w:sz w:val="24"/>
                <w:szCs w:val="24"/>
                <w:lang w:val="en-US" w:eastAsia="zh-CN"/>
              </w:rPr>
            </w:pPr>
            <w:r>
              <w:rPr>
                <w:rFonts w:hint="eastAsia" w:hAnsi="Times New Roman" w:cs="Times New Roman"/>
                <w:color w:val="auto"/>
                <w:sz w:val="24"/>
                <w:szCs w:val="24"/>
                <w:lang w:val="en-US" w:eastAsia="zh-CN"/>
              </w:rPr>
              <w:t>根据建设单位提供的资料，本项目</w:t>
            </w:r>
            <w:r>
              <w:rPr>
                <w:rFonts w:hint="eastAsia" w:ascii="Times New Roman" w:hAnsi="Times New Roman" w:cs="Times New Roman"/>
                <w:color w:val="auto"/>
                <w:sz w:val="24"/>
                <w:szCs w:val="24"/>
                <w:lang w:val="en-US" w:eastAsia="zh-CN"/>
              </w:rPr>
              <w:t>超声波清洗机需要纯水</w:t>
            </w:r>
            <w:r>
              <w:rPr>
                <w:rFonts w:hint="eastAsia" w:hAnsi="Times New Roman" w:cs="Times New Roman"/>
                <w:color w:val="auto"/>
                <w:sz w:val="24"/>
                <w:szCs w:val="24"/>
                <w:lang w:val="en-US" w:eastAsia="zh-CN"/>
              </w:rPr>
              <w:t>量约0.015</w:t>
            </w:r>
            <w:r>
              <w:rPr>
                <w:color w:val="auto"/>
                <w:sz w:val="24"/>
              </w:rPr>
              <w:t>m</w:t>
            </w:r>
            <w:r>
              <w:rPr>
                <w:color w:val="auto"/>
                <w:sz w:val="24"/>
                <w:vertAlign w:val="superscript"/>
              </w:rPr>
              <w:t>3</w:t>
            </w:r>
            <w:r>
              <w:rPr>
                <w:color w:val="auto"/>
                <w:sz w:val="24"/>
              </w:rPr>
              <w:t>/d</w:t>
            </w:r>
            <w:r>
              <w:rPr>
                <w:rFonts w:hint="eastAsia"/>
                <w:color w:val="auto"/>
                <w:sz w:val="24"/>
                <w:lang w:eastAsia="zh-CN"/>
              </w:rPr>
              <w:t>（</w:t>
            </w:r>
            <w:r>
              <w:rPr>
                <w:rFonts w:hint="eastAsia"/>
                <w:color w:val="auto"/>
                <w:sz w:val="24"/>
                <w:lang w:val="en-US" w:eastAsia="zh-CN"/>
              </w:rPr>
              <w:t>3.75</w:t>
            </w:r>
            <w:r>
              <w:rPr>
                <w:color w:val="auto"/>
                <w:sz w:val="24"/>
              </w:rPr>
              <w:t>m</w:t>
            </w:r>
            <w:r>
              <w:rPr>
                <w:color w:val="auto"/>
                <w:sz w:val="24"/>
                <w:vertAlign w:val="superscript"/>
              </w:rPr>
              <w:t>3</w:t>
            </w:r>
            <w:r>
              <w:rPr>
                <w:color w:val="auto"/>
                <w:sz w:val="24"/>
              </w:rPr>
              <w:t>/a</w:t>
            </w:r>
            <w:r>
              <w:rPr>
                <w:rFonts w:hint="eastAsia"/>
                <w:color w:val="auto"/>
                <w:sz w:val="24"/>
                <w:lang w:eastAsia="zh-CN"/>
              </w:rPr>
              <w:t>），</w:t>
            </w:r>
            <w:r>
              <w:rPr>
                <w:rFonts w:hint="eastAsia"/>
                <w:color w:val="auto"/>
                <w:sz w:val="24"/>
              </w:rPr>
              <w:t>该部分水经利用后形成的废水</w:t>
            </w:r>
            <w:r>
              <w:rPr>
                <w:rFonts w:hint="eastAsia"/>
                <w:color w:val="auto"/>
                <w:sz w:val="24"/>
                <w:lang w:val="en-US" w:eastAsia="zh-CN"/>
              </w:rPr>
              <w:t>产生系数为90%，即0.0135</w:t>
            </w:r>
            <w:r>
              <w:rPr>
                <w:rFonts w:hint="eastAsia"/>
                <w:bCs/>
                <w:color w:val="auto"/>
                <w:sz w:val="24"/>
              </w:rPr>
              <w:t>m</w:t>
            </w:r>
            <w:r>
              <w:rPr>
                <w:rFonts w:hint="eastAsia"/>
                <w:bCs/>
                <w:color w:val="auto"/>
                <w:sz w:val="24"/>
                <w:vertAlign w:val="superscript"/>
              </w:rPr>
              <w:t>3</w:t>
            </w:r>
            <w:r>
              <w:rPr>
                <w:rFonts w:hint="eastAsia"/>
                <w:color w:val="auto"/>
                <w:sz w:val="24"/>
              </w:rPr>
              <w:t>/d（</w:t>
            </w:r>
            <w:r>
              <w:rPr>
                <w:rFonts w:hint="eastAsia"/>
                <w:color w:val="auto"/>
                <w:sz w:val="24"/>
                <w:lang w:val="en-US" w:eastAsia="zh-CN"/>
              </w:rPr>
              <w:t>3.375</w:t>
            </w:r>
            <w:r>
              <w:rPr>
                <w:rFonts w:hint="eastAsia"/>
                <w:bCs/>
                <w:color w:val="auto"/>
                <w:sz w:val="24"/>
              </w:rPr>
              <w:t>m</w:t>
            </w:r>
            <w:r>
              <w:rPr>
                <w:rFonts w:hint="eastAsia"/>
                <w:bCs/>
                <w:color w:val="auto"/>
                <w:sz w:val="24"/>
                <w:vertAlign w:val="superscript"/>
              </w:rPr>
              <w:t>3</w:t>
            </w:r>
            <w:r>
              <w:rPr>
                <w:rFonts w:hint="eastAsia"/>
                <w:color w:val="auto"/>
                <w:sz w:val="24"/>
              </w:rPr>
              <w:t>/a），由于其中含有一些试剂（</w:t>
            </w:r>
            <w:r>
              <w:rPr>
                <w:rFonts w:hint="eastAsia"/>
                <w:color w:val="auto"/>
                <w:sz w:val="24"/>
                <w:lang w:val="en-US" w:eastAsia="zh-CN"/>
              </w:rPr>
              <w:t>无机废液、钯盐、醇</w:t>
            </w:r>
            <w:r>
              <w:rPr>
                <w:rFonts w:hint="eastAsia"/>
                <w:color w:val="auto"/>
                <w:sz w:val="24"/>
              </w:rPr>
              <w:t>等），根据《实验室危险废物污染控制技术规范》（DB 61/T 1716-2023）表2分类，属于废液，为危险废物。</w:t>
            </w:r>
          </w:p>
          <w:p w14:paraId="6FD92B6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 w:val="0"/>
                <w:bCs/>
                <w:color w:val="auto"/>
                <w:sz w:val="24"/>
                <w:szCs w:val="24"/>
                <w:lang w:val="en-US" w:eastAsia="zh-CN"/>
              </w:rPr>
            </w:pPr>
            <w:r>
              <w:rPr>
                <w:rFonts w:hint="eastAsia" w:ascii="Times New Roman" w:hAnsi="Times New Roman" w:eastAsia="宋体" w:cs="Times New Roman"/>
                <w:color w:val="auto"/>
                <w:sz w:val="24"/>
                <w:szCs w:val="24"/>
                <w:lang w:val="en-US" w:eastAsia="zh-CN"/>
              </w:rPr>
              <w:fldChar w:fldCharType="begin"/>
            </w:r>
            <w:r>
              <w:rPr>
                <w:rFonts w:hint="eastAsia" w:ascii="Times New Roman" w:hAnsi="Times New Roman" w:eastAsia="宋体" w:cs="Times New Roman"/>
                <w:color w:val="auto"/>
                <w:sz w:val="24"/>
                <w:szCs w:val="24"/>
                <w:lang w:val="en-US" w:eastAsia="zh-CN"/>
              </w:rPr>
              <w:instrText xml:space="preserve"> = 5 \* GB3 \* MERGEFORMAT </w:instrText>
            </w:r>
            <w:r>
              <w:rPr>
                <w:rFonts w:hint="eastAsia" w:ascii="Times New Roman" w:hAnsi="Times New Roman" w:eastAsia="宋体" w:cs="Times New Roman"/>
                <w:color w:val="auto"/>
                <w:sz w:val="24"/>
                <w:szCs w:val="24"/>
                <w:lang w:val="en-US" w:eastAsia="zh-CN"/>
              </w:rPr>
              <w:fldChar w:fldCharType="separate"/>
            </w:r>
            <w:r>
              <w:rPr>
                <w:color w:val="auto"/>
              </w:rPr>
              <w:t>⑤</w:t>
            </w:r>
            <w:r>
              <w:rPr>
                <w:rFonts w:hint="eastAsia" w:ascii="Times New Roman" w:hAnsi="Times New Roman" w:eastAsia="宋体" w:cs="Times New Roman"/>
                <w:color w:val="auto"/>
                <w:sz w:val="24"/>
                <w:szCs w:val="24"/>
                <w:lang w:val="en-US" w:eastAsia="zh-CN"/>
              </w:rPr>
              <w:fldChar w:fldCharType="end"/>
            </w:r>
            <w:r>
              <w:rPr>
                <w:rFonts w:hint="eastAsia"/>
                <w:color w:val="auto"/>
                <w:sz w:val="24"/>
              </w:rPr>
              <w:t>器皿清洗用水</w:t>
            </w:r>
          </w:p>
          <w:p w14:paraId="05A75B3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Cs/>
                <w:color w:val="auto"/>
                <w:sz w:val="24"/>
              </w:rPr>
            </w:pPr>
            <w:r>
              <w:rPr>
                <w:rFonts w:hint="eastAsia"/>
                <w:color w:val="auto"/>
                <w:sz w:val="24"/>
              </w:rPr>
              <w:t>根据建设单位提供资料，</w:t>
            </w:r>
            <w:r>
              <w:rPr>
                <w:rFonts w:hint="eastAsia"/>
                <w:color w:val="auto"/>
                <w:sz w:val="24"/>
                <w:lang w:val="en-US" w:eastAsia="zh-CN"/>
              </w:rPr>
              <w:t>调配浆料过程中</w:t>
            </w:r>
            <w:r>
              <w:rPr>
                <w:rFonts w:hint="eastAsia"/>
                <w:color w:val="auto"/>
                <w:sz w:val="24"/>
              </w:rPr>
              <w:t>器皿清洗水用量约为0.01</w:t>
            </w:r>
            <w:r>
              <w:rPr>
                <w:rFonts w:hint="eastAsia"/>
                <w:bCs/>
                <w:color w:val="auto"/>
                <w:sz w:val="24"/>
              </w:rPr>
              <w:t>m</w:t>
            </w:r>
            <w:r>
              <w:rPr>
                <w:rFonts w:hint="eastAsia"/>
                <w:bCs/>
                <w:color w:val="auto"/>
                <w:sz w:val="24"/>
                <w:vertAlign w:val="superscript"/>
              </w:rPr>
              <w:t>3</w:t>
            </w:r>
            <w:r>
              <w:rPr>
                <w:rFonts w:hint="eastAsia"/>
                <w:color w:val="auto"/>
                <w:sz w:val="24"/>
              </w:rPr>
              <w:t>/d（2.</w:t>
            </w:r>
            <w:r>
              <w:rPr>
                <w:rFonts w:hint="eastAsia"/>
                <w:color w:val="auto"/>
                <w:sz w:val="24"/>
                <w:lang w:val="en-US" w:eastAsia="zh-CN"/>
              </w:rPr>
              <w:t>48</w:t>
            </w:r>
            <w:r>
              <w:rPr>
                <w:rFonts w:hint="eastAsia"/>
                <w:bCs/>
                <w:color w:val="auto"/>
                <w:sz w:val="24"/>
              </w:rPr>
              <w:t>m</w:t>
            </w:r>
            <w:r>
              <w:rPr>
                <w:rFonts w:hint="eastAsia"/>
                <w:bCs/>
                <w:color w:val="auto"/>
                <w:sz w:val="24"/>
                <w:vertAlign w:val="superscript"/>
              </w:rPr>
              <w:t>3</w:t>
            </w:r>
            <w:r>
              <w:rPr>
                <w:rFonts w:hint="eastAsia"/>
                <w:color w:val="auto"/>
                <w:sz w:val="24"/>
              </w:rPr>
              <w:t>/a），废水产生量以</w:t>
            </w:r>
            <w:r>
              <w:rPr>
                <w:rFonts w:hint="eastAsia"/>
                <w:color w:val="auto"/>
                <w:sz w:val="24"/>
                <w:lang w:val="en-US" w:eastAsia="zh-CN"/>
              </w:rPr>
              <w:t>9</w:t>
            </w:r>
            <w:r>
              <w:rPr>
                <w:rFonts w:hint="eastAsia"/>
                <w:color w:val="auto"/>
                <w:sz w:val="24"/>
              </w:rPr>
              <w:t>0%核算，则器皿</w:t>
            </w:r>
            <w:r>
              <w:rPr>
                <w:rFonts w:hint="eastAsia"/>
                <w:color w:val="auto"/>
                <w:sz w:val="24"/>
                <w:lang w:val="en-US" w:eastAsia="zh-CN"/>
              </w:rPr>
              <w:t>清洗</w:t>
            </w:r>
            <w:r>
              <w:rPr>
                <w:rFonts w:hint="eastAsia"/>
                <w:color w:val="auto"/>
                <w:sz w:val="24"/>
              </w:rPr>
              <w:t>废水产生量为0.00</w:t>
            </w:r>
            <w:r>
              <w:rPr>
                <w:rFonts w:hint="eastAsia"/>
                <w:color w:val="auto"/>
                <w:sz w:val="24"/>
                <w:lang w:val="en-US" w:eastAsia="zh-CN"/>
              </w:rPr>
              <w:t>9</w:t>
            </w:r>
            <w:r>
              <w:rPr>
                <w:rFonts w:hint="eastAsia"/>
                <w:bCs/>
                <w:color w:val="auto"/>
                <w:sz w:val="24"/>
              </w:rPr>
              <w:t>m</w:t>
            </w:r>
            <w:r>
              <w:rPr>
                <w:rFonts w:hint="eastAsia"/>
                <w:bCs/>
                <w:color w:val="auto"/>
                <w:sz w:val="24"/>
                <w:vertAlign w:val="superscript"/>
              </w:rPr>
              <w:t>3</w:t>
            </w:r>
            <w:r>
              <w:rPr>
                <w:rFonts w:hint="eastAsia"/>
                <w:color w:val="auto"/>
                <w:sz w:val="24"/>
              </w:rPr>
              <w:t>/d（</w:t>
            </w:r>
            <w:r>
              <w:rPr>
                <w:rFonts w:hint="eastAsia"/>
                <w:color w:val="auto"/>
                <w:sz w:val="24"/>
                <w:lang w:val="en-US" w:eastAsia="zh-CN"/>
              </w:rPr>
              <w:t>2.23</w:t>
            </w:r>
            <w:r>
              <w:rPr>
                <w:rFonts w:hint="eastAsia"/>
                <w:bCs/>
                <w:color w:val="auto"/>
                <w:sz w:val="24"/>
              </w:rPr>
              <w:t>m</w:t>
            </w:r>
            <w:r>
              <w:rPr>
                <w:rFonts w:hint="eastAsia"/>
                <w:bCs/>
                <w:color w:val="auto"/>
                <w:sz w:val="24"/>
                <w:vertAlign w:val="superscript"/>
              </w:rPr>
              <w:t>3</w:t>
            </w:r>
            <w:r>
              <w:rPr>
                <w:rFonts w:hint="eastAsia"/>
                <w:color w:val="auto"/>
                <w:sz w:val="24"/>
              </w:rPr>
              <w:t>/a）。</w:t>
            </w:r>
            <w:r>
              <w:rPr>
                <w:rFonts w:hint="eastAsia"/>
                <w:color w:val="auto"/>
                <w:sz w:val="24"/>
                <w:lang w:val="en-US" w:eastAsia="zh-CN"/>
              </w:rPr>
              <w:t>建设单位提供的器皿清洗废水pH值在6~9之间，故</w:t>
            </w:r>
            <w:r>
              <w:rPr>
                <w:rFonts w:hint="eastAsia"/>
                <w:color w:val="auto"/>
                <w:sz w:val="24"/>
              </w:rPr>
              <w:t>器皿</w:t>
            </w:r>
            <w:r>
              <w:rPr>
                <w:rFonts w:hint="eastAsia"/>
                <w:color w:val="auto"/>
                <w:sz w:val="24"/>
                <w:lang w:val="en-US" w:eastAsia="zh-CN"/>
              </w:rPr>
              <w:t>清洗</w:t>
            </w:r>
            <w:r>
              <w:rPr>
                <w:rFonts w:hint="eastAsia"/>
                <w:color w:val="auto"/>
                <w:sz w:val="24"/>
              </w:rPr>
              <w:t>废水</w:t>
            </w:r>
            <w:r>
              <w:rPr>
                <w:rFonts w:hint="eastAsia"/>
                <w:color w:val="auto"/>
                <w:sz w:val="24"/>
                <w:lang w:val="en-US" w:eastAsia="zh-CN"/>
              </w:rPr>
              <w:t>与</w:t>
            </w:r>
            <w:r>
              <w:rPr>
                <w:rFonts w:hint="eastAsia"/>
                <w:color w:val="auto"/>
                <w:sz w:val="24"/>
              </w:rPr>
              <w:t>纯水制备浓水</w:t>
            </w:r>
            <w:r>
              <w:rPr>
                <w:rFonts w:hint="eastAsia"/>
                <w:color w:val="auto"/>
                <w:sz w:val="24"/>
                <w:lang w:val="en-US" w:eastAsia="zh-CN"/>
              </w:rPr>
              <w:t>、生活污水一同排往园区化粪池</w:t>
            </w:r>
            <w:r>
              <w:rPr>
                <w:rFonts w:hint="eastAsia"/>
                <w:color w:val="auto"/>
                <w:sz w:val="24"/>
              </w:rPr>
              <w:t>，</w:t>
            </w:r>
            <w:r>
              <w:rPr>
                <w:rFonts w:hint="eastAsia"/>
                <w:color w:val="auto"/>
                <w:kern w:val="0"/>
                <w:sz w:val="24"/>
              </w:rPr>
              <w:t>处理后排入市政污水管网</w:t>
            </w:r>
            <w:r>
              <w:rPr>
                <w:rFonts w:hint="eastAsia"/>
                <w:bCs/>
                <w:color w:val="auto"/>
                <w:sz w:val="24"/>
              </w:rPr>
              <w:t>。</w:t>
            </w:r>
          </w:p>
          <w:p w14:paraId="70E8CEFD">
            <w:pPr>
              <w:pStyle w:val="5"/>
              <w:ind w:firstLine="480" w:firstLineChars="200"/>
              <w:rPr>
                <w:color w:val="auto"/>
              </w:rPr>
            </w:pPr>
            <w:r>
              <w:rPr>
                <w:color w:val="auto"/>
                <w:sz w:val="24"/>
              </w:rPr>
              <w:t>综上所述，</w:t>
            </w:r>
            <w:r>
              <w:rPr>
                <w:rFonts w:hint="eastAsia"/>
                <w:color w:val="auto"/>
                <w:sz w:val="24"/>
              </w:rPr>
              <w:t>项目日最大用、排水情况见下表，水平衡图见图2-1。</w:t>
            </w:r>
          </w:p>
          <w:p w14:paraId="2E42957A">
            <w:pPr>
              <w:numPr>
                <w:ilvl w:val="0"/>
                <w:numId w:val="0"/>
              </w:numPr>
              <w:adjustRightInd w:val="0"/>
              <w:snapToGrid w:val="0"/>
              <w:spacing w:line="240" w:lineRule="auto"/>
              <w:jc w:val="center"/>
              <w:rPr>
                <w:rFonts w:hint="default" w:ascii="Times New Roman" w:hAnsi="Times New Roman" w:cs="Times New Roman"/>
                <w:b/>
                <w:bCs w:val="0"/>
                <w:color w:val="auto"/>
                <w:sz w:val="24"/>
                <w:szCs w:val="24"/>
                <w:lang w:val="en-US" w:eastAsia="zh-CN"/>
              </w:rPr>
            </w:pPr>
          </w:p>
          <w:p w14:paraId="35376CB5">
            <w:pPr>
              <w:numPr>
                <w:ilvl w:val="0"/>
                <w:numId w:val="0"/>
              </w:numPr>
              <w:adjustRightInd w:val="0"/>
              <w:snapToGrid w:val="0"/>
              <w:spacing w:line="240" w:lineRule="auto"/>
              <w:jc w:val="center"/>
              <w:rPr>
                <w:rFonts w:hint="default" w:ascii="Times New Roman" w:hAnsi="Times New Roman" w:cs="Times New Roman"/>
                <w:b/>
                <w:bCs w:val="0"/>
                <w:color w:val="auto"/>
                <w:sz w:val="24"/>
                <w:szCs w:val="24"/>
                <w:lang w:val="en-US" w:eastAsia="zh-CN"/>
              </w:rPr>
            </w:pPr>
          </w:p>
          <w:p w14:paraId="37029491">
            <w:pPr>
              <w:numPr>
                <w:ilvl w:val="0"/>
                <w:numId w:val="0"/>
              </w:numPr>
              <w:adjustRightInd w:val="0"/>
              <w:snapToGrid w:val="0"/>
              <w:spacing w:line="240" w:lineRule="auto"/>
              <w:jc w:val="center"/>
              <w:rPr>
                <w:rFonts w:hint="default" w:ascii="Times New Roman" w:hAnsi="Times New Roman" w:cs="Times New Roman"/>
                <w:b/>
                <w:bCs w:val="0"/>
                <w:color w:val="auto"/>
                <w:sz w:val="24"/>
                <w:szCs w:val="24"/>
                <w:lang w:val="en-US" w:eastAsia="zh-CN"/>
              </w:rPr>
            </w:pPr>
          </w:p>
          <w:p w14:paraId="5ED4BEF2">
            <w:pPr>
              <w:numPr>
                <w:ilvl w:val="0"/>
                <w:numId w:val="0"/>
              </w:numPr>
              <w:adjustRightInd w:val="0"/>
              <w:snapToGrid w:val="0"/>
              <w:spacing w:line="240" w:lineRule="auto"/>
              <w:jc w:val="center"/>
              <w:rPr>
                <w:rFonts w:hint="default" w:ascii="Times New Roman" w:hAnsi="Times New Roman" w:cs="Times New Roman"/>
                <w:b/>
                <w:bCs w:val="0"/>
                <w:color w:val="auto"/>
                <w:sz w:val="24"/>
                <w:szCs w:val="24"/>
                <w:lang w:val="en-US" w:eastAsia="zh-CN"/>
              </w:rPr>
            </w:pPr>
            <w:r>
              <w:rPr>
                <w:rFonts w:hint="default" w:ascii="Times New Roman" w:hAnsi="Times New Roman" w:cs="Times New Roman"/>
                <w:b/>
                <w:bCs w:val="0"/>
                <w:color w:val="auto"/>
                <w:sz w:val="24"/>
                <w:szCs w:val="24"/>
                <w:lang w:val="en-US" w:eastAsia="zh-CN"/>
              </w:rPr>
              <w:t>表2-6</w:t>
            </w:r>
            <w:r>
              <w:rPr>
                <w:rFonts w:hint="eastAsia" w:ascii="Times New Roman" w:hAnsi="Times New Roman" w:cs="Times New Roman"/>
                <w:b/>
                <w:bCs w:val="0"/>
                <w:color w:val="auto"/>
                <w:sz w:val="24"/>
                <w:szCs w:val="24"/>
                <w:lang w:val="en-US" w:eastAsia="zh-CN"/>
              </w:rPr>
              <w:t xml:space="preserve">  </w:t>
            </w:r>
            <w:r>
              <w:rPr>
                <w:rFonts w:hint="default" w:ascii="Times New Roman" w:hAnsi="Times New Roman" w:cs="Times New Roman"/>
                <w:b/>
                <w:bCs w:val="0"/>
                <w:color w:val="auto"/>
                <w:sz w:val="24"/>
                <w:szCs w:val="24"/>
                <w:lang w:val="en-US" w:eastAsia="zh-CN"/>
              </w:rPr>
              <w:t>项目给排水量一览表</w:t>
            </w:r>
          </w:p>
          <w:tbl>
            <w:tblPr>
              <w:tblStyle w:val="26"/>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4"/>
              <w:gridCol w:w="1524"/>
              <w:gridCol w:w="1184"/>
              <w:gridCol w:w="1095"/>
              <w:gridCol w:w="888"/>
              <w:gridCol w:w="980"/>
              <w:gridCol w:w="2059"/>
            </w:tblGrid>
            <w:tr w14:paraId="0B69E1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 w:type="pct"/>
                  <w:tcBorders>
                    <w:tl2br w:val="nil"/>
                    <w:tr2bl w:val="nil"/>
                  </w:tcBorders>
                  <w:noWrap w:val="0"/>
                  <w:vAlign w:val="center"/>
                </w:tcPr>
                <w:p w14:paraId="6DB9F848">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序号</w:t>
                  </w:r>
                </w:p>
              </w:tc>
              <w:tc>
                <w:tcPr>
                  <w:tcW w:w="916" w:type="pct"/>
                  <w:tcBorders>
                    <w:tl2br w:val="nil"/>
                    <w:tr2bl w:val="nil"/>
                  </w:tcBorders>
                  <w:noWrap w:val="0"/>
                  <w:vAlign w:val="center"/>
                </w:tcPr>
                <w:p w14:paraId="155D5F10">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类别</w:t>
                  </w:r>
                </w:p>
              </w:tc>
              <w:tc>
                <w:tcPr>
                  <w:tcW w:w="712" w:type="pct"/>
                  <w:tcBorders>
                    <w:tl2br w:val="nil"/>
                    <w:tr2bl w:val="nil"/>
                  </w:tcBorders>
                  <w:noWrap w:val="0"/>
                  <w:vAlign w:val="center"/>
                </w:tcPr>
                <w:p w14:paraId="0DA69CB6">
                  <w:pPr>
                    <w:adjustRightInd w:val="0"/>
                    <w:snapToGrid w:val="0"/>
                    <w:ind w:left="-105" w:leftChars="-50" w:right="-105" w:rightChars="-50"/>
                    <w:jc w:val="center"/>
                    <w:rPr>
                      <w:rFonts w:hint="default" w:ascii="Times New Roman" w:hAnsi="Times New Roman" w:cs="Times New Roman"/>
                      <w:b/>
                      <w:bCs/>
                      <w:color w:val="auto"/>
                      <w:sz w:val="21"/>
                      <w:szCs w:val="21"/>
                    </w:rPr>
                  </w:pPr>
                  <w:r>
                    <w:rPr>
                      <w:rFonts w:hint="eastAsia" w:ascii="Times New Roman" w:hAnsi="Times New Roman" w:eastAsia="宋体" w:cs="Times New Roman"/>
                      <w:b/>
                      <w:bCs/>
                      <w:color w:val="auto"/>
                      <w:sz w:val="21"/>
                      <w:szCs w:val="21"/>
                      <w:lang w:val="en-US" w:eastAsia="zh-CN"/>
                    </w:rPr>
                    <w:t>自来水</w:t>
                  </w:r>
                  <w:r>
                    <w:rPr>
                      <w:rFonts w:hint="default" w:ascii="Times New Roman" w:hAnsi="Times New Roman" w:eastAsia="宋体" w:cs="Times New Roman"/>
                      <w:b/>
                      <w:bCs/>
                      <w:color w:val="auto"/>
                      <w:sz w:val="21"/>
                      <w:szCs w:val="21"/>
                    </w:rPr>
                    <w:t>用量m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/d</w:t>
                  </w:r>
                </w:p>
              </w:tc>
              <w:tc>
                <w:tcPr>
                  <w:tcW w:w="658" w:type="pct"/>
                  <w:tcBorders>
                    <w:tl2br w:val="nil"/>
                    <w:tr2bl w:val="nil"/>
                  </w:tcBorders>
                  <w:noWrap w:val="0"/>
                  <w:vAlign w:val="center"/>
                </w:tcPr>
                <w:p w14:paraId="79C9B4AD">
                  <w:pPr>
                    <w:adjustRightInd w:val="0"/>
                    <w:snapToGrid w:val="0"/>
                    <w:jc w:val="center"/>
                    <w:rPr>
                      <w:rFonts w:hint="eastAsia"/>
                      <w:b/>
                      <w:bCs/>
                      <w:color w:val="auto"/>
                      <w:lang w:val="en-US" w:eastAsia="zh-CN"/>
                    </w:rPr>
                  </w:pPr>
                  <w:r>
                    <w:rPr>
                      <w:rFonts w:hint="eastAsia"/>
                      <w:b/>
                      <w:bCs/>
                      <w:color w:val="auto"/>
                      <w:lang w:val="en-US" w:eastAsia="zh-CN"/>
                    </w:rPr>
                    <w:t>纯水用量</w:t>
                  </w:r>
                </w:p>
                <w:p w14:paraId="58831636">
                  <w:pPr>
                    <w:pStyle w:val="42"/>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/d</w:t>
                  </w:r>
                </w:p>
              </w:tc>
              <w:tc>
                <w:tcPr>
                  <w:tcW w:w="534" w:type="pct"/>
                  <w:tcBorders>
                    <w:tl2br w:val="nil"/>
                    <w:tr2bl w:val="nil"/>
                  </w:tcBorders>
                  <w:noWrap w:val="0"/>
                  <w:vAlign w:val="center"/>
                </w:tcPr>
                <w:p w14:paraId="3A4154A3">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b/>
                      <w:bCs w:val="0"/>
                      <w:color w:val="auto"/>
                      <w:sz w:val="21"/>
                      <w:szCs w:val="21"/>
                      <w:lang w:val="en-US" w:eastAsia="zh-CN"/>
                    </w:rPr>
                  </w:pPr>
                  <w:r>
                    <w:rPr>
                      <w:rFonts w:hint="eastAsia" w:ascii="Times New Roman" w:hAnsi="Times New Roman" w:cs="Times New Roman"/>
                      <w:b/>
                      <w:bCs w:val="0"/>
                      <w:color w:val="auto"/>
                      <w:sz w:val="21"/>
                      <w:szCs w:val="21"/>
                      <w:lang w:val="en-US" w:eastAsia="zh-CN"/>
                    </w:rPr>
                    <w:t>损耗量</w:t>
                  </w:r>
                  <w:r>
                    <w:rPr>
                      <w:rFonts w:hint="default" w:ascii="Times New Roman" w:hAnsi="Times New Roman" w:cs="Times New Roman"/>
                      <w:b/>
                      <w:bCs w:val="0"/>
                      <w:color w:val="auto"/>
                      <w:sz w:val="21"/>
                      <w:szCs w:val="21"/>
                    </w:rPr>
                    <w:t>m</w:t>
                  </w:r>
                  <w:r>
                    <w:rPr>
                      <w:rFonts w:hint="default" w:ascii="Times New Roman" w:hAnsi="Times New Roman" w:cs="Times New Roman"/>
                      <w:b/>
                      <w:bCs w:val="0"/>
                      <w:color w:val="auto"/>
                      <w:sz w:val="21"/>
                      <w:szCs w:val="21"/>
                      <w:vertAlign w:val="superscript"/>
                    </w:rPr>
                    <w:t>3</w:t>
                  </w:r>
                  <w:r>
                    <w:rPr>
                      <w:rFonts w:hint="default" w:ascii="Times New Roman" w:hAnsi="Times New Roman" w:cs="Times New Roman"/>
                      <w:b/>
                      <w:bCs w:val="0"/>
                      <w:color w:val="auto"/>
                      <w:sz w:val="21"/>
                      <w:szCs w:val="21"/>
                    </w:rPr>
                    <w:t>/d</w:t>
                  </w:r>
                </w:p>
              </w:tc>
              <w:tc>
                <w:tcPr>
                  <w:tcW w:w="589" w:type="pct"/>
                  <w:tcBorders>
                    <w:tl2br w:val="nil"/>
                    <w:tr2bl w:val="nil"/>
                  </w:tcBorders>
                  <w:noWrap w:val="0"/>
                  <w:vAlign w:val="center"/>
                </w:tcPr>
                <w:p w14:paraId="423D7C77">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val="0"/>
                      <w:color w:val="auto"/>
                      <w:sz w:val="21"/>
                      <w:szCs w:val="21"/>
                      <w:lang w:eastAsia="zh-CN"/>
                    </w:rPr>
                  </w:pPr>
                  <w:r>
                    <w:rPr>
                      <w:rFonts w:hint="eastAsia" w:ascii="Times New Roman" w:hAnsi="Times New Roman" w:cs="Times New Roman"/>
                      <w:b/>
                      <w:bCs w:val="0"/>
                      <w:color w:val="auto"/>
                      <w:sz w:val="21"/>
                      <w:szCs w:val="21"/>
                      <w:lang w:val="en-US" w:eastAsia="zh-CN"/>
                    </w:rPr>
                    <w:t>废水</w:t>
                  </w:r>
                  <w:r>
                    <w:rPr>
                      <w:rFonts w:hint="default" w:ascii="Times New Roman" w:hAnsi="Times New Roman" w:cs="Times New Roman"/>
                      <w:b/>
                      <w:bCs w:val="0"/>
                      <w:color w:val="auto"/>
                      <w:sz w:val="21"/>
                      <w:szCs w:val="21"/>
                    </w:rPr>
                    <w:t>量m</w:t>
                  </w:r>
                  <w:r>
                    <w:rPr>
                      <w:rFonts w:hint="default" w:ascii="Times New Roman" w:hAnsi="Times New Roman" w:cs="Times New Roman"/>
                      <w:b/>
                      <w:bCs w:val="0"/>
                      <w:color w:val="auto"/>
                      <w:sz w:val="21"/>
                      <w:szCs w:val="21"/>
                      <w:vertAlign w:val="superscript"/>
                    </w:rPr>
                    <w:t>3</w:t>
                  </w:r>
                  <w:r>
                    <w:rPr>
                      <w:rFonts w:hint="default" w:ascii="Times New Roman" w:hAnsi="Times New Roman" w:cs="Times New Roman"/>
                      <w:b/>
                      <w:bCs w:val="0"/>
                      <w:color w:val="auto"/>
                      <w:sz w:val="21"/>
                      <w:szCs w:val="21"/>
                    </w:rPr>
                    <w:t>/d</w:t>
                  </w:r>
                </w:p>
              </w:tc>
              <w:tc>
                <w:tcPr>
                  <w:tcW w:w="1238" w:type="pct"/>
                  <w:tcBorders>
                    <w:tl2br w:val="nil"/>
                    <w:tr2bl w:val="nil"/>
                  </w:tcBorders>
                  <w:noWrap w:val="0"/>
                  <w:vAlign w:val="center"/>
                </w:tcPr>
                <w:p w14:paraId="42DA24D3">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b/>
                      <w:bCs w:val="0"/>
                      <w:color w:val="auto"/>
                      <w:sz w:val="21"/>
                      <w:szCs w:val="21"/>
                      <w:lang w:eastAsia="zh-CN"/>
                    </w:rPr>
                  </w:pPr>
                  <w:r>
                    <w:rPr>
                      <w:rFonts w:hint="eastAsia" w:ascii="Times New Roman" w:hAnsi="Times New Roman" w:cs="Times New Roman"/>
                      <w:b/>
                      <w:bCs w:val="0"/>
                      <w:color w:val="auto"/>
                      <w:sz w:val="21"/>
                      <w:szCs w:val="21"/>
                      <w:lang w:val="en-US" w:eastAsia="zh-CN"/>
                    </w:rPr>
                    <w:t>排放去向</w:t>
                  </w:r>
                </w:p>
              </w:tc>
            </w:tr>
            <w:tr w14:paraId="78A6A1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 w:type="pct"/>
                  <w:tcBorders>
                    <w:tl2br w:val="nil"/>
                    <w:tr2bl w:val="nil"/>
                  </w:tcBorders>
                  <w:noWrap w:val="0"/>
                  <w:vAlign w:val="center"/>
                </w:tcPr>
                <w:p w14:paraId="5227E942">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w:t>
                  </w:r>
                </w:p>
              </w:tc>
              <w:tc>
                <w:tcPr>
                  <w:tcW w:w="916" w:type="pct"/>
                  <w:tcBorders>
                    <w:tl2br w:val="nil"/>
                    <w:tr2bl w:val="nil"/>
                  </w:tcBorders>
                  <w:noWrap w:val="0"/>
                  <w:vAlign w:val="center"/>
                </w:tcPr>
                <w:p w14:paraId="7541870D">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生活用水</w:t>
                  </w:r>
                </w:p>
              </w:tc>
              <w:tc>
                <w:tcPr>
                  <w:tcW w:w="712" w:type="pct"/>
                  <w:tcBorders>
                    <w:tl2br w:val="nil"/>
                    <w:tr2bl w:val="nil"/>
                  </w:tcBorders>
                  <w:noWrap w:val="0"/>
                  <w:vAlign w:val="center"/>
                </w:tcPr>
                <w:p w14:paraId="50DBF0C8">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w:t>
                  </w:r>
                </w:p>
              </w:tc>
              <w:tc>
                <w:tcPr>
                  <w:tcW w:w="658" w:type="pct"/>
                  <w:tcBorders>
                    <w:tl2br w:val="nil"/>
                    <w:tr2bl w:val="nil"/>
                  </w:tcBorders>
                  <w:noWrap w:val="0"/>
                  <w:vAlign w:val="center"/>
                </w:tcPr>
                <w:p w14:paraId="41E1754E">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w:t>
                  </w:r>
                </w:p>
              </w:tc>
              <w:tc>
                <w:tcPr>
                  <w:tcW w:w="534" w:type="pct"/>
                  <w:tcBorders>
                    <w:tl2br w:val="nil"/>
                    <w:tr2bl w:val="nil"/>
                  </w:tcBorders>
                  <w:noWrap w:val="0"/>
                  <w:vAlign w:val="center"/>
                </w:tcPr>
                <w:p w14:paraId="2DE9FFD5">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0.2</w:t>
                  </w:r>
                </w:p>
              </w:tc>
              <w:tc>
                <w:tcPr>
                  <w:tcW w:w="589" w:type="pct"/>
                  <w:tcBorders>
                    <w:tl2br w:val="nil"/>
                    <w:tr2bl w:val="nil"/>
                  </w:tcBorders>
                  <w:noWrap w:val="0"/>
                  <w:vAlign w:val="center"/>
                </w:tcPr>
                <w:p w14:paraId="5041BAEC">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0.8</w:t>
                  </w:r>
                </w:p>
              </w:tc>
              <w:tc>
                <w:tcPr>
                  <w:tcW w:w="1238" w:type="pct"/>
                  <w:vMerge w:val="restart"/>
                  <w:tcBorders>
                    <w:tl2br w:val="nil"/>
                    <w:tr2bl w:val="nil"/>
                  </w:tcBorders>
                  <w:noWrap w:val="0"/>
                  <w:vAlign w:val="center"/>
                </w:tcPr>
                <w:p w14:paraId="477C08F0">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经化粪池处理后，排入市政污水管网</w:t>
                  </w:r>
                </w:p>
              </w:tc>
            </w:tr>
            <w:tr w14:paraId="7DB659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 w:type="pct"/>
                  <w:tcBorders>
                    <w:tl2br w:val="nil"/>
                    <w:tr2bl w:val="nil"/>
                  </w:tcBorders>
                  <w:noWrap w:val="0"/>
                  <w:vAlign w:val="center"/>
                </w:tcPr>
                <w:p w14:paraId="0D18A9A0">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w:t>
                  </w:r>
                </w:p>
              </w:tc>
              <w:tc>
                <w:tcPr>
                  <w:tcW w:w="916" w:type="pct"/>
                  <w:tcBorders>
                    <w:tl2br w:val="nil"/>
                    <w:tr2bl w:val="nil"/>
                  </w:tcBorders>
                  <w:noWrap w:val="0"/>
                  <w:vAlign w:val="center"/>
                </w:tcPr>
                <w:p w14:paraId="24A95D51">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val="en-US" w:eastAsia="zh-CN"/>
                    </w:rPr>
                    <w:t>纯水机制备</w:t>
                  </w:r>
                  <w:r>
                    <w:rPr>
                      <w:rFonts w:hint="default" w:ascii="Times New Roman" w:hAnsi="Times New Roman" w:eastAsia="宋体" w:cs="Times New Roman"/>
                      <w:b w:val="0"/>
                      <w:bCs/>
                      <w:color w:val="auto"/>
                      <w:sz w:val="21"/>
                      <w:szCs w:val="21"/>
                      <w:lang w:val="en-US" w:eastAsia="zh-CN"/>
                    </w:rPr>
                    <w:t>用水</w:t>
                  </w:r>
                </w:p>
              </w:tc>
              <w:tc>
                <w:tcPr>
                  <w:tcW w:w="712" w:type="pct"/>
                  <w:tcBorders>
                    <w:tl2br w:val="nil"/>
                    <w:tr2bl w:val="nil"/>
                  </w:tcBorders>
                  <w:noWrap w:val="0"/>
                  <w:vAlign w:val="center"/>
                </w:tcPr>
                <w:p w14:paraId="4A9BFDD3">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0.0255</w:t>
                  </w:r>
                </w:p>
              </w:tc>
              <w:tc>
                <w:tcPr>
                  <w:tcW w:w="658" w:type="pct"/>
                  <w:tcBorders>
                    <w:tl2br w:val="nil"/>
                    <w:tr2bl w:val="nil"/>
                  </w:tcBorders>
                  <w:noWrap w:val="0"/>
                  <w:vAlign w:val="center"/>
                </w:tcPr>
                <w:p w14:paraId="6785F7D8">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w:t>
                  </w:r>
                </w:p>
              </w:tc>
              <w:tc>
                <w:tcPr>
                  <w:tcW w:w="534" w:type="pct"/>
                  <w:tcBorders>
                    <w:tl2br w:val="nil"/>
                    <w:tr2bl w:val="nil"/>
                  </w:tcBorders>
                  <w:noWrap w:val="0"/>
                  <w:vAlign w:val="center"/>
                </w:tcPr>
                <w:p w14:paraId="63CB581B">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0.0153</w:t>
                  </w:r>
                </w:p>
              </w:tc>
              <w:tc>
                <w:tcPr>
                  <w:tcW w:w="589" w:type="pct"/>
                  <w:tcBorders>
                    <w:tl2br w:val="nil"/>
                    <w:tr2bl w:val="nil"/>
                  </w:tcBorders>
                  <w:noWrap w:val="0"/>
                  <w:vAlign w:val="center"/>
                </w:tcPr>
                <w:p w14:paraId="70809803">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0.0102</w:t>
                  </w:r>
                </w:p>
              </w:tc>
              <w:tc>
                <w:tcPr>
                  <w:tcW w:w="1238" w:type="pct"/>
                  <w:vMerge w:val="continue"/>
                  <w:tcBorders>
                    <w:tl2br w:val="nil"/>
                    <w:tr2bl w:val="nil"/>
                  </w:tcBorders>
                  <w:noWrap w:val="0"/>
                  <w:vAlign w:val="center"/>
                </w:tcPr>
                <w:p w14:paraId="15DA85D4">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val="0"/>
                      <w:bCs/>
                      <w:color w:val="auto"/>
                      <w:sz w:val="21"/>
                      <w:szCs w:val="21"/>
                      <w:lang w:val="en-US" w:eastAsia="zh-CN"/>
                    </w:rPr>
                  </w:pPr>
                </w:p>
              </w:tc>
            </w:tr>
            <w:tr w14:paraId="445F10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351" w:type="pct"/>
                  <w:tcBorders>
                    <w:tl2br w:val="nil"/>
                    <w:tr2bl w:val="nil"/>
                  </w:tcBorders>
                  <w:noWrap w:val="0"/>
                  <w:vAlign w:val="center"/>
                </w:tcPr>
                <w:p w14:paraId="5EB6B85E">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3</w:t>
                  </w:r>
                </w:p>
              </w:tc>
              <w:tc>
                <w:tcPr>
                  <w:tcW w:w="916" w:type="pct"/>
                  <w:tcBorders>
                    <w:tl2br w:val="nil"/>
                    <w:tr2bl w:val="nil"/>
                  </w:tcBorders>
                  <w:noWrap w:val="0"/>
                  <w:vAlign w:val="center"/>
                </w:tcPr>
                <w:p w14:paraId="308391A7">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val="en-US" w:eastAsia="zh-CN"/>
                    </w:rPr>
                    <w:t>器皿清洗用</w:t>
                  </w:r>
                  <w:r>
                    <w:rPr>
                      <w:rFonts w:hint="default" w:ascii="Times New Roman" w:hAnsi="Times New Roman" w:eastAsia="宋体" w:cs="Times New Roman"/>
                      <w:b w:val="0"/>
                      <w:bCs/>
                      <w:color w:val="auto"/>
                      <w:sz w:val="21"/>
                      <w:szCs w:val="21"/>
                      <w:lang w:val="en-US" w:eastAsia="zh-CN"/>
                    </w:rPr>
                    <w:t>水</w:t>
                  </w:r>
                </w:p>
              </w:tc>
              <w:tc>
                <w:tcPr>
                  <w:tcW w:w="712" w:type="pct"/>
                  <w:tcBorders>
                    <w:tl2br w:val="nil"/>
                    <w:tr2bl w:val="nil"/>
                  </w:tcBorders>
                  <w:noWrap w:val="0"/>
                  <w:vAlign w:val="center"/>
                </w:tcPr>
                <w:p w14:paraId="0A071A2C">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0.01</w:t>
                  </w:r>
                </w:p>
              </w:tc>
              <w:tc>
                <w:tcPr>
                  <w:tcW w:w="658" w:type="pct"/>
                  <w:tcBorders>
                    <w:tl2br w:val="nil"/>
                    <w:tr2bl w:val="nil"/>
                  </w:tcBorders>
                  <w:noWrap w:val="0"/>
                  <w:vAlign w:val="center"/>
                </w:tcPr>
                <w:p w14:paraId="149B8FD8">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w:t>
                  </w:r>
                </w:p>
              </w:tc>
              <w:tc>
                <w:tcPr>
                  <w:tcW w:w="534" w:type="pct"/>
                  <w:tcBorders>
                    <w:tl2br w:val="nil"/>
                    <w:tr2bl w:val="nil"/>
                  </w:tcBorders>
                  <w:noWrap w:val="0"/>
                  <w:vAlign w:val="center"/>
                </w:tcPr>
                <w:p w14:paraId="237B39DF">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0.00</w:t>
                  </w:r>
                  <w:r>
                    <w:rPr>
                      <w:rFonts w:hint="eastAsia" w:cs="Times New Roman"/>
                      <w:b w:val="0"/>
                      <w:bCs/>
                      <w:color w:val="auto"/>
                      <w:sz w:val="21"/>
                      <w:szCs w:val="21"/>
                      <w:lang w:val="en-US" w:eastAsia="zh-CN"/>
                    </w:rPr>
                    <w:t>1</w:t>
                  </w:r>
                </w:p>
              </w:tc>
              <w:tc>
                <w:tcPr>
                  <w:tcW w:w="589" w:type="pct"/>
                  <w:tcBorders>
                    <w:tl2br w:val="nil"/>
                    <w:tr2bl w:val="nil"/>
                  </w:tcBorders>
                  <w:noWrap w:val="0"/>
                  <w:vAlign w:val="center"/>
                </w:tcPr>
                <w:p w14:paraId="423D361D">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r>
                    <w:rPr>
                      <w:rFonts w:hint="eastAsia" w:ascii="Times New Roman" w:hAnsi="Times New Roman" w:cs="Times New Roman"/>
                      <w:b w:val="0"/>
                      <w:bCs/>
                      <w:color w:val="auto"/>
                      <w:sz w:val="21"/>
                      <w:szCs w:val="21"/>
                      <w:lang w:val="en-US" w:eastAsia="zh-CN"/>
                    </w:rPr>
                    <w:t>.00</w:t>
                  </w:r>
                  <w:r>
                    <w:rPr>
                      <w:rFonts w:hint="eastAsia" w:cs="Times New Roman"/>
                      <w:b w:val="0"/>
                      <w:bCs/>
                      <w:color w:val="auto"/>
                      <w:sz w:val="21"/>
                      <w:szCs w:val="21"/>
                      <w:lang w:val="en-US" w:eastAsia="zh-CN"/>
                    </w:rPr>
                    <w:t>9</w:t>
                  </w:r>
                </w:p>
              </w:tc>
              <w:tc>
                <w:tcPr>
                  <w:tcW w:w="1238" w:type="pct"/>
                  <w:vMerge w:val="continue"/>
                  <w:tcBorders>
                    <w:tl2br w:val="nil"/>
                    <w:tr2bl w:val="nil"/>
                  </w:tcBorders>
                  <w:noWrap w:val="0"/>
                  <w:vAlign w:val="center"/>
                </w:tcPr>
                <w:p w14:paraId="2EA1FE71">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val="0"/>
                      <w:bCs/>
                      <w:color w:val="auto"/>
                      <w:kern w:val="2"/>
                      <w:sz w:val="21"/>
                      <w:szCs w:val="21"/>
                      <w:lang w:val="en-US" w:eastAsia="zh-CN" w:bidi="ar-SA"/>
                    </w:rPr>
                  </w:pPr>
                </w:p>
              </w:tc>
            </w:tr>
            <w:tr w14:paraId="15F96E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 w:type="pct"/>
                  <w:tcBorders>
                    <w:tl2br w:val="nil"/>
                    <w:tr2bl w:val="nil"/>
                  </w:tcBorders>
                  <w:noWrap w:val="0"/>
                  <w:vAlign w:val="center"/>
                </w:tcPr>
                <w:p w14:paraId="34C814E7">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eastAsia" w:cs="Times New Roman"/>
                      <w:b w:val="0"/>
                      <w:bCs/>
                      <w:color w:val="auto"/>
                      <w:kern w:val="0"/>
                      <w:sz w:val="21"/>
                      <w:szCs w:val="21"/>
                      <w:lang w:val="en-US" w:eastAsia="zh-CN" w:bidi="ar-SA"/>
                    </w:rPr>
                    <w:t>4</w:t>
                  </w:r>
                </w:p>
              </w:tc>
              <w:tc>
                <w:tcPr>
                  <w:tcW w:w="916" w:type="pct"/>
                  <w:tcBorders>
                    <w:tl2br w:val="nil"/>
                    <w:tr2bl w:val="nil"/>
                  </w:tcBorders>
                  <w:noWrap w:val="0"/>
                  <w:vAlign w:val="center"/>
                </w:tcPr>
                <w:p w14:paraId="4D311D21">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rPr>
                      <w:rFonts w:hint="eastAsia"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sz w:val="21"/>
                      <w:szCs w:val="21"/>
                      <w:lang w:val="en-US" w:eastAsia="zh-CN"/>
                    </w:rPr>
                    <w:t>溶液配制用水</w:t>
                  </w:r>
                </w:p>
              </w:tc>
              <w:tc>
                <w:tcPr>
                  <w:tcW w:w="712" w:type="pct"/>
                  <w:tcBorders>
                    <w:tl2br w:val="nil"/>
                    <w:tr2bl w:val="nil"/>
                  </w:tcBorders>
                  <w:noWrap w:val="0"/>
                  <w:vAlign w:val="center"/>
                </w:tcPr>
                <w:p w14:paraId="2B34DFFB">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w:t>
                  </w:r>
                </w:p>
              </w:tc>
              <w:tc>
                <w:tcPr>
                  <w:tcW w:w="658" w:type="pct"/>
                  <w:tcBorders>
                    <w:tl2br w:val="nil"/>
                    <w:tr2bl w:val="nil"/>
                  </w:tcBorders>
                  <w:noWrap w:val="0"/>
                  <w:vAlign w:val="center"/>
                </w:tcPr>
                <w:p w14:paraId="23ECE24B">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cs="Times New Roman"/>
                      <w:b w:val="0"/>
                      <w:bCs/>
                      <w:color w:val="auto"/>
                      <w:kern w:val="0"/>
                      <w:sz w:val="21"/>
                      <w:szCs w:val="21"/>
                      <w:lang w:val="en-US" w:eastAsia="zh-CN" w:bidi="ar-SA"/>
                    </w:rPr>
                  </w:pPr>
                  <w:r>
                    <w:rPr>
                      <w:rFonts w:hint="eastAsia" w:ascii="Times New Roman" w:hAnsi="Times New Roman" w:cs="Times New Roman"/>
                      <w:b w:val="0"/>
                      <w:bCs/>
                      <w:color w:val="auto"/>
                      <w:sz w:val="21"/>
                      <w:szCs w:val="21"/>
                      <w:lang w:val="en-US" w:eastAsia="zh-CN"/>
                    </w:rPr>
                    <w:t>0.0003</w:t>
                  </w:r>
                </w:p>
              </w:tc>
              <w:tc>
                <w:tcPr>
                  <w:tcW w:w="534" w:type="pct"/>
                  <w:tcBorders>
                    <w:tl2br w:val="nil"/>
                    <w:tr2bl w:val="nil"/>
                  </w:tcBorders>
                  <w:noWrap w:val="0"/>
                  <w:vAlign w:val="center"/>
                </w:tcPr>
                <w:p w14:paraId="6E8189AC">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cs="Times New Roman"/>
                      <w:b w:val="0"/>
                      <w:bCs/>
                      <w:color w:val="auto"/>
                      <w:kern w:val="0"/>
                      <w:sz w:val="21"/>
                      <w:szCs w:val="21"/>
                      <w:lang w:val="en-US" w:eastAsia="zh-CN" w:bidi="ar-SA"/>
                    </w:rPr>
                  </w:pPr>
                  <w:r>
                    <w:rPr>
                      <w:rFonts w:hint="eastAsia" w:ascii="Times New Roman" w:hAnsi="Times New Roman" w:cs="Times New Roman"/>
                      <w:b w:val="0"/>
                      <w:bCs/>
                      <w:color w:val="auto"/>
                      <w:kern w:val="0"/>
                      <w:sz w:val="21"/>
                      <w:szCs w:val="21"/>
                      <w:lang w:val="en-US" w:eastAsia="zh-CN" w:bidi="ar-SA"/>
                    </w:rPr>
                    <w:t>0.0003</w:t>
                  </w:r>
                </w:p>
              </w:tc>
              <w:tc>
                <w:tcPr>
                  <w:tcW w:w="589" w:type="pct"/>
                  <w:tcBorders>
                    <w:tl2br w:val="nil"/>
                    <w:tr2bl w:val="nil"/>
                  </w:tcBorders>
                  <w:noWrap w:val="0"/>
                  <w:vAlign w:val="center"/>
                </w:tcPr>
                <w:p w14:paraId="6F90ABCA">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rPr>
                      <w:rFonts w:hint="eastAsia" w:ascii="Times New Roman" w:hAnsi="Times New Roman" w:cs="Times New Roman"/>
                      <w:b w:val="0"/>
                      <w:bCs/>
                      <w:color w:val="auto"/>
                      <w:kern w:val="0"/>
                      <w:sz w:val="21"/>
                      <w:szCs w:val="21"/>
                      <w:lang w:val="en-US" w:eastAsia="zh-CN" w:bidi="ar-SA"/>
                    </w:rPr>
                  </w:pPr>
                  <w:r>
                    <w:rPr>
                      <w:rFonts w:hint="eastAsia" w:ascii="Times New Roman" w:hAnsi="Times New Roman" w:cs="Times New Roman"/>
                      <w:b w:val="0"/>
                      <w:bCs/>
                      <w:color w:val="auto"/>
                      <w:sz w:val="21"/>
                      <w:szCs w:val="21"/>
                      <w:lang w:val="en-US" w:eastAsia="zh-CN"/>
                    </w:rPr>
                    <w:t>0</w:t>
                  </w:r>
                </w:p>
              </w:tc>
              <w:tc>
                <w:tcPr>
                  <w:tcW w:w="1238" w:type="pct"/>
                  <w:tcBorders>
                    <w:tl2br w:val="nil"/>
                    <w:tr2bl w:val="nil"/>
                  </w:tcBorders>
                  <w:noWrap w:val="0"/>
                  <w:vAlign w:val="center"/>
                </w:tcPr>
                <w:p w14:paraId="305690D8">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sz w:val="21"/>
                      <w:szCs w:val="21"/>
                      <w:lang w:val="en-US" w:eastAsia="zh-CN"/>
                    </w:rPr>
                    <w:t>进入产品</w:t>
                  </w:r>
                </w:p>
              </w:tc>
            </w:tr>
            <w:tr w14:paraId="564D5F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 w:type="pct"/>
                  <w:tcBorders>
                    <w:tl2br w:val="nil"/>
                    <w:tr2bl w:val="nil"/>
                  </w:tcBorders>
                  <w:noWrap w:val="0"/>
                  <w:vAlign w:val="center"/>
                </w:tcPr>
                <w:p w14:paraId="0F09995B">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eastAsia" w:cs="Times New Roman"/>
                      <w:b w:val="0"/>
                      <w:bCs/>
                      <w:color w:val="auto"/>
                      <w:kern w:val="0"/>
                      <w:sz w:val="21"/>
                      <w:szCs w:val="21"/>
                      <w:lang w:val="en-US" w:eastAsia="zh-CN" w:bidi="ar-SA"/>
                    </w:rPr>
                    <w:t>5</w:t>
                  </w:r>
                </w:p>
              </w:tc>
              <w:tc>
                <w:tcPr>
                  <w:tcW w:w="916" w:type="pct"/>
                  <w:tcBorders>
                    <w:tl2br w:val="nil"/>
                    <w:tr2bl w:val="nil"/>
                  </w:tcBorders>
                  <w:noWrap w:val="0"/>
                  <w:vAlign w:val="center"/>
                </w:tcPr>
                <w:p w14:paraId="759974E3">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sz w:val="21"/>
                      <w:szCs w:val="21"/>
                      <w:lang w:val="en-US" w:eastAsia="zh-CN"/>
                    </w:rPr>
                    <w:t>超声波清洗机用水</w:t>
                  </w:r>
                </w:p>
              </w:tc>
              <w:tc>
                <w:tcPr>
                  <w:tcW w:w="712" w:type="pct"/>
                  <w:tcBorders>
                    <w:tl2br w:val="nil"/>
                    <w:tr2bl w:val="nil"/>
                  </w:tcBorders>
                  <w:noWrap w:val="0"/>
                  <w:vAlign w:val="center"/>
                </w:tcPr>
                <w:p w14:paraId="30B3200A">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w:t>
                  </w:r>
                </w:p>
              </w:tc>
              <w:tc>
                <w:tcPr>
                  <w:tcW w:w="658" w:type="pct"/>
                  <w:tcBorders>
                    <w:tl2br w:val="nil"/>
                    <w:tr2bl w:val="nil"/>
                  </w:tcBorders>
                  <w:noWrap w:val="0"/>
                  <w:vAlign w:val="center"/>
                </w:tcPr>
                <w:p w14:paraId="69F3C8F1">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cs="Times New Roman"/>
                      <w:b w:val="0"/>
                      <w:bCs/>
                      <w:color w:val="auto"/>
                      <w:kern w:val="0"/>
                      <w:sz w:val="21"/>
                      <w:szCs w:val="21"/>
                      <w:lang w:val="en-US" w:eastAsia="zh-CN" w:bidi="ar-SA"/>
                    </w:rPr>
                  </w:pPr>
                  <w:r>
                    <w:rPr>
                      <w:rFonts w:hint="eastAsia" w:ascii="Times New Roman" w:hAnsi="Times New Roman" w:cs="Times New Roman"/>
                      <w:b w:val="0"/>
                      <w:bCs/>
                      <w:color w:val="auto"/>
                      <w:sz w:val="21"/>
                      <w:szCs w:val="21"/>
                      <w:lang w:val="en-US" w:eastAsia="zh-CN"/>
                    </w:rPr>
                    <w:t>0.015</w:t>
                  </w:r>
                </w:p>
              </w:tc>
              <w:tc>
                <w:tcPr>
                  <w:tcW w:w="534" w:type="pct"/>
                  <w:tcBorders>
                    <w:tl2br w:val="nil"/>
                    <w:tr2bl w:val="nil"/>
                  </w:tcBorders>
                  <w:noWrap w:val="0"/>
                  <w:vAlign w:val="center"/>
                </w:tcPr>
                <w:p w14:paraId="69731D11">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cs="Times New Roman"/>
                      <w:b w:val="0"/>
                      <w:bCs/>
                      <w:color w:val="auto"/>
                      <w:kern w:val="0"/>
                      <w:sz w:val="21"/>
                      <w:szCs w:val="21"/>
                      <w:lang w:val="en-US" w:eastAsia="zh-CN" w:bidi="ar-SA"/>
                    </w:rPr>
                  </w:pPr>
                  <w:r>
                    <w:rPr>
                      <w:rFonts w:hint="eastAsia" w:ascii="Times New Roman" w:hAnsi="Times New Roman" w:cs="Times New Roman"/>
                      <w:b w:val="0"/>
                      <w:bCs/>
                      <w:color w:val="auto"/>
                      <w:kern w:val="0"/>
                      <w:sz w:val="21"/>
                      <w:szCs w:val="21"/>
                      <w:lang w:val="en-US" w:eastAsia="zh-CN" w:bidi="ar-SA"/>
                    </w:rPr>
                    <w:t>0.0015</w:t>
                  </w:r>
                </w:p>
              </w:tc>
              <w:tc>
                <w:tcPr>
                  <w:tcW w:w="589" w:type="pct"/>
                  <w:tcBorders>
                    <w:tl2br w:val="nil"/>
                    <w:tr2bl w:val="nil"/>
                  </w:tcBorders>
                  <w:noWrap w:val="0"/>
                  <w:vAlign w:val="center"/>
                </w:tcPr>
                <w:p w14:paraId="0AF2DB08">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cs="Times New Roman"/>
                      <w:b w:val="0"/>
                      <w:bCs/>
                      <w:color w:val="auto"/>
                      <w:kern w:val="0"/>
                      <w:sz w:val="21"/>
                      <w:szCs w:val="21"/>
                      <w:lang w:val="en-US" w:eastAsia="zh-CN" w:bidi="ar-SA"/>
                    </w:rPr>
                  </w:pPr>
                  <w:r>
                    <w:rPr>
                      <w:rFonts w:hint="eastAsia" w:ascii="Times New Roman" w:hAnsi="Times New Roman" w:cs="Times New Roman"/>
                      <w:b w:val="0"/>
                      <w:bCs/>
                      <w:color w:val="auto"/>
                      <w:sz w:val="21"/>
                      <w:szCs w:val="21"/>
                      <w:lang w:val="en-US" w:eastAsia="zh-CN"/>
                    </w:rPr>
                    <w:t>0.0135</w:t>
                  </w:r>
                </w:p>
              </w:tc>
              <w:tc>
                <w:tcPr>
                  <w:tcW w:w="1238" w:type="pct"/>
                  <w:tcBorders>
                    <w:tl2br w:val="nil"/>
                    <w:tr2bl w:val="nil"/>
                  </w:tcBorders>
                  <w:noWrap w:val="0"/>
                  <w:vAlign w:val="center"/>
                </w:tcPr>
                <w:p w14:paraId="7A4C3637">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sz w:val="21"/>
                      <w:szCs w:val="21"/>
                      <w:lang w:val="en-US" w:eastAsia="zh-CN"/>
                    </w:rPr>
                    <w:t>形成危废</w:t>
                  </w:r>
                </w:p>
              </w:tc>
            </w:tr>
            <w:tr w14:paraId="02541C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 w:type="pct"/>
                  <w:tcBorders>
                    <w:tl2br w:val="nil"/>
                    <w:tr2bl w:val="nil"/>
                  </w:tcBorders>
                  <w:noWrap w:val="0"/>
                  <w:vAlign w:val="center"/>
                </w:tcPr>
                <w:p w14:paraId="6581482B">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6</w:t>
                  </w:r>
                </w:p>
              </w:tc>
              <w:tc>
                <w:tcPr>
                  <w:tcW w:w="916" w:type="pct"/>
                  <w:tcBorders>
                    <w:tl2br w:val="nil"/>
                    <w:tr2bl w:val="nil"/>
                  </w:tcBorders>
                  <w:noWrap w:val="0"/>
                  <w:vAlign w:val="center"/>
                </w:tcPr>
                <w:p w14:paraId="17E5903F">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合计</w:t>
                  </w:r>
                </w:p>
              </w:tc>
              <w:tc>
                <w:tcPr>
                  <w:tcW w:w="712" w:type="pct"/>
                  <w:tcBorders>
                    <w:tl2br w:val="nil"/>
                    <w:tr2bl w:val="nil"/>
                  </w:tcBorders>
                  <w:noWrap w:val="0"/>
                  <w:vAlign w:val="center"/>
                </w:tcPr>
                <w:p w14:paraId="441B7328">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1.0355</w:t>
                  </w:r>
                </w:p>
              </w:tc>
              <w:tc>
                <w:tcPr>
                  <w:tcW w:w="658" w:type="pct"/>
                  <w:tcBorders>
                    <w:tl2br w:val="nil"/>
                    <w:tr2bl w:val="nil"/>
                  </w:tcBorders>
                  <w:noWrap w:val="0"/>
                  <w:vAlign w:val="center"/>
                </w:tcPr>
                <w:p w14:paraId="000AC6E0">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0.0153</w:t>
                  </w:r>
                </w:p>
              </w:tc>
              <w:tc>
                <w:tcPr>
                  <w:tcW w:w="534" w:type="pct"/>
                  <w:tcBorders>
                    <w:tl2br w:val="nil"/>
                    <w:tr2bl w:val="nil"/>
                  </w:tcBorders>
                  <w:noWrap w:val="0"/>
                  <w:vAlign w:val="center"/>
                </w:tcPr>
                <w:p w14:paraId="3EC27F4F">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cs="Times New Roman"/>
                      <w:b w:val="0"/>
                      <w:bCs/>
                      <w:color w:val="auto"/>
                      <w:kern w:val="0"/>
                      <w:sz w:val="21"/>
                      <w:szCs w:val="21"/>
                      <w:lang w:val="en-US" w:eastAsia="zh-CN" w:bidi="ar-SA"/>
                    </w:rPr>
                  </w:pPr>
                  <w:r>
                    <w:rPr>
                      <w:rFonts w:hint="eastAsia" w:cs="Times New Roman"/>
                      <w:b w:val="0"/>
                      <w:bCs/>
                      <w:color w:val="auto"/>
                      <w:kern w:val="0"/>
                      <w:sz w:val="21"/>
                      <w:szCs w:val="21"/>
                      <w:lang w:val="en-US" w:eastAsia="zh-CN" w:bidi="ar-SA"/>
                    </w:rPr>
                    <w:t>0.2181</w:t>
                  </w:r>
                </w:p>
              </w:tc>
              <w:tc>
                <w:tcPr>
                  <w:tcW w:w="589" w:type="pct"/>
                  <w:tcBorders>
                    <w:tl2br w:val="nil"/>
                    <w:tr2bl w:val="nil"/>
                  </w:tcBorders>
                  <w:noWrap w:val="0"/>
                  <w:vAlign w:val="center"/>
                </w:tcPr>
                <w:p w14:paraId="79918991">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0.8327</w:t>
                  </w:r>
                </w:p>
              </w:tc>
              <w:tc>
                <w:tcPr>
                  <w:tcW w:w="1238" w:type="pct"/>
                  <w:tcBorders>
                    <w:tl2br w:val="nil"/>
                    <w:tr2bl w:val="nil"/>
                  </w:tcBorders>
                  <w:noWrap w:val="0"/>
                  <w:vAlign w:val="center"/>
                </w:tcPr>
                <w:p w14:paraId="24CF4917">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r>
          </w:tbl>
          <w:p w14:paraId="753B79C1">
            <w:pPr>
              <w:numPr>
                <w:ilvl w:val="0"/>
                <w:numId w:val="0"/>
              </w:numPr>
              <w:adjustRightInd w:val="0"/>
              <w:snapToGrid w:val="0"/>
              <w:spacing w:line="360" w:lineRule="auto"/>
              <w:jc w:val="center"/>
              <w:rPr>
                <w:rFonts w:hint="default" w:ascii="Times New Roman" w:hAnsi="Times New Roman" w:cs="Times New Roman"/>
                <w:b/>
                <w:bCs w:val="0"/>
                <w:color w:val="auto"/>
                <w:sz w:val="24"/>
                <w:szCs w:val="24"/>
                <w:lang w:val="en-US" w:eastAsia="zh-CN"/>
              </w:rPr>
            </w:pPr>
            <w:r>
              <w:rPr>
                <w:rFonts w:hint="default" w:ascii="Times New Roman" w:hAnsi="Times New Roman" w:cs="Times New Roman"/>
                <w:b/>
                <w:bCs w:val="0"/>
                <w:color w:val="auto"/>
                <w:sz w:val="24"/>
                <w:szCs w:val="24"/>
                <w:lang w:val="en-US" w:eastAsia="zh-CN"/>
              </w:rPr>
              <w:drawing>
                <wp:inline distT="0" distB="0" distL="114300" distR="114300">
                  <wp:extent cx="5255895" cy="2273300"/>
                  <wp:effectExtent l="0" t="0" r="1905" b="12700"/>
                  <wp:docPr id="2" name="F360BE8B-6686-4F3D-AEAF-501FE73E4058-1" descr="C:/Users/Lenovo/AppData/Local/Temp/绘图1(23).png绘图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360BE8B-6686-4F3D-AEAF-501FE73E4058-1" descr="C:/Users/Lenovo/AppData/Local/Temp/绘图1(23).png绘图1(23)"/>
                          <pic:cNvPicPr>
                            <a:picLocks noChangeAspect="1"/>
                          </pic:cNvPicPr>
                        </pic:nvPicPr>
                        <pic:blipFill>
                          <a:blip r:embed="rId11"/>
                          <a:stretch>
                            <a:fillRect/>
                          </a:stretch>
                        </pic:blipFill>
                        <pic:spPr>
                          <a:xfrm>
                            <a:off x="0" y="0"/>
                            <a:ext cx="5255895" cy="2273300"/>
                          </a:xfrm>
                          <a:prstGeom prst="rect">
                            <a:avLst/>
                          </a:prstGeom>
                          <a:noFill/>
                          <a:ln>
                            <a:noFill/>
                          </a:ln>
                        </pic:spPr>
                      </pic:pic>
                    </a:graphicData>
                  </a:graphic>
                </wp:inline>
              </w:drawing>
            </w:r>
          </w:p>
          <w:p w14:paraId="7330D7CA">
            <w:pPr>
              <w:numPr>
                <w:ilvl w:val="0"/>
                <w:numId w:val="0"/>
              </w:numPr>
              <w:adjustRightInd w:val="0"/>
              <w:snapToGrid w:val="0"/>
              <w:spacing w:line="360" w:lineRule="auto"/>
              <w:jc w:val="center"/>
              <w:rPr>
                <w:rFonts w:hint="default" w:ascii="Times New Roman" w:hAnsi="Times New Roman" w:cs="Times New Roman"/>
                <w:b/>
                <w:bCs w:val="0"/>
                <w:color w:val="auto"/>
                <w:sz w:val="24"/>
                <w:szCs w:val="24"/>
                <w:lang w:val="en-US" w:eastAsia="zh-CN"/>
              </w:rPr>
            </w:pPr>
            <w:r>
              <w:rPr>
                <w:rFonts w:hint="default" w:ascii="Times New Roman" w:hAnsi="Times New Roman" w:cs="Times New Roman"/>
                <w:b/>
                <w:bCs w:val="0"/>
                <w:color w:val="auto"/>
                <w:sz w:val="24"/>
                <w:szCs w:val="24"/>
                <w:lang w:val="en-US" w:eastAsia="zh-CN"/>
              </w:rPr>
              <w:t>图2-1</w:t>
            </w:r>
            <w:r>
              <w:rPr>
                <w:rFonts w:hint="eastAsia" w:ascii="Times New Roman" w:hAnsi="Times New Roman" w:cs="Times New Roman"/>
                <w:b/>
                <w:bCs w:val="0"/>
                <w:color w:val="auto"/>
                <w:sz w:val="24"/>
                <w:szCs w:val="24"/>
                <w:lang w:val="en-US" w:eastAsia="zh-CN"/>
              </w:rPr>
              <w:t xml:space="preserve">  </w:t>
            </w:r>
            <w:r>
              <w:rPr>
                <w:rFonts w:hint="default" w:ascii="Times New Roman" w:hAnsi="Times New Roman" w:cs="Times New Roman"/>
                <w:b/>
                <w:bCs w:val="0"/>
                <w:color w:val="auto"/>
                <w:sz w:val="24"/>
                <w:szCs w:val="24"/>
                <w:lang w:val="en-US" w:eastAsia="zh-CN"/>
              </w:rPr>
              <w:t>项目水平衡图 单位：m</w:t>
            </w:r>
            <w:r>
              <w:rPr>
                <w:rFonts w:hint="default" w:ascii="Times New Roman" w:hAnsi="Times New Roman" w:cs="Times New Roman"/>
                <w:b/>
                <w:bCs w:val="0"/>
                <w:color w:val="auto"/>
                <w:sz w:val="24"/>
                <w:szCs w:val="24"/>
                <w:vertAlign w:val="superscript"/>
                <w:lang w:val="en-US" w:eastAsia="zh-CN"/>
              </w:rPr>
              <w:t>3</w:t>
            </w:r>
            <w:r>
              <w:rPr>
                <w:rFonts w:hint="default" w:ascii="Times New Roman" w:hAnsi="Times New Roman" w:cs="Times New Roman"/>
                <w:b/>
                <w:bCs w:val="0"/>
                <w:color w:val="auto"/>
                <w:sz w:val="24"/>
                <w:szCs w:val="24"/>
                <w:lang w:val="en-US" w:eastAsia="zh-CN"/>
              </w:rPr>
              <w:t>/d</w:t>
            </w:r>
          </w:p>
          <w:p w14:paraId="130F2B4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2</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供电</w:t>
            </w:r>
          </w:p>
          <w:p w14:paraId="610FE3C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项目</w:t>
            </w:r>
            <w:r>
              <w:rPr>
                <w:rFonts w:hint="eastAsia" w:ascii="Times New Roman" w:hAnsi="Times New Roman" w:eastAsia="宋体" w:cs="Times New Roman"/>
                <w:bCs/>
                <w:color w:val="auto"/>
                <w:sz w:val="24"/>
                <w:lang w:val="en-US" w:eastAsia="zh-CN"/>
              </w:rPr>
              <w:t>运营</w:t>
            </w:r>
            <w:r>
              <w:rPr>
                <w:rFonts w:hint="eastAsia" w:ascii="Times New Roman" w:hAnsi="Times New Roman" w:eastAsia="宋体" w:cs="Times New Roman"/>
                <w:bCs/>
                <w:color w:val="auto"/>
                <w:sz w:val="24"/>
              </w:rPr>
              <w:t>和办公用电由市政电网供电。</w:t>
            </w:r>
          </w:p>
          <w:p w14:paraId="658D179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3</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rPr>
              <w:t>供暖、制冷</w:t>
            </w:r>
          </w:p>
          <w:p w14:paraId="210F69A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lang w:val="en-US" w:eastAsia="zh-CN"/>
              </w:rPr>
              <w:t>项目</w:t>
            </w:r>
            <w:r>
              <w:rPr>
                <w:rFonts w:hint="default" w:ascii="Times New Roman" w:hAnsi="Times New Roman" w:eastAsia="宋体" w:cs="Times New Roman"/>
                <w:bCs/>
                <w:color w:val="auto"/>
                <w:sz w:val="24"/>
              </w:rPr>
              <w:t>采用空调供暖、制冷</w:t>
            </w:r>
            <w:r>
              <w:rPr>
                <w:rFonts w:hint="eastAsia" w:ascii="Times New Roman" w:hAnsi="Times New Roman" w:eastAsia="宋体" w:cs="Times New Roman"/>
                <w:bCs/>
                <w:color w:val="auto"/>
                <w:sz w:val="24"/>
              </w:rPr>
              <w:t>。</w:t>
            </w:r>
          </w:p>
          <w:p w14:paraId="7F138A9B">
            <w:pPr>
              <w:numPr>
                <w:ilvl w:val="0"/>
                <w:numId w:val="0"/>
              </w:numPr>
              <w:adjustRightInd w:val="0"/>
              <w:snapToGrid w:val="0"/>
              <w:spacing w:line="360" w:lineRule="auto"/>
              <w:jc w:val="both"/>
              <w:rPr>
                <w:rFonts w:hint="default" w:ascii="Times New Roman" w:hAnsi="Times New Roman" w:cs="Times New Roman"/>
                <w:bCs/>
                <w:color w:val="auto"/>
                <w:sz w:val="24"/>
                <w:szCs w:val="24"/>
                <w:lang w:val="en-US" w:eastAsia="zh-CN"/>
              </w:rPr>
            </w:pPr>
            <w:r>
              <w:rPr>
                <w:rFonts w:hint="default" w:ascii="Times New Roman" w:hAnsi="Times New Roman" w:cs="Times New Roman"/>
                <w:b/>
                <w:bCs/>
                <w:color w:val="auto"/>
                <w:kern w:val="2"/>
                <w:sz w:val="24"/>
                <w:szCs w:val="24"/>
                <w:lang w:val="en-US" w:eastAsia="zh-CN" w:bidi="ar-SA"/>
              </w:rPr>
              <w:t>7、</w:t>
            </w:r>
            <w:r>
              <w:rPr>
                <w:rFonts w:hint="default" w:ascii="Times New Roman" w:hAnsi="Times New Roman" w:cs="Times New Roman"/>
                <w:b/>
                <w:bCs w:val="0"/>
                <w:color w:val="auto"/>
                <w:sz w:val="24"/>
                <w:szCs w:val="24"/>
                <w:lang w:val="en-US" w:eastAsia="zh-CN"/>
              </w:rPr>
              <w:t>劳动定员及工作制度</w:t>
            </w:r>
          </w:p>
          <w:p w14:paraId="467AC5CD">
            <w:pPr>
              <w:numPr>
                <w:ilvl w:val="0"/>
                <w:numId w:val="0"/>
              </w:numPr>
              <w:adjustRightInd w:val="0"/>
              <w:snapToGrid w:val="0"/>
              <w:spacing w:line="360" w:lineRule="auto"/>
              <w:ind w:firstLine="480" w:firstLineChars="200"/>
              <w:jc w:val="both"/>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本项目劳动定员10人，工作制度为一班制，每班工作</w:t>
            </w:r>
            <w:r>
              <w:rPr>
                <w:rFonts w:hint="eastAsia" w:ascii="Times New Roman" w:hAnsi="Times New Roman" w:cs="Times New Roman"/>
                <w:bCs/>
                <w:color w:val="auto"/>
                <w:sz w:val="24"/>
                <w:szCs w:val="24"/>
                <w:lang w:val="en-US" w:eastAsia="zh-CN"/>
              </w:rPr>
              <w:t>8</w:t>
            </w:r>
            <w:r>
              <w:rPr>
                <w:rFonts w:hint="default" w:ascii="Times New Roman" w:hAnsi="Times New Roman" w:cs="Times New Roman"/>
                <w:bCs/>
                <w:color w:val="auto"/>
                <w:sz w:val="24"/>
                <w:szCs w:val="24"/>
                <w:lang w:val="en-US" w:eastAsia="zh-CN"/>
              </w:rPr>
              <w:t>小时，年工作</w:t>
            </w:r>
            <w:r>
              <w:rPr>
                <w:rFonts w:hint="eastAsia" w:ascii="Times New Roman" w:hAnsi="Times New Roman" w:cs="Times New Roman"/>
                <w:bCs/>
                <w:color w:val="auto"/>
                <w:sz w:val="24"/>
                <w:szCs w:val="24"/>
                <w:lang w:val="en-US" w:eastAsia="zh-CN"/>
              </w:rPr>
              <w:t>250</w:t>
            </w:r>
            <w:r>
              <w:rPr>
                <w:rFonts w:hint="default" w:ascii="Times New Roman" w:hAnsi="Times New Roman" w:cs="Times New Roman"/>
                <w:bCs/>
                <w:color w:val="auto"/>
                <w:sz w:val="24"/>
                <w:szCs w:val="24"/>
                <w:lang w:val="en-US" w:eastAsia="zh-CN"/>
              </w:rPr>
              <w:t>天，员工均不在厂区内食宿。</w:t>
            </w:r>
          </w:p>
          <w:p w14:paraId="5E47C22F">
            <w:pPr>
              <w:numPr>
                <w:ilvl w:val="0"/>
                <w:numId w:val="0"/>
              </w:numPr>
              <w:adjustRightInd w:val="0"/>
              <w:snapToGrid w:val="0"/>
              <w:spacing w:line="360" w:lineRule="auto"/>
              <w:jc w:val="both"/>
              <w:rPr>
                <w:rFonts w:hint="default" w:ascii="Times New Roman" w:hAnsi="Times New Roman" w:cs="Times New Roman"/>
                <w:bCs/>
                <w:color w:val="auto"/>
                <w:sz w:val="24"/>
                <w:szCs w:val="24"/>
                <w:lang w:val="en-US" w:eastAsia="zh-CN"/>
              </w:rPr>
            </w:pPr>
            <w:r>
              <w:rPr>
                <w:rFonts w:hint="default" w:ascii="Times New Roman" w:hAnsi="Times New Roman" w:cs="Times New Roman"/>
                <w:b/>
                <w:bCs/>
                <w:color w:val="auto"/>
                <w:kern w:val="2"/>
                <w:sz w:val="24"/>
                <w:szCs w:val="24"/>
                <w:lang w:val="en-US" w:eastAsia="zh-CN" w:bidi="ar-SA"/>
              </w:rPr>
              <w:t>8、</w:t>
            </w:r>
            <w:r>
              <w:rPr>
                <w:rFonts w:hint="default" w:ascii="Times New Roman" w:hAnsi="Times New Roman" w:cs="Times New Roman"/>
                <w:b/>
                <w:bCs w:val="0"/>
                <w:color w:val="auto"/>
                <w:sz w:val="24"/>
                <w:szCs w:val="24"/>
                <w:lang w:val="en-US" w:eastAsia="zh-CN"/>
              </w:rPr>
              <w:t>平面布置</w:t>
            </w:r>
          </w:p>
          <w:p w14:paraId="1A137DFD">
            <w:pPr>
              <w:numPr>
                <w:ilvl w:val="0"/>
                <w:numId w:val="0"/>
              </w:numPr>
              <w:adjustRightInd w:val="0"/>
              <w:snapToGrid w:val="0"/>
              <w:spacing w:line="360" w:lineRule="auto"/>
              <w:ind w:firstLine="480" w:firstLineChars="200"/>
              <w:jc w:val="both"/>
              <w:rPr>
                <w:rFonts w:hint="default" w:ascii="Times New Roman" w:hAnsi="Times New Roman" w:cs="Times New Roman"/>
                <w:b/>
                <w:bCs w:val="0"/>
                <w:color w:val="auto"/>
                <w:sz w:val="24"/>
                <w:szCs w:val="24"/>
                <w:lang w:val="en-US" w:eastAsia="zh-CN"/>
              </w:rPr>
            </w:pPr>
            <w:r>
              <w:rPr>
                <w:rFonts w:hint="default" w:ascii="Times New Roman" w:hAnsi="Times New Roman" w:eastAsia="宋体" w:cs="Times New Roman"/>
                <w:bCs/>
                <w:color w:val="auto"/>
                <w:sz w:val="24"/>
                <w:szCs w:val="24"/>
                <w:lang w:val="en-US" w:eastAsia="zh-CN"/>
              </w:rPr>
              <w:t>本项目位于</w:t>
            </w:r>
            <w:r>
              <w:rPr>
                <w:rFonts w:hint="eastAsia" w:ascii="Times New Roman" w:hAnsi="Times New Roman" w:eastAsia="宋体" w:cs="Times New Roman"/>
                <w:bCs/>
                <w:color w:val="auto"/>
                <w:sz w:val="24"/>
                <w:szCs w:val="24"/>
                <w:lang w:val="en-US" w:eastAsia="zh-CN"/>
              </w:rPr>
              <w:t>陕西省西咸新区泾河新城永乐镇泾河智造创新产业园18#3层</w:t>
            </w:r>
            <w:r>
              <w:rPr>
                <w:rFonts w:hint="default" w:ascii="Times New Roman" w:hAnsi="Times New Roman" w:eastAsia="宋体" w:cs="Times New Roman"/>
                <w:bCs/>
                <w:color w:val="auto"/>
                <w:sz w:val="24"/>
                <w:szCs w:val="24"/>
                <w:lang w:val="en-US" w:eastAsia="zh-CN"/>
              </w:rPr>
              <w:t>。生产区位于</w:t>
            </w:r>
            <w:r>
              <w:rPr>
                <w:rFonts w:hint="eastAsia" w:ascii="Times New Roman" w:hAnsi="Times New Roman" w:eastAsia="宋体" w:cs="Times New Roman"/>
                <w:bCs/>
                <w:color w:val="auto"/>
                <w:sz w:val="24"/>
                <w:szCs w:val="24"/>
                <w:lang w:val="en-US" w:eastAsia="zh-CN"/>
              </w:rPr>
              <w:t>项目中部</w:t>
            </w:r>
            <w:r>
              <w:rPr>
                <w:rFonts w:hint="eastAsia" w:cs="Times New Roman"/>
                <w:bCs/>
                <w:color w:val="auto"/>
                <w:sz w:val="24"/>
                <w:szCs w:val="24"/>
                <w:lang w:val="en-US" w:eastAsia="zh-CN"/>
              </w:rPr>
              <w:t>和东部</w:t>
            </w:r>
            <w:r>
              <w:rPr>
                <w:rFonts w:hint="default" w:ascii="Times New Roman" w:hAnsi="Times New Roman" w:eastAsia="宋体" w:cs="Times New Roman"/>
                <w:bCs/>
                <w:color w:val="auto"/>
                <w:sz w:val="24"/>
                <w:szCs w:val="24"/>
                <w:lang w:val="en-US" w:eastAsia="zh-CN"/>
              </w:rPr>
              <w:t>，仓储区位于</w:t>
            </w:r>
            <w:r>
              <w:rPr>
                <w:rFonts w:hint="eastAsia" w:ascii="Times New Roman" w:hAnsi="Times New Roman" w:eastAsia="宋体" w:cs="Times New Roman"/>
                <w:bCs/>
                <w:color w:val="auto"/>
                <w:sz w:val="24"/>
                <w:szCs w:val="24"/>
                <w:lang w:val="en-US" w:eastAsia="zh-CN"/>
              </w:rPr>
              <w:t>项目西北</w:t>
            </w:r>
            <w:r>
              <w:rPr>
                <w:rFonts w:hint="default" w:ascii="Times New Roman" w:hAnsi="Times New Roman" w:eastAsia="宋体" w:cs="Times New Roman"/>
                <w:bCs/>
                <w:color w:val="auto"/>
                <w:sz w:val="24"/>
                <w:szCs w:val="24"/>
                <w:lang w:val="en-US" w:eastAsia="zh-CN"/>
              </w:rPr>
              <w:t>侧，用于储存外购的原材料及成品</w:t>
            </w:r>
            <w:r>
              <w:rPr>
                <w:rFonts w:hint="eastAsia" w:ascii="Times New Roman" w:hAnsi="Times New Roman" w:eastAsia="宋体" w:cs="Times New Roman"/>
                <w:bCs/>
                <w:color w:val="auto"/>
                <w:sz w:val="24"/>
                <w:szCs w:val="24"/>
                <w:lang w:val="en-US" w:eastAsia="zh-CN"/>
              </w:rPr>
              <w:t>，</w:t>
            </w:r>
            <w:r>
              <w:rPr>
                <w:rFonts w:hint="eastAsia" w:cs="Times New Roman"/>
                <w:bCs/>
                <w:color w:val="auto"/>
                <w:sz w:val="24"/>
                <w:szCs w:val="24"/>
                <w:lang w:val="en-US" w:eastAsia="zh-CN"/>
              </w:rPr>
              <w:t>调配室</w:t>
            </w:r>
            <w:r>
              <w:rPr>
                <w:rFonts w:hint="eastAsia" w:ascii="Times New Roman" w:hAnsi="Times New Roman" w:eastAsia="宋体" w:cs="Times New Roman"/>
                <w:bCs/>
                <w:color w:val="auto"/>
                <w:sz w:val="24"/>
                <w:szCs w:val="24"/>
                <w:lang w:val="en-US" w:eastAsia="zh-CN"/>
              </w:rPr>
              <w:t>位于项目东北侧，</w:t>
            </w:r>
            <w:r>
              <w:rPr>
                <w:rFonts w:hint="default" w:ascii="Times New Roman" w:hAnsi="Times New Roman" w:eastAsia="宋体" w:cs="Times New Roman"/>
                <w:bCs/>
                <w:color w:val="auto"/>
                <w:sz w:val="24"/>
                <w:szCs w:val="24"/>
                <w:lang w:val="en-US" w:eastAsia="zh-CN"/>
              </w:rPr>
              <w:t>项目各区域衔接适当、物流通畅、布置合理，周边交通便利，可以满足日常生产需求。项目平面布置图见附图</w:t>
            </w:r>
            <w:r>
              <w:rPr>
                <w:rFonts w:hint="eastAsia" w:ascii="Times New Roman" w:hAnsi="Times New Roman" w:eastAsia="宋体" w:cs="Times New Roman"/>
                <w:bCs/>
                <w:color w:val="auto"/>
                <w:sz w:val="24"/>
                <w:szCs w:val="24"/>
                <w:lang w:val="en-US" w:eastAsia="zh-CN"/>
              </w:rPr>
              <w:t>3</w:t>
            </w:r>
            <w:r>
              <w:rPr>
                <w:rFonts w:hint="default" w:ascii="Times New Roman" w:hAnsi="Times New Roman" w:eastAsia="宋体" w:cs="Times New Roman"/>
                <w:bCs/>
                <w:color w:val="auto"/>
                <w:sz w:val="24"/>
                <w:szCs w:val="24"/>
                <w:lang w:val="en-US" w:eastAsia="zh-CN"/>
              </w:rPr>
              <w:t>。</w:t>
            </w:r>
          </w:p>
        </w:tc>
      </w:tr>
      <w:tr w14:paraId="152BCA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446" w:type="dxa"/>
            <w:noWrap w:val="0"/>
            <w:vAlign w:val="center"/>
          </w:tcPr>
          <w:p w14:paraId="56C87F42">
            <w:pPr>
              <w:pStyle w:val="23"/>
              <w:adjustRightInd w:val="0"/>
              <w:snapToGrid w:val="0"/>
              <w:spacing w:before="0" w:beforeAutospacing="0" w:after="0" w:afterAutospacing="0"/>
              <w:jc w:val="center"/>
              <w:rPr>
                <w:rFonts w:hint="default" w:ascii="Times New Roman" w:hAnsi="Times New Roman" w:cs="Times New Roman"/>
                <w:b/>
                <w:bCs/>
                <w:color w:val="auto"/>
                <w:sz w:val="24"/>
                <w:szCs w:val="24"/>
              </w:rPr>
            </w:pPr>
            <w:r>
              <w:rPr>
                <w:rFonts w:hint="default" w:ascii="Times New Roman" w:hAnsi="Times New Roman" w:cs="Times New Roman"/>
                <w:b w:val="0"/>
                <w:bCs w:val="0"/>
                <w:color w:val="auto"/>
                <w:sz w:val="24"/>
                <w:szCs w:val="24"/>
              </w:rPr>
              <w:t>工艺流程和产排污环节</w:t>
            </w:r>
          </w:p>
        </w:tc>
        <w:tc>
          <w:tcPr>
            <w:tcW w:w="8538" w:type="dxa"/>
            <w:noWrap w:val="0"/>
            <w:vAlign w:val="top"/>
          </w:tcPr>
          <w:p w14:paraId="1AD62589">
            <w:pPr>
              <w:numPr>
                <w:ilvl w:val="0"/>
                <w:numId w:val="0"/>
              </w:numPr>
              <w:adjustRightInd w:val="0"/>
              <w:snapToGrid w:val="0"/>
              <w:spacing w:line="360" w:lineRule="auto"/>
              <w:jc w:val="both"/>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一、施工期工程分析</w:t>
            </w:r>
          </w:p>
          <w:p w14:paraId="0758EC88">
            <w:pPr>
              <w:numPr>
                <w:ilvl w:val="0"/>
                <w:numId w:val="0"/>
              </w:numPr>
              <w:adjustRightInd w:val="0"/>
              <w:snapToGrid w:val="0"/>
              <w:spacing w:line="360" w:lineRule="auto"/>
              <w:ind w:firstLine="480" w:firstLineChars="200"/>
              <w:jc w:val="both"/>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本项目位于</w:t>
            </w:r>
            <w:r>
              <w:rPr>
                <w:rFonts w:hint="eastAsia" w:ascii="Times New Roman" w:hAnsi="Times New Roman" w:eastAsia="宋体" w:cs="Times New Roman"/>
                <w:bCs/>
                <w:color w:val="auto"/>
                <w:sz w:val="24"/>
                <w:szCs w:val="24"/>
                <w:lang w:val="en-US" w:eastAsia="zh-CN"/>
              </w:rPr>
              <w:t>陕西省西咸新区泾河新城永乐镇泾河智造创新产业园18#3层</w:t>
            </w:r>
            <w:r>
              <w:rPr>
                <w:rFonts w:hint="default" w:ascii="Times New Roman" w:hAnsi="Times New Roman" w:eastAsia="宋体" w:cs="Times New Roman"/>
                <w:bCs/>
                <w:color w:val="auto"/>
                <w:sz w:val="24"/>
                <w:szCs w:val="24"/>
                <w:lang w:val="en-US" w:eastAsia="zh-CN"/>
              </w:rPr>
              <w:t>，租用已建成厂房，施工期只进行生产设备和环保设施的安装及调试。施工过程中主要产生少量的设备安装废气、噪声、固废及工人产生的少量生活污水和生活垃圾等。</w:t>
            </w:r>
          </w:p>
          <w:p w14:paraId="2A9E5AE7">
            <w:pPr>
              <w:numPr>
                <w:ilvl w:val="0"/>
                <w:numId w:val="4"/>
              </w:numPr>
              <w:adjustRightInd w:val="0"/>
              <w:snapToGrid w:val="0"/>
              <w:spacing w:line="360" w:lineRule="auto"/>
              <w:jc w:val="both"/>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运营期工程分析</w:t>
            </w:r>
          </w:p>
          <w:p w14:paraId="02212012">
            <w:pPr>
              <w:numPr>
                <w:ilvl w:val="0"/>
                <w:numId w:val="5"/>
              </w:numPr>
              <w:adjustRightInd w:val="0"/>
              <w:snapToGrid w:val="0"/>
              <w:spacing w:line="360" w:lineRule="auto"/>
              <w:jc w:val="both"/>
              <w:rPr>
                <w:rFonts w:hint="default"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膜电极</w:t>
            </w:r>
            <w:r>
              <w:rPr>
                <w:rFonts w:hint="default" w:ascii="Times New Roman" w:hAnsi="Times New Roman" w:eastAsia="宋体" w:cs="Times New Roman"/>
                <w:b/>
                <w:bCs w:val="0"/>
                <w:color w:val="auto"/>
                <w:sz w:val="24"/>
                <w:szCs w:val="24"/>
                <w:lang w:val="en-US" w:eastAsia="zh-CN"/>
              </w:rPr>
              <w:t>生产工艺流程及产污环节</w:t>
            </w:r>
          </w:p>
          <w:p w14:paraId="6676DEBE">
            <w:pPr>
              <w:numPr>
                <w:ilvl w:val="0"/>
                <w:numId w:val="0"/>
              </w:numPr>
              <w:adjustRightInd w:val="0"/>
              <w:snapToGrid w:val="0"/>
              <w:spacing w:line="36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4"/>
                <w:szCs w:val="24"/>
                <w:lang w:val="en-US" w:eastAsia="zh-CN"/>
              </w:rPr>
              <w:drawing>
                <wp:inline distT="0" distB="0" distL="114300" distR="114300">
                  <wp:extent cx="4885690" cy="2468245"/>
                  <wp:effectExtent l="0" t="0" r="10160" b="8255"/>
                  <wp:docPr id="3" name="F360BE8B-6686-4F3D-AEAF-501FE73E4058-2" descr="C:/Users/Lenovo/AppData/Local/Temp/绘图1(21).png绘图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360BE8B-6686-4F3D-AEAF-501FE73E4058-2" descr="C:/Users/Lenovo/AppData/Local/Temp/绘图1(21).png绘图1(21)"/>
                          <pic:cNvPicPr>
                            <a:picLocks noChangeAspect="1"/>
                          </pic:cNvPicPr>
                        </pic:nvPicPr>
                        <pic:blipFill>
                          <a:blip r:embed="rId12"/>
                          <a:stretch>
                            <a:fillRect/>
                          </a:stretch>
                        </pic:blipFill>
                        <pic:spPr>
                          <a:xfrm>
                            <a:off x="0" y="0"/>
                            <a:ext cx="4885690" cy="2468245"/>
                          </a:xfrm>
                          <a:prstGeom prst="rect">
                            <a:avLst/>
                          </a:prstGeom>
                          <a:noFill/>
                          <a:ln>
                            <a:noFill/>
                          </a:ln>
                        </pic:spPr>
                      </pic:pic>
                    </a:graphicData>
                  </a:graphic>
                </wp:inline>
              </w:drawing>
            </w:r>
          </w:p>
          <w:p w14:paraId="3A9EECCB">
            <w:pPr>
              <w:numPr>
                <w:ilvl w:val="0"/>
                <w:numId w:val="0"/>
              </w:numPr>
              <w:adjustRightInd w:val="0"/>
              <w:snapToGrid w:val="0"/>
              <w:spacing w:line="360" w:lineRule="auto"/>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图2-2</w:t>
            </w:r>
            <w:r>
              <w:rPr>
                <w:rFonts w:hint="eastAsia" w:ascii="Times New Roman" w:hAnsi="Times New Roman" w:cs="Times New Roman"/>
                <w:b/>
                <w:bCs/>
                <w:color w:val="auto"/>
                <w:sz w:val="24"/>
                <w:szCs w:val="24"/>
                <w:lang w:val="en-US" w:eastAsia="zh-CN"/>
              </w:rPr>
              <w:t xml:space="preserve">  膜电极</w:t>
            </w:r>
            <w:r>
              <w:rPr>
                <w:rFonts w:hint="default" w:ascii="Times New Roman" w:hAnsi="Times New Roman" w:cs="Times New Roman"/>
                <w:b/>
                <w:bCs/>
                <w:color w:val="auto"/>
                <w:sz w:val="24"/>
                <w:szCs w:val="24"/>
                <w:lang w:val="en-US" w:eastAsia="zh-CN"/>
              </w:rPr>
              <w:t>生产工艺流程及产污环节</w:t>
            </w:r>
          </w:p>
          <w:p w14:paraId="4E7FB36C">
            <w:pPr>
              <w:numPr>
                <w:ilvl w:val="0"/>
                <w:numId w:val="0"/>
              </w:numPr>
              <w:adjustRightInd w:val="0"/>
              <w:snapToGrid w:val="0"/>
              <w:spacing w:line="360" w:lineRule="auto"/>
              <w:jc w:val="center"/>
              <w:rPr>
                <w:color w:val="auto"/>
              </w:rPr>
            </w:pPr>
            <w:r>
              <w:rPr>
                <w:color w:val="auto"/>
              </w:rPr>
              <w:drawing>
                <wp:inline distT="0" distB="0" distL="114300" distR="114300">
                  <wp:extent cx="2880995" cy="2581910"/>
                  <wp:effectExtent l="0" t="0" r="1460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2880995" cy="2581910"/>
                          </a:xfrm>
                          <a:prstGeom prst="rect">
                            <a:avLst/>
                          </a:prstGeom>
                          <a:noFill/>
                          <a:ln>
                            <a:noFill/>
                          </a:ln>
                        </pic:spPr>
                      </pic:pic>
                    </a:graphicData>
                  </a:graphic>
                </wp:inline>
              </w:drawing>
            </w:r>
          </w:p>
          <w:p w14:paraId="33FBE921">
            <w:pPr>
              <w:numPr>
                <w:ilvl w:val="-1"/>
                <w:numId w:val="0"/>
              </w:numPr>
              <w:adjustRightInd/>
              <w:snapToGrid/>
              <w:spacing w:line="240" w:lineRule="auto"/>
              <w:jc w:val="center"/>
              <w:rPr>
                <w:rFonts w:hint="default"/>
                <w:color w:val="auto"/>
                <w:lang w:val="en-US" w:eastAsia="zh-CN"/>
              </w:rPr>
            </w:pPr>
            <w:r>
              <w:rPr>
                <w:rFonts w:hint="default" w:ascii="Times New Roman" w:hAnsi="Times New Roman" w:cs="Times New Roman"/>
                <w:b/>
                <w:bCs/>
                <w:color w:val="auto"/>
                <w:sz w:val="24"/>
                <w:szCs w:val="24"/>
                <w:lang w:val="en-US" w:eastAsia="zh-CN"/>
              </w:rPr>
              <w:t>图2-</w:t>
            </w:r>
            <w:r>
              <w:rPr>
                <w:rFonts w:hint="eastAsia" w:ascii="Times New Roman" w:hAnsi="Times New Roman" w:cs="Times New Roman"/>
                <w:b/>
                <w:bCs/>
                <w:color w:val="auto"/>
                <w:sz w:val="24"/>
                <w:szCs w:val="24"/>
                <w:lang w:val="en-US" w:eastAsia="zh-CN"/>
              </w:rPr>
              <w:t>3  膜电极结构示意图</w:t>
            </w:r>
          </w:p>
          <w:p w14:paraId="5F129E57">
            <w:pPr>
              <w:numPr>
                <w:ilvl w:val="0"/>
                <w:numId w:val="0"/>
              </w:numPr>
              <w:adjustRightInd w:val="0"/>
              <w:snapToGrid w:val="0"/>
              <w:spacing w:line="360" w:lineRule="auto"/>
              <w:ind w:firstLine="482" w:firstLineChars="200"/>
              <w:jc w:val="both"/>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工艺流程简述：</w:t>
            </w:r>
          </w:p>
          <w:p w14:paraId="7E75BF34">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膜电极产线的工艺流程涉及多个步骤，主要包括催化浆料配制</w:t>
            </w:r>
            <w:r>
              <w:rPr>
                <w:rFonts w:hint="eastAsia" w:ascii="Times New Roman" w:hAnsi="Times New Roman" w:cs="Times New Roman"/>
                <w:color w:val="auto"/>
                <w:sz w:val="24"/>
                <w:szCs w:val="24"/>
                <w:lang w:val="en-US" w:eastAsia="zh-CN"/>
              </w:rPr>
              <w:t>、</w:t>
            </w:r>
            <w:r>
              <w:rPr>
                <w:rFonts w:hint="eastAsia"/>
                <w:color w:val="auto"/>
                <w:sz w:val="24"/>
                <w:szCs w:val="24"/>
                <w:lang w:val="en-US" w:eastAsia="zh-CN"/>
              </w:rPr>
              <w:t>催化剂涂覆膜制备、组装</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后处理与检测几个关键阶段。</w:t>
            </w:r>
          </w:p>
          <w:p w14:paraId="6A3CAE62">
            <w:pPr>
              <w:spacing w:line="360" w:lineRule="auto"/>
              <w:ind w:firstLine="480" w:firstLineChars="20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val="en-US" w:eastAsia="zh-CN"/>
              </w:rPr>
              <w:t>催化浆料配制</w:t>
            </w:r>
          </w:p>
          <w:p w14:paraId="0F4FEBA8">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将全氟磺酸树脂、催化剂、</w:t>
            </w:r>
            <w:r>
              <w:rPr>
                <w:rFonts w:hint="eastAsia" w:ascii="Times New Roman" w:hAnsi="Times New Roman" w:cs="Times New Roman"/>
                <w:color w:val="auto"/>
                <w:sz w:val="24"/>
                <w:szCs w:val="24"/>
                <w:lang w:val="en-US" w:eastAsia="zh-CN"/>
              </w:rPr>
              <w:t>催化剂</w:t>
            </w:r>
            <w:r>
              <w:rPr>
                <w:rFonts w:hint="default" w:ascii="Times New Roman" w:hAnsi="Times New Roman" w:cs="Times New Roman"/>
                <w:color w:val="auto"/>
                <w:sz w:val="24"/>
                <w:szCs w:val="24"/>
                <w:lang w:val="en-US" w:eastAsia="zh-CN"/>
              </w:rPr>
              <w:t>溶剂按配比</w:t>
            </w:r>
            <w:r>
              <w:rPr>
                <w:rFonts w:hint="eastAsia" w:ascii="Times New Roman" w:hAnsi="Times New Roman" w:cs="Times New Roman"/>
                <w:color w:val="auto"/>
                <w:sz w:val="24"/>
                <w:szCs w:val="24"/>
                <w:lang w:val="en-US" w:eastAsia="zh-CN"/>
              </w:rPr>
              <w:t>2:1:</w:t>
            </w:r>
            <w:r>
              <w:rPr>
                <w:rFonts w:hint="eastAsia" w:cs="Times New Roman"/>
                <w:color w:val="auto"/>
                <w:sz w:val="24"/>
                <w:szCs w:val="24"/>
                <w:lang w:val="en-US" w:eastAsia="zh-CN"/>
              </w:rPr>
              <w:t>10</w:t>
            </w:r>
            <w:r>
              <w:rPr>
                <w:rFonts w:hint="eastAsia" w:ascii="Times New Roman" w:hAnsi="Times New Roman" w:cs="Times New Roman"/>
                <w:color w:val="auto"/>
                <w:sz w:val="24"/>
                <w:szCs w:val="24"/>
                <w:lang w:val="en-US" w:eastAsia="zh-CN"/>
              </w:rPr>
              <w:t>进行混合</w:t>
            </w:r>
            <w:r>
              <w:rPr>
                <w:rFonts w:hint="eastAsia"/>
                <w:color w:val="auto"/>
                <w:lang w:eastAsia="zh-CN"/>
              </w:rPr>
              <w:t>，</w:t>
            </w:r>
            <w:r>
              <w:rPr>
                <w:rFonts w:hint="eastAsia"/>
                <w:color w:val="auto"/>
                <w:sz w:val="24"/>
                <w:szCs w:val="32"/>
                <w:lang w:val="en-US" w:eastAsia="zh-CN"/>
              </w:rPr>
              <w:t>该过程在</w:t>
            </w:r>
            <w:r>
              <w:rPr>
                <w:rFonts w:hint="eastAsia" w:cs="Times New Roman"/>
                <w:color w:val="auto"/>
                <w:sz w:val="24"/>
                <w:szCs w:val="24"/>
                <w:lang w:val="en-US" w:eastAsia="zh-CN"/>
              </w:rPr>
              <w:t>调配室</w:t>
            </w:r>
            <w:r>
              <w:rPr>
                <w:rFonts w:hint="eastAsia" w:ascii="Times New Roman" w:hAnsi="Times New Roman" w:cs="Times New Roman"/>
                <w:color w:val="auto"/>
                <w:sz w:val="24"/>
                <w:szCs w:val="24"/>
                <w:lang w:val="en-US" w:eastAsia="zh-CN"/>
              </w:rPr>
              <w:t>通风橱内进行，将三者加入</w:t>
            </w:r>
            <w:r>
              <w:rPr>
                <w:rFonts w:hint="eastAsia"/>
                <w:color w:val="auto"/>
                <w:sz w:val="24"/>
                <w:szCs w:val="32"/>
                <w:lang w:val="en-US" w:eastAsia="zh-CN"/>
              </w:rPr>
              <w:t>搅拌机后进行</w:t>
            </w:r>
            <w:r>
              <w:rPr>
                <w:rFonts w:hint="default" w:ascii="Times New Roman" w:hAnsi="Times New Roman" w:cs="Times New Roman"/>
                <w:color w:val="auto"/>
                <w:sz w:val="24"/>
                <w:szCs w:val="24"/>
                <w:lang w:val="en-US" w:eastAsia="zh-CN"/>
              </w:rPr>
              <w:t>混合</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进行充分分散和均质化，形成稳定、粘度合适的催化浆料。浆料质量直接影响涂层均匀性和性能。配料过程均在</w:t>
            </w:r>
            <w:r>
              <w:rPr>
                <w:rFonts w:hint="eastAsia" w:cs="Times New Roman"/>
                <w:color w:val="auto"/>
                <w:sz w:val="24"/>
                <w:szCs w:val="24"/>
                <w:lang w:val="en-US" w:eastAsia="zh-CN"/>
              </w:rPr>
              <w:t>调配室</w:t>
            </w:r>
            <w:r>
              <w:rPr>
                <w:rFonts w:hint="eastAsia" w:ascii="Times New Roman" w:hAnsi="Times New Roman" w:cs="Times New Roman"/>
                <w:color w:val="auto"/>
                <w:sz w:val="24"/>
                <w:szCs w:val="24"/>
                <w:lang w:val="en-US" w:eastAsia="zh-CN"/>
              </w:rPr>
              <w:t>进行。催化剂</w:t>
            </w:r>
            <w:r>
              <w:rPr>
                <w:rFonts w:hint="default" w:ascii="Times New Roman" w:hAnsi="Times New Roman" w:cs="Times New Roman"/>
                <w:color w:val="auto"/>
                <w:sz w:val="24"/>
                <w:szCs w:val="24"/>
                <w:lang w:val="en-US" w:eastAsia="zh-CN"/>
              </w:rPr>
              <w:t>溶剂</w:t>
            </w:r>
            <w:r>
              <w:rPr>
                <w:rFonts w:hint="eastAsia" w:ascii="Times New Roman" w:hAnsi="Times New Roman" w:cs="Times New Roman"/>
                <w:color w:val="auto"/>
                <w:sz w:val="24"/>
                <w:szCs w:val="24"/>
                <w:lang w:val="en-US" w:eastAsia="zh-CN"/>
              </w:rPr>
              <w:t>主要成分为N-甲基吡络烷酮、乙二醇二甲醚、去离子水、异丙醇。N-甲基吡络烷酮</w:t>
            </w:r>
            <w:r>
              <w:rPr>
                <w:rFonts w:hint="default" w:ascii="Times New Roman" w:hAnsi="Times New Roman" w:cs="Times New Roman"/>
                <w:color w:val="auto"/>
                <w:sz w:val="24"/>
                <w:szCs w:val="24"/>
                <w:lang w:val="en-US" w:eastAsia="zh-CN"/>
              </w:rPr>
              <w:t>常温下是稳定的，</w:t>
            </w:r>
            <w:r>
              <w:rPr>
                <w:rFonts w:hint="eastAsia" w:cs="Times New Roman"/>
                <w:color w:val="auto"/>
                <w:sz w:val="24"/>
                <w:szCs w:val="24"/>
                <w:lang w:val="en-US" w:eastAsia="zh-CN"/>
              </w:rPr>
              <w:t>不易</w:t>
            </w:r>
            <w:r>
              <w:rPr>
                <w:rFonts w:hint="default" w:ascii="Times New Roman" w:hAnsi="Times New Roman" w:cs="Times New Roman"/>
                <w:color w:val="auto"/>
                <w:sz w:val="24"/>
                <w:szCs w:val="24"/>
                <w:lang w:val="en-US" w:eastAsia="zh-CN"/>
              </w:rPr>
              <w:t>挥发，</w:t>
            </w:r>
            <w:r>
              <w:rPr>
                <w:rFonts w:hint="eastAsia" w:ascii="Times New Roman" w:hAnsi="Times New Roman" w:cs="Times New Roman"/>
                <w:color w:val="auto"/>
                <w:sz w:val="24"/>
                <w:szCs w:val="24"/>
                <w:lang w:val="en-US" w:eastAsia="zh-CN"/>
              </w:rPr>
              <w:t>沸点为202</w:t>
            </w:r>
            <w:r>
              <w:rPr>
                <w:rFonts w:hint="default" w:ascii="Times New Roman" w:hAnsi="Times New Roman" w:cs="Times New Roman"/>
                <w:color w:val="auto"/>
                <w:sz w:val="24"/>
                <w:szCs w:val="24"/>
                <w:lang w:val="en-US" w:eastAsia="zh-CN"/>
              </w:rPr>
              <w:t>℃；全氟磺酸树脂具有良好的热稳定性，在200℃左右的温度下长期保持稳定，其热分解温度一般在350℃以上；</w:t>
            </w:r>
            <w:r>
              <w:rPr>
                <w:rFonts w:hint="eastAsia" w:ascii="Times New Roman" w:hAnsi="Times New Roman" w:cs="Times New Roman"/>
                <w:color w:val="auto"/>
                <w:sz w:val="24"/>
                <w:szCs w:val="24"/>
                <w:lang w:val="en-US" w:eastAsia="zh-CN"/>
              </w:rPr>
              <w:t>乙二醇二甲醚</w:t>
            </w:r>
            <w:r>
              <w:rPr>
                <w:rFonts w:hint="default" w:ascii="Times New Roman" w:hAnsi="Times New Roman" w:cs="Times New Roman"/>
                <w:color w:val="auto"/>
                <w:sz w:val="24"/>
                <w:szCs w:val="24"/>
                <w:lang w:val="en-US" w:eastAsia="zh-CN"/>
              </w:rPr>
              <w:t>和异丙醇</w:t>
            </w:r>
            <w:r>
              <w:rPr>
                <w:rFonts w:hint="eastAsia" w:ascii="Times New Roman" w:hAnsi="Times New Roman" w:cs="Times New Roman"/>
                <w:color w:val="auto"/>
                <w:sz w:val="24"/>
                <w:szCs w:val="24"/>
                <w:lang w:val="en-US" w:eastAsia="zh-CN"/>
              </w:rPr>
              <w:t>易挥发，故在配制过程</w:t>
            </w:r>
            <w:r>
              <w:rPr>
                <w:rFonts w:hint="default" w:ascii="Times New Roman" w:hAnsi="Times New Roman" w:cs="Times New Roman"/>
                <w:color w:val="auto"/>
                <w:sz w:val="24"/>
                <w:szCs w:val="24"/>
                <w:lang w:val="en-US" w:eastAsia="zh-CN"/>
              </w:rPr>
              <w:t>中会挥发少量废气。此过程会产生少量的有机废气。</w:t>
            </w:r>
          </w:p>
          <w:p w14:paraId="110D8D70">
            <w:pPr>
              <w:spacing w:line="360" w:lineRule="auto"/>
              <w:ind w:firstLine="480" w:firstLineChars="20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w:t>
            </w:r>
            <w:r>
              <w:rPr>
                <w:rFonts w:hint="eastAsia"/>
                <w:color w:val="auto"/>
                <w:sz w:val="24"/>
                <w:szCs w:val="24"/>
                <w:lang w:val="en-US" w:eastAsia="zh-CN"/>
              </w:rPr>
              <w:t>催化剂涂覆膜制备</w:t>
            </w:r>
          </w:p>
          <w:p w14:paraId="519BF7C7">
            <w:pPr>
              <w:spacing w:line="360" w:lineRule="auto"/>
              <w:ind w:firstLine="480" w:firstLineChars="200"/>
              <w:rPr>
                <w:rFonts w:hint="default" w:ascii="Times New Roman" w:hAnsi="Times New Roman" w:cs="Times New Roman"/>
                <w:color w:val="auto"/>
                <w:sz w:val="24"/>
                <w:szCs w:val="24"/>
                <w:lang w:val="en-US" w:eastAsia="zh-CN"/>
              </w:rPr>
            </w:pPr>
            <w:r>
              <w:rPr>
                <w:rFonts w:hint="default"/>
                <w:color w:val="auto"/>
                <w:sz w:val="24"/>
                <w:szCs w:val="24"/>
                <w:lang w:val="en-US" w:eastAsia="zh-CN"/>
              </w:rPr>
              <w:t>将</w:t>
            </w:r>
            <w:r>
              <w:rPr>
                <w:rFonts w:hint="default" w:ascii="Times New Roman" w:hAnsi="Times New Roman" w:cs="Times New Roman"/>
                <w:color w:val="auto"/>
                <w:sz w:val="24"/>
                <w:szCs w:val="24"/>
                <w:lang w:val="en-US" w:eastAsia="zh-CN"/>
              </w:rPr>
              <w:t>质子交换膜</w:t>
            </w:r>
            <w:r>
              <w:rPr>
                <w:rFonts w:hint="default"/>
                <w:color w:val="auto"/>
                <w:sz w:val="24"/>
                <w:szCs w:val="24"/>
                <w:lang w:val="en-US" w:eastAsia="zh-CN"/>
              </w:rPr>
              <w:t>以卷材形式连续进料，经过涂布</w:t>
            </w:r>
            <w:r>
              <w:rPr>
                <w:rFonts w:hint="eastAsia"/>
                <w:color w:val="auto"/>
                <w:sz w:val="24"/>
                <w:szCs w:val="24"/>
                <w:lang w:val="en-US" w:eastAsia="zh-CN"/>
              </w:rPr>
              <w:t>催化浆料</w:t>
            </w:r>
            <w:r>
              <w:rPr>
                <w:rFonts w:hint="default"/>
                <w:color w:val="auto"/>
                <w:sz w:val="24"/>
                <w:szCs w:val="24"/>
                <w:lang w:val="en-US" w:eastAsia="zh-CN"/>
              </w:rPr>
              <w:t>、干燥、</w:t>
            </w:r>
            <w:r>
              <w:rPr>
                <w:rFonts w:hint="eastAsia"/>
                <w:color w:val="auto"/>
                <w:sz w:val="24"/>
                <w:szCs w:val="24"/>
                <w:lang w:val="en-US" w:eastAsia="zh-CN"/>
              </w:rPr>
              <w:t>检测、</w:t>
            </w:r>
            <w:r>
              <w:rPr>
                <w:rFonts w:hint="default"/>
                <w:color w:val="auto"/>
                <w:sz w:val="24"/>
                <w:szCs w:val="24"/>
                <w:lang w:val="en-US" w:eastAsia="zh-CN"/>
              </w:rPr>
              <w:t>收卷等工序</w:t>
            </w:r>
            <w:r>
              <w:rPr>
                <w:rFonts w:hint="eastAsia"/>
                <w:color w:val="auto"/>
                <w:sz w:val="24"/>
                <w:szCs w:val="24"/>
                <w:lang w:val="en-US" w:eastAsia="zh-CN"/>
              </w:rPr>
              <w:t>后形成催化剂涂覆膜</w:t>
            </w:r>
            <w:r>
              <w:rPr>
                <w:rFonts w:hint="default"/>
                <w:color w:val="auto"/>
                <w:sz w:val="24"/>
                <w:szCs w:val="24"/>
                <w:lang w:val="en-US" w:eastAsia="zh-CN"/>
              </w:rPr>
              <w:t>。</w:t>
            </w:r>
            <w:r>
              <w:rPr>
                <w:rFonts w:hint="eastAsia"/>
                <w:color w:val="auto"/>
                <w:sz w:val="24"/>
                <w:szCs w:val="24"/>
                <w:lang w:val="en-US" w:eastAsia="zh-CN"/>
              </w:rPr>
              <w:t>涂布在卷</w:t>
            </w:r>
            <w:r>
              <w:rPr>
                <w:rFonts w:hint="eastAsia" w:ascii="Times New Roman" w:hAnsi="Times New Roman" w:eastAsia="宋体" w:cs="Times New Roman"/>
                <w:color w:val="auto"/>
                <w:sz w:val="24"/>
                <w:szCs w:val="24"/>
                <w:lang w:val="en-US" w:eastAsia="zh-CN"/>
              </w:rPr>
              <w:t>材涂布机上进行，涂布厚度为50-100微米，两侧均进行涂布。干燥过程在干燥箱中进行，干燥温度为120</w:t>
            </w:r>
            <w:r>
              <w:rPr>
                <w:rFonts w:hint="default" w:ascii="Times New Roman" w:hAnsi="Times New Roman"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，干燥时间约2min。浆料在干燥过程中乙二醇二甲醚</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异丙醇</w:t>
            </w:r>
            <w:r>
              <w:rPr>
                <w:rFonts w:hint="eastAsia" w:cs="Times New Roman"/>
                <w:color w:val="auto"/>
                <w:sz w:val="24"/>
                <w:szCs w:val="24"/>
                <w:lang w:val="en-US" w:eastAsia="zh-CN"/>
              </w:rPr>
              <w:t>、</w:t>
            </w:r>
            <w:r>
              <w:rPr>
                <w:rFonts w:hint="eastAsia" w:ascii="Times New Roman" w:hAnsi="Times New Roman" w:cs="Times New Roman"/>
                <w:color w:val="auto"/>
                <w:sz w:val="24"/>
                <w:szCs w:val="24"/>
                <w:lang w:val="en-US" w:eastAsia="zh-CN"/>
              </w:rPr>
              <w:t>N-甲基吡络烷酮</w:t>
            </w:r>
            <w:r>
              <w:rPr>
                <w:rFonts w:hint="eastAsia" w:ascii="Times New Roman" w:hAnsi="Times New Roman" w:eastAsia="宋体" w:cs="Times New Roman"/>
                <w:color w:val="auto"/>
                <w:sz w:val="24"/>
                <w:szCs w:val="24"/>
                <w:lang w:val="en-US" w:eastAsia="zh-CN"/>
              </w:rPr>
              <w:t>挥发会产生废气。</w:t>
            </w:r>
            <w:r>
              <w:rPr>
                <w:rFonts w:hint="default" w:ascii="Times New Roman" w:hAnsi="Times New Roman" w:cs="Times New Roman"/>
                <w:color w:val="auto"/>
                <w:sz w:val="24"/>
                <w:szCs w:val="24"/>
                <w:lang w:val="en-US" w:eastAsia="zh-CN"/>
              </w:rPr>
              <w:t>此过程会产生有机废气</w:t>
            </w:r>
            <w:r>
              <w:rPr>
                <w:rFonts w:hint="eastAsia" w:ascii="Times New Roman" w:hAnsi="Times New Roman" w:cs="Times New Roman"/>
                <w:color w:val="auto"/>
                <w:sz w:val="24"/>
                <w:szCs w:val="24"/>
                <w:lang w:val="en-US" w:eastAsia="zh-CN"/>
              </w:rPr>
              <w:t>和噪声</w:t>
            </w:r>
            <w:r>
              <w:rPr>
                <w:rFonts w:hint="default" w:ascii="Times New Roman" w:hAnsi="Times New Roman" w:cs="Times New Roman"/>
                <w:color w:val="auto"/>
                <w:sz w:val="24"/>
                <w:szCs w:val="24"/>
                <w:lang w:val="en-US" w:eastAsia="zh-CN"/>
              </w:rPr>
              <w:t>。</w:t>
            </w:r>
          </w:p>
          <w:p w14:paraId="162768E5">
            <w:pPr>
              <w:spacing w:line="360" w:lineRule="auto"/>
              <w:ind w:firstLine="480" w:firstLineChars="20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（3）组装</w:t>
            </w:r>
          </w:p>
          <w:p w14:paraId="26657AE0">
            <w:pPr>
              <w:spacing w:line="360" w:lineRule="auto"/>
              <w:ind w:firstLine="480" w:firstLineChars="20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使用精密视觉裁切机裁切气体扩散层，使用贴合设备</w:t>
            </w:r>
            <w:r>
              <w:rPr>
                <w:rFonts w:hint="default" w:ascii="Times New Roman" w:hAnsi="Times New Roman" w:cs="Times New Roman"/>
                <w:color w:val="auto"/>
                <w:sz w:val="24"/>
                <w:szCs w:val="24"/>
                <w:lang w:val="en-US" w:eastAsia="zh-CN"/>
              </w:rPr>
              <w:t>将裁切好的</w:t>
            </w:r>
            <w:r>
              <w:rPr>
                <w:rFonts w:hint="eastAsia"/>
                <w:color w:val="auto"/>
                <w:sz w:val="24"/>
                <w:szCs w:val="24"/>
                <w:lang w:val="en-US" w:eastAsia="zh-CN"/>
              </w:rPr>
              <w:t>气体扩散层、催化剂涂覆膜、边框按照“边框-气体扩散层-催化剂涂覆膜-气体扩散层-边框”的顺序精确叠放对齐，</w:t>
            </w:r>
            <w:r>
              <w:rPr>
                <w:rFonts w:hint="default" w:ascii="Times New Roman" w:hAnsi="Times New Roman" w:cs="Times New Roman"/>
                <w:color w:val="auto"/>
                <w:sz w:val="24"/>
                <w:szCs w:val="24"/>
                <w:lang w:val="en-US" w:eastAsia="zh-CN"/>
              </w:rPr>
              <w:t>形成三明治结构。将层叠好的组件放入</w:t>
            </w:r>
            <w:r>
              <w:rPr>
                <w:rFonts w:hint="eastAsia" w:ascii="Times New Roman" w:hAnsi="Times New Roman" w:cs="Times New Roman"/>
                <w:color w:val="auto"/>
                <w:sz w:val="24"/>
                <w:szCs w:val="24"/>
                <w:lang w:val="en-US" w:eastAsia="zh-CN"/>
              </w:rPr>
              <w:t>伺服</w:t>
            </w:r>
            <w:r>
              <w:rPr>
                <w:rFonts w:hint="default" w:ascii="Times New Roman" w:hAnsi="Times New Roman" w:cs="Times New Roman"/>
                <w:color w:val="auto"/>
                <w:sz w:val="24"/>
                <w:szCs w:val="24"/>
                <w:lang w:val="en-US" w:eastAsia="zh-CN"/>
              </w:rPr>
              <w:t>热压机，</w:t>
            </w:r>
            <w:r>
              <w:rPr>
                <w:rFonts w:hint="eastAsia" w:ascii="Times New Roman" w:hAnsi="Times New Roman" w:cs="Times New Roman"/>
                <w:color w:val="auto"/>
                <w:sz w:val="24"/>
                <w:szCs w:val="24"/>
                <w:lang w:val="en-US" w:eastAsia="zh-CN"/>
              </w:rPr>
              <w:t>100</w:t>
            </w:r>
            <w:r>
              <w:rPr>
                <w:rFonts w:hint="default" w:ascii="Times New Roman" w:hAnsi="Times New Roman" w:cs="Times New Roman"/>
                <w:color w:val="auto"/>
                <w:sz w:val="24"/>
                <w:szCs w:val="24"/>
                <w:lang w:val="en-US" w:eastAsia="zh-CN"/>
              </w:rPr>
              <w:t>℃压合</w:t>
            </w:r>
            <w:r>
              <w:rPr>
                <w:rFonts w:hint="eastAsia"/>
                <w:color w:val="auto"/>
                <w:sz w:val="24"/>
                <w:szCs w:val="24"/>
                <w:lang w:val="en-US" w:eastAsia="zh-CN"/>
              </w:rPr>
              <w:t>10-20s</w:t>
            </w:r>
            <w:r>
              <w:rPr>
                <w:rFonts w:hint="default" w:ascii="Times New Roman" w:hAnsi="Times New Roman" w:cs="Times New Roman"/>
                <w:color w:val="auto"/>
                <w:sz w:val="24"/>
                <w:szCs w:val="24"/>
                <w:lang w:val="en-US" w:eastAsia="zh-CN"/>
              </w:rPr>
              <w:t>。在压力下或保压降温至安全温度后卸压</w:t>
            </w:r>
            <w:r>
              <w:rPr>
                <w:rFonts w:hint="eastAsia" w:ascii="Times New Roman" w:hAnsi="Times New Roman" w:cs="Times New Roman"/>
                <w:color w:val="auto"/>
                <w:sz w:val="24"/>
                <w:szCs w:val="24"/>
                <w:lang w:val="en-US" w:eastAsia="zh-CN"/>
              </w:rPr>
              <w:t>，组装后的成品即为膜电极</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此过程会产生噪声、废边角料。</w:t>
            </w:r>
          </w:p>
          <w:p w14:paraId="6836343C">
            <w:pPr>
              <w:numPr>
                <w:ilvl w:val="0"/>
                <w:numId w:val="0"/>
              </w:numPr>
              <w:spacing w:line="360" w:lineRule="auto"/>
              <w:ind w:firstLine="480" w:firstLineChars="20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lang w:val="en-US" w:eastAsia="zh-CN"/>
              </w:rPr>
              <w:t>后处理与检测</w:t>
            </w:r>
          </w:p>
          <w:p w14:paraId="720EB36E">
            <w:pPr>
              <w:pStyle w:val="58"/>
              <w:numPr>
                <w:ilvl w:val="0"/>
                <w:numId w:val="0"/>
              </w:numPr>
              <w:autoSpaceDE w:val="0"/>
              <w:autoSpaceDN w:val="0"/>
              <w:adjustRightInd w:val="0"/>
              <w:spacing w:line="360" w:lineRule="auto"/>
              <w:ind w:firstLine="480" w:firstLineChars="200"/>
              <w:jc w:val="both"/>
              <w:rPr>
                <w:color w:val="auto"/>
              </w:rPr>
            </w:pPr>
            <w:r>
              <w:rPr>
                <w:rFonts w:hint="default" w:ascii="Times New Roman" w:hAnsi="Times New Roman" w:cs="Times New Roman"/>
                <w:color w:val="auto"/>
                <w:sz w:val="24"/>
                <w:szCs w:val="24"/>
                <w:lang w:val="en-US" w:eastAsia="zh-CN"/>
              </w:rPr>
              <w:t>将层压好的大片</w:t>
            </w:r>
            <w:r>
              <w:rPr>
                <w:rFonts w:hint="eastAsia" w:ascii="Times New Roman" w:hAnsi="Times New Roman" w:cs="Times New Roman"/>
                <w:color w:val="auto"/>
                <w:sz w:val="24"/>
                <w:szCs w:val="24"/>
                <w:lang w:val="en-US" w:eastAsia="zh-CN"/>
              </w:rPr>
              <w:t>膜电极</w:t>
            </w:r>
            <w:r>
              <w:rPr>
                <w:rFonts w:hint="default" w:ascii="Times New Roman" w:hAnsi="Times New Roman" w:cs="Times New Roman"/>
                <w:color w:val="auto"/>
                <w:sz w:val="24"/>
                <w:szCs w:val="24"/>
                <w:lang w:val="en-US" w:eastAsia="zh-CN"/>
              </w:rPr>
              <w:t>，通过伺服平板模切机裁切成最终所需的单体电池尺寸</w:t>
            </w:r>
            <w:r>
              <w:rPr>
                <w:rFonts w:hint="eastAsia" w:ascii="Times New Roman" w:hAnsi="Times New Roman" w:cs="Times New Roman"/>
                <w:color w:val="auto"/>
                <w:sz w:val="24"/>
                <w:szCs w:val="24"/>
                <w:lang w:val="en-US" w:eastAsia="zh-CN"/>
              </w:rPr>
              <w:t>。对其进行外观检查、尺寸测量等最终检测后</w:t>
            </w:r>
            <w:r>
              <w:rPr>
                <w:rFonts w:hint="default" w:ascii="Times New Roman" w:hAnsi="Times New Roman" w:cs="Times New Roman"/>
                <w:color w:val="auto"/>
                <w:sz w:val="24"/>
                <w:szCs w:val="24"/>
                <w:lang w:val="en-US" w:eastAsia="zh-CN"/>
              </w:rPr>
              <w:t>，对合格</w:t>
            </w:r>
            <w:r>
              <w:rPr>
                <w:rFonts w:hint="eastAsia" w:ascii="Times New Roman" w:hAnsi="Times New Roman" w:cs="Times New Roman"/>
                <w:color w:val="auto"/>
                <w:sz w:val="24"/>
                <w:szCs w:val="24"/>
                <w:lang w:val="en-US" w:eastAsia="zh-CN"/>
              </w:rPr>
              <w:t>膜电极</w:t>
            </w:r>
            <w:r>
              <w:rPr>
                <w:rFonts w:hint="default" w:ascii="Times New Roman" w:hAnsi="Times New Roman" w:cs="Times New Roman"/>
                <w:color w:val="auto"/>
                <w:sz w:val="24"/>
                <w:szCs w:val="24"/>
                <w:lang w:val="en-US" w:eastAsia="zh-CN"/>
              </w:rPr>
              <w:t>进行标识，记录生产批次、时间、参数等信息，实现产品追溯</w:t>
            </w:r>
            <w:r>
              <w:rPr>
                <w:rFonts w:hint="default" w:ascii="Times New Roman" w:hAnsi="Times New Roman" w:eastAsia="宋体" w:cs="Times New Roman"/>
                <w:b w:val="0"/>
                <w:bCs w:val="0"/>
                <w:color w:val="auto"/>
                <w:sz w:val="24"/>
                <w:szCs w:val="24"/>
                <w:lang w:val="en-US" w:eastAsia="zh-CN" w:bidi="ar-SA"/>
              </w:rPr>
              <w:t>。</w:t>
            </w:r>
            <w:r>
              <w:rPr>
                <w:rFonts w:hint="eastAsia" w:ascii="Times New Roman" w:hAnsi="Times New Roman" w:cs="Times New Roman"/>
                <w:b w:val="0"/>
                <w:bCs w:val="0"/>
                <w:color w:val="auto"/>
                <w:sz w:val="24"/>
                <w:szCs w:val="24"/>
                <w:lang w:val="en-US" w:eastAsia="zh-CN" w:bidi="ar-SA"/>
              </w:rPr>
              <w:t>此过程会产生噪声、废边角料、废包装材料。</w:t>
            </w:r>
          </w:p>
          <w:p w14:paraId="4001CF22">
            <w:pPr>
              <w:numPr>
                <w:ilvl w:val="0"/>
                <w:numId w:val="5"/>
              </w:numPr>
              <w:adjustRightInd w:val="0"/>
              <w:snapToGrid w:val="0"/>
              <w:spacing w:line="360" w:lineRule="auto"/>
              <w:jc w:val="both"/>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氢气泄漏检测胶带</w:t>
            </w:r>
            <w:r>
              <w:rPr>
                <w:rFonts w:hint="eastAsia" w:ascii="Times New Roman" w:hAnsi="Times New Roman" w:eastAsia="宋体" w:cs="Times New Roman"/>
                <w:b/>
                <w:bCs w:val="0"/>
                <w:color w:val="auto"/>
                <w:sz w:val="24"/>
                <w:szCs w:val="24"/>
                <w:lang w:val="en-US" w:eastAsia="zh-CN"/>
              </w:rPr>
              <w:t>生产</w:t>
            </w:r>
            <w:r>
              <w:rPr>
                <w:rFonts w:hint="default" w:ascii="Times New Roman" w:hAnsi="Times New Roman" w:eastAsia="宋体" w:cs="Times New Roman"/>
                <w:b/>
                <w:bCs w:val="0"/>
                <w:color w:val="auto"/>
                <w:sz w:val="24"/>
                <w:szCs w:val="24"/>
                <w:lang w:val="en-US" w:eastAsia="zh-CN"/>
              </w:rPr>
              <w:t>工艺流程及产污环节</w:t>
            </w:r>
          </w:p>
          <w:p w14:paraId="4D0C5CC4">
            <w:pPr>
              <w:numPr>
                <w:ilvl w:val="0"/>
                <w:numId w:val="0"/>
              </w:numPr>
              <w:adjustRightInd w:val="0"/>
              <w:snapToGrid w:val="0"/>
              <w:spacing w:line="360" w:lineRule="auto"/>
              <w:jc w:val="center"/>
              <w:rPr>
                <w:rFonts w:hint="eastAsia" w:ascii="Times New Roman" w:hAnsi="Times New Roman" w:eastAsia="宋体" w:cs="Times New Roman"/>
                <w:color w:val="auto"/>
                <w:sz w:val="21"/>
                <w:lang w:eastAsia="zh-CN"/>
              </w:rPr>
            </w:pPr>
            <w:r>
              <w:rPr>
                <w:rFonts w:hint="default" w:ascii="Times New Roman" w:hAnsi="Times New Roman" w:cs="Times New Roman"/>
                <w:b w:val="0"/>
                <w:bCs w:val="0"/>
                <w:color w:val="auto"/>
                <w:lang w:val="en-US" w:eastAsia="zh-CN"/>
              </w:rPr>
              <w:drawing>
                <wp:inline distT="0" distB="0" distL="114300" distR="114300">
                  <wp:extent cx="5221605" cy="2106295"/>
                  <wp:effectExtent l="0" t="0" r="17145" b="8255"/>
                  <wp:docPr id="5" name="F360BE8B-6686-4F3D-AEAF-501FE73E4058-3" descr="C:/Users/Lenovo/AppData/Local/Temp/绘图1(22).png绘图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360BE8B-6686-4F3D-AEAF-501FE73E4058-3" descr="C:/Users/Lenovo/AppData/Local/Temp/绘图1(22).png绘图1(22)"/>
                          <pic:cNvPicPr>
                            <a:picLocks noChangeAspect="1"/>
                          </pic:cNvPicPr>
                        </pic:nvPicPr>
                        <pic:blipFill>
                          <a:blip r:embed="rId14"/>
                          <a:stretch>
                            <a:fillRect/>
                          </a:stretch>
                        </pic:blipFill>
                        <pic:spPr>
                          <a:xfrm>
                            <a:off x="0" y="0"/>
                            <a:ext cx="5221605" cy="2106295"/>
                          </a:xfrm>
                          <a:prstGeom prst="rect">
                            <a:avLst/>
                          </a:prstGeom>
                          <a:noFill/>
                          <a:ln>
                            <a:noFill/>
                          </a:ln>
                        </pic:spPr>
                      </pic:pic>
                    </a:graphicData>
                  </a:graphic>
                </wp:inline>
              </w:drawing>
            </w:r>
          </w:p>
          <w:p w14:paraId="302E722A">
            <w:pPr>
              <w:numPr>
                <w:ilvl w:val="0"/>
                <w:numId w:val="0"/>
              </w:numPr>
              <w:adjustRightInd w:val="0"/>
              <w:snapToGrid w:val="0"/>
              <w:spacing w:line="360" w:lineRule="auto"/>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图2-</w:t>
            </w:r>
            <w:r>
              <w:rPr>
                <w:rFonts w:hint="eastAsia" w:ascii="Times New Roman" w:hAnsi="Times New Roman" w:cs="Times New Roman"/>
                <w:b/>
                <w:bCs/>
                <w:color w:val="auto"/>
                <w:sz w:val="24"/>
                <w:szCs w:val="24"/>
                <w:lang w:val="en-US" w:eastAsia="zh-CN"/>
              </w:rPr>
              <w:t xml:space="preserve">4  </w:t>
            </w:r>
            <w:r>
              <w:rPr>
                <w:rFonts w:hint="default" w:ascii="Times New Roman" w:hAnsi="Times New Roman" w:cs="Times New Roman"/>
                <w:b/>
                <w:bCs/>
                <w:color w:val="auto"/>
                <w:sz w:val="24"/>
                <w:szCs w:val="24"/>
                <w:lang w:val="en-US" w:eastAsia="zh-CN"/>
              </w:rPr>
              <w:t>氢气泄漏检测胶带生产工艺流程及产污环节</w:t>
            </w:r>
          </w:p>
          <w:p w14:paraId="3BE4A573">
            <w:pPr>
              <w:jc w:val="center"/>
              <w:rPr>
                <w:color w:val="auto"/>
              </w:rPr>
            </w:pPr>
            <w:r>
              <w:rPr>
                <w:color w:val="auto"/>
              </w:rPr>
              <w:drawing>
                <wp:inline distT="0" distB="0" distL="114300" distR="114300">
                  <wp:extent cx="4495800" cy="866775"/>
                  <wp:effectExtent l="0" t="0" r="0" b="952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5"/>
                          <a:stretch>
                            <a:fillRect/>
                          </a:stretch>
                        </pic:blipFill>
                        <pic:spPr>
                          <a:xfrm>
                            <a:off x="0" y="0"/>
                            <a:ext cx="4495800" cy="866775"/>
                          </a:xfrm>
                          <a:prstGeom prst="rect">
                            <a:avLst/>
                          </a:prstGeom>
                          <a:noFill/>
                          <a:ln>
                            <a:noFill/>
                          </a:ln>
                        </pic:spPr>
                      </pic:pic>
                    </a:graphicData>
                  </a:graphic>
                </wp:inline>
              </w:drawing>
            </w:r>
          </w:p>
          <w:p w14:paraId="406B4AB2">
            <w:pPr>
              <w:pStyle w:val="5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right="0" w:rightChars="0"/>
              <w:jc w:val="center"/>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图2-</w:t>
            </w:r>
            <w:r>
              <w:rPr>
                <w:rFonts w:hint="eastAsia" w:ascii="Times New Roman" w:hAnsi="Times New Roman" w:cs="Times New Roman"/>
                <w:b/>
                <w:bCs/>
                <w:color w:val="auto"/>
                <w:sz w:val="24"/>
                <w:szCs w:val="24"/>
                <w:lang w:val="en-US" w:eastAsia="zh-CN"/>
              </w:rPr>
              <w:t xml:space="preserve">5  </w:t>
            </w:r>
            <w:r>
              <w:rPr>
                <w:rFonts w:hint="default" w:ascii="Times New Roman" w:hAnsi="Times New Roman" w:cs="Times New Roman"/>
                <w:b/>
                <w:bCs/>
                <w:color w:val="auto"/>
                <w:sz w:val="24"/>
                <w:szCs w:val="24"/>
                <w:lang w:val="en-US" w:eastAsia="zh-CN"/>
              </w:rPr>
              <w:t>氢气泄漏检测胶带</w:t>
            </w:r>
            <w:r>
              <w:rPr>
                <w:rFonts w:hint="eastAsia" w:ascii="Times New Roman" w:hAnsi="Times New Roman" w:cs="Times New Roman"/>
                <w:b/>
                <w:bCs/>
                <w:color w:val="auto"/>
                <w:sz w:val="24"/>
                <w:szCs w:val="24"/>
                <w:lang w:val="en-US" w:eastAsia="zh-CN"/>
              </w:rPr>
              <w:t>结构示意图</w:t>
            </w:r>
          </w:p>
          <w:p w14:paraId="64ED3C79">
            <w:pPr>
              <w:numPr>
                <w:ilvl w:val="0"/>
                <w:numId w:val="0"/>
              </w:numPr>
              <w:adjustRightInd w:val="0"/>
              <w:snapToGrid w:val="0"/>
              <w:spacing w:line="360" w:lineRule="auto"/>
              <w:ind w:firstLine="482" w:firstLineChars="200"/>
              <w:jc w:val="both"/>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工艺流程简述：</w:t>
            </w:r>
          </w:p>
          <w:p w14:paraId="1F9E3C71">
            <w:pPr>
              <w:pStyle w:val="5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right="0" w:rightChars="0" w:firstLine="480" w:firstLineChars="200"/>
              <w:textAlignment w:val="auto"/>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氢气泄漏检测胶带</w:t>
            </w:r>
            <w:r>
              <w:rPr>
                <w:rFonts w:hint="eastAsia"/>
                <w:color w:val="auto"/>
                <w:lang w:val="en-US" w:eastAsia="zh-CN"/>
              </w:rPr>
              <w:t>可在加氢站管道与接头处、储氢罐体与阀门区域、氢燃料运输车辆接口、科研实验平台与氢能试验台、燃料电池系统密封接口等地方进行应用。使用氢气泄漏检测胶带后，若存在氢气泄漏现象，响应</w:t>
            </w:r>
            <w:r>
              <w:rPr>
                <w:rFonts w:hint="default" w:ascii="Times New Roman" w:hAnsi="Times New Roman" w:cs="Times New Roman"/>
                <w:color w:val="auto"/>
                <w:lang w:val="en-US" w:eastAsia="zh-CN"/>
              </w:rPr>
              <w:t>时间</w:t>
            </w:r>
            <w:r>
              <w:rPr>
                <w:rFonts w:hint="eastAsia" w:ascii="Times New Roman" w:hAnsi="Times New Roman" w:cs="Times New Roman"/>
                <w:color w:val="auto"/>
                <w:lang w:val="en-US" w:eastAsia="zh-CN"/>
              </w:rPr>
              <w:t>为</w:t>
            </w:r>
            <w:r>
              <w:rPr>
                <w:rFonts w:hint="default" w:ascii="Times New Roman" w:hAnsi="Times New Roman" w:cs="Times New Roman"/>
                <w:color w:val="auto"/>
                <w:lang w:val="en-US" w:eastAsia="zh-CN"/>
              </w:rPr>
              <w:t>3秒，5秒内</w:t>
            </w:r>
            <w:r>
              <w:rPr>
                <w:rFonts w:hint="eastAsia" w:ascii="Times New Roman" w:hAnsi="Times New Roman" w:cs="Times New Roman"/>
                <w:color w:val="auto"/>
                <w:lang w:val="en-US" w:eastAsia="zh-CN"/>
              </w:rPr>
              <w:t>胶带</w:t>
            </w:r>
            <w:r>
              <w:rPr>
                <w:rFonts w:hint="eastAsia"/>
                <w:color w:val="auto"/>
                <w:lang w:val="en-US" w:eastAsia="zh-CN"/>
              </w:rPr>
              <w:t>完成完全变色（从灰色到蓝黑色），其原理是氢气分子分解为活泼的氢原子，多价态过渡金属氧化物被部分还原，吸收波长变色，颜色改变即发生泄漏。其</w:t>
            </w:r>
            <w:r>
              <w:rPr>
                <w:rFonts w:hint="default" w:ascii="Times New Roman" w:hAnsi="Times New Roman" w:cs="Times New Roman"/>
                <w:b w:val="0"/>
                <w:bCs w:val="0"/>
                <w:color w:val="auto"/>
                <w:lang w:val="en-US" w:eastAsia="zh-CN"/>
              </w:rPr>
              <w:t>工艺流程涉及多个步骤，主要包括</w:t>
            </w:r>
            <w:r>
              <w:rPr>
                <w:rFonts w:hint="eastAsia" w:ascii="Times New Roman" w:cs="Times New Roman"/>
                <w:b w:val="0"/>
                <w:bCs w:val="0"/>
                <w:color w:val="auto"/>
                <w:lang w:val="en-US" w:eastAsia="zh-CN"/>
              </w:rPr>
              <w:t>变色材料制备、敏感层制备</w:t>
            </w:r>
            <w:r>
              <w:rPr>
                <w:rFonts w:hint="default" w:ascii="Times New Roman" w:hAnsi="Times New Roman" w:cs="Times New Roman"/>
                <w:b w:val="0"/>
                <w:bCs w:val="0"/>
                <w:color w:val="auto"/>
                <w:lang w:val="en-US" w:eastAsia="zh-CN"/>
              </w:rPr>
              <w:t>、</w:t>
            </w:r>
            <w:r>
              <w:rPr>
                <w:rFonts w:hint="eastAsia" w:ascii="Times New Roman" w:cs="Times New Roman"/>
                <w:b w:val="0"/>
                <w:bCs w:val="0"/>
                <w:color w:val="auto"/>
                <w:lang w:val="en-US" w:eastAsia="zh-CN"/>
              </w:rPr>
              <w:t>胶带</w:t>
            </w:r>
            <w:r>
              <w:rPr>
                <w:rFonts w:hint="default" w:ascii="Times New Roman" w:hAnsi="Times New Roman" w:cs="Times New Roman"/>
                <w:b w:val="0"/>
                <w:bCs w:val="0"/>
                <w:color w:val="auto"/>
                <w:lang w:val="en-US" w:eastAsia="zh-CN"/>
              </w:rPr>
              <w:t>组装、测试</w:t>
            </w:r>
            <w:r>
              <w:rPr>
                <w:rFonts w:hint="eastAsia" w:ascii="Times New Roman" w:cs="Times New Roman"/>
                <w:b w:val="0"/>
                <w:bCs w:val="0"/>
                <w:color w:val="auto"/>
                <w:lang w:val="en-US" w:eastAsia="zh-CN"/>
              </w:rPr>
              <w:t>与分切包装</w:t>
            </w:r>
            <w:r>
              <w:rPr>
                <w:rFonts w:hint="default" w:ascii="Times New Roman" w:hAnsi="Times New Roman" w:cs="Times New Roman"/>
                <w:b w:val="0"/>
                <w:bCs w:val="0"/>
                <w:color w:val="auto"/>
                <w:lang w:val="en-US" w:eastAsia="zh-CN"/>
              </w:rPr>
              <w:t>。</w:t>
            </w:r>
          </w:p>
          <w:p w14:paraId="5C7993DC">
            <w:pPr>
              <w:pStyle w:val="58"/>
              <w:keepNext w:val="0"/>
              <w:keepLines w:val="0"/>
              <w:pageBreakBefore w:val="0"/>
              <w:widowControl w:val="0"/>
              <w:numPr>
                <w:ilvl w:val="0"/>
                <w:numId w:val="0"/>
              </w:numPr>
              <w:suppressLineNumbers w:val="0"/>
              <w:shd w:val="clear" w:color="auto" w:fill="auto"/>
              <w:kinsoku/>
              <w:wordWrap/>
              <w:overflowPunct/>
              <w:topLinePunct w:val="0"/>
              <w:autoSpaceDE w:val="0"/>
              <w:autoSpaceDN w:val="0"/>
              <w:bidi w:val="0"/>
              <w:adjustRightInd w:val="0"/>
              <w:snapToGrid/>
              <w:spacing w:before="0" w:beforeAutospacing="0" w:after="0" w:afterAutospacing="0" w:line="360" w:lineRule="auto"/>
              <w:ind w:right="0" w:rightChars="0" w:firstLine="480" w:firstLineChars="200"/>
              <w:textAlignment w:val="auto"/>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（1）变色材料</w:t>
            </w:r>
            <w:r>
              <w:rPr>
                <w:rFonts w:hint="default" w:ascii="Times New Roman" w:hAnsi="Times New Roman" w:eastAsia="宋体" w:cs="Times New Roman"/>
                <w:b w:val="0"/>
                <w:bCs w:val="0"/>
                <w:color w:val="auto"/>
                <w:lang w:val="en-US" w:eastAsia="zh-CN"/>
              </w:rPr>
              <w:t>制备</w:t>
            </w:r>
          </w:p>
          <w:p w14:paraId="290D4F15">
            <w:pPr>
              <w:pStyle w:val="58"/>
              <w:keepNext w:val="0"/>
              <w:keepLines w:val="0"/>
              <w:pageBreakBefore w:val="0"/>
              <w:widowControl w:val="0"/>
              <w:numPr>
                <w:ilvl w:val="0"/>
                <w:numId w:val="0"/>
              </w:numPr>
              <w:suppressLineNumbers w:val="0"/>
              <w:shd w:val="clear" w:color="auto" w:fill="auto"/>
              <w:kinsoku/>
              <w:wordWrap/>
              <w:overflowPunct/>
              <w:topLinePunct w:val="0"/>
              <w:autoSpaceDE w:val="0"/>
              <w:autoSpaceDN w:val="0"/>
              <w:bidi w:val="0"/>
              <w:adjustRightInd w:val="0"/>
              <w:snapToGrid/>
              <w:spacing w:before="0" w:beforeAutospacing="0" w:after="0" w:afterAutospacing="0" w:line="360" w:lineRule="auto"/>
              <w:ind w:right="0" w:rightChars="0" w:firstLine="480" w:firstLineChars="200"/>
              <w:jc w:val="both"/>
              <w:textAlignment w:val="auto"/>
              <w:rPr>
                <w:rFonts w:hint="default" w:ascii="Times New Roman" w:hAnsi="Times New Roman" w:eastAsia="宋体" w:cs="Times New Roman"/>
                <w:b w:val="0"/>
                <w:bCs w:val="0"/>
                <w:color w:val="auto"/>
                <w:lang w:val="en-US" w:eastAsia="zh-CN"/>
              </w:rPr>
            </w:pPr>
            <w:r>
              <w:rPr>
                <w:rFonts w:hint="eastAsia" w:ascii="宋体" w:hAnsi="宋体" w:eastAsia="宋体" w:cs="宋体"/>
                <w:b w:val="0"/>
                <w:bCs w:val="0"/>
                <w:color w:val="auto"/>
                <w:lang w:val="en-US" w:eastAsia="zh-CN"/>
              </w:rPr>
              <w:t>①</w:t>
            </w:r>
            <w:r>
              <w:rPr>
                <w:rFonts w:hint="eastAsia" w:ascii="Times New Roman" w:hAnsi="Times New Roman" w:eastAsia="宋体" w:cs="Times New Roman"/>
                <w:b w:val="0"/>
                <w:bCs w:val="0"/>
                <w:color w:val="auto"/>
                <w:lang w:val="en-US" w:eastAsia="zh-CN"/>
              </w:rPr>
              <w:t>制备氧化钼溶液</w:t>
            </w:r>
          </w:p>
          <w:p w14:paraId="46A9566A">
            <w:pPr>
              <w:pStyle w:val="58"/>
              <w:keepNext w:val="0"/>
              <w:keepLines w:val="0"/>
              <w:pageBreakBefore w:val="0"/>
              <w:widowControl w:val="0"/>
              <w:numPr>
                <w:ilvl w:val="0"/>
                <w:numId w:val="0"/>
              </w:numPr>
              <w:suppressLineNumbers w:val="0"/>
              <w:shd w:val="clear" w:color="auto" w:fill="auto"/>
              <w:kinsoku/>
              <w:wordWrap/>
              <w:overflowPunct/>
              <w:topLinePunct w:val="0"/>
              <w:autoSpaceDE w:val="0"/>
              <w:autoSpaceDN w:val="0"/>
              <w:bidi w:val="0"/>
              <w:adjustRightInd w:val="0"/>
              <w:snapToGrid/>
              <w:spacing w:before="0" w:beforeAutospacing="0" w:after="0" w:afterAutospacing="0" w:line="360" w:lineRule="auto"/>
              <w:ind w:right="0" w:rightChars="0" w:firstLine="480" w:firstLineChars="200"/>
              <w:jc w:val="both"/>
              <w:textAlignment w:val="auto"/>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将购买的成品氧化钼粉末密闭容器中超声分散于甲醇溶液</w:t>
            </w:r>
            <w:r>
              <w:rPr>
                <w:rFonts w:hint="eastAsia"/>
                <w:color w:val="auto"/>
                <w:lang w:eastAsia="zh-CN"/>
              </w:rPr>
              <w:t>，</w:t>
            </w:r>
            <w:r>
              <w:rPr>
                <w:rFonts w:hint="default" w:ascii="Times New Roman" w:hAnsi="Times New Roman" w:cs="Times New Roman"/>
                <w:color w:val="auto"/>
                <w:lang w:val="en-US" w:eastAsia="zh-CN"/>
              </w:rPr>
              <w:t>二者比例为1:40</w:t>
            </w:r>
            <w:r>
              <w:rPr>
                <w:rFonts w:hint="default" w:ascii="Times New Roman" w:hAnsi="Times New Roman" w:eastAsia="宋体" w:cs="Times New Roman"/>
                <w:b w:val="0"/>
                <w:bCs w:val="0"/>
                <w:color w:val="auto"/>
                <w:lang w:val="en-US" w:eastAsia="zh-CN"/>
              </w:rPr>
              <w:t>，</w:t>
            </w:r>
            <w:r>
              <w:rPr>
                <w:rFonts w:hint="eastAsia" w:ascii="Times New Roman" w:hAnsi="Times New Roman" w:eastAsia="宋体" w:cs="Times New Roman"/>
                <w:b w:val="0"/>
                <w:bCs w:val="0"/>
                <w:color w:val="auto"/>
                <w:lang w:val="en-US" w:eastAsia="zh-CN"/>
              </w:rPr>
              <w:t>制得氧化钼溶液。</w:t>
            </w:r>
          </w:p>
          <w:p w14:paraId="625327F3">
            <w:pPr>
              <w:pStyle w:val="58"/>
              <w:keepNext w:val="0"/>
              <w:keepLines w:val="0"/>
              <w:pageBreakBefore w:val="0"/>
              <w:widowControl w:val="0"/>
              <w:numPr>
                <w:ilvl w:val="0"/>
                <w:numId w:val="0"/>
              </w:numPr>
              <w:suppressLineNumbers w:val="0"/>
              <w:shd w:val="clear" w:color="auto" w:fill="auto"/>
              <w:kinsoku/>
              <w:wordWrap/>
              <w:overflowPunct/>
              <w:topLinePunct w:val="0"/>
              <w:autoSpaceDE w:val="0"/>
              <w:autoSpaceDN w:val="0"/>
              <w:bidi w:val="0"/>
              <w:adjustRightInd w:val="0"/>
              <w:snapToGrid/>
              <w:spacing w:before="0" w:beforeAutospacing="0" w:after="0" w:afterAutospacing="0" w:line="360" w:lineRule="auto"/>
              <w:ind w:right="0" w:rightChars="0" w:firstLine="480" w:firstLineChars="200"/>
              <w:jc w:val="both"/>
              <w:textAlignment w:val="auto"/>
              <w:rPr>
                <w:rFonts w:hint="default" w:ascii="Times New Roman" w:hAnsi="Times New Roman" w:eastAsia="宋体" w:cs="Times New Roman"/>
                <w:b w:val="0"/>
                <w:bCs w:val="0"/>
                <w:color w:val="auto"/>
                <w:lang w:val="en-US" w:eastAsia="zh-CN"/>
              </w:rPr>
            </w:pPr>
            <w:r>
              <w:rPr>
                <w:rFonts w:hint="eastAsia" w:ascii="宋体" w:hAnsi="宋体" w:eastAsia="宋体" w:cs="宋体"/>
                <w:b w:val="0"/>
                <w:bCs w:val="0"/>
                <w:color w:val="auto"/>
                <w:lang w:val="en-US" w:eastAsia="zh-CN"/>
              </w:rPr>
              <w:t>②</w:t>
            </w:r>
            <w:r>
              <w:rPr>
                <w:rFonts w:hint="default" w:ascii="Times New Roman" w:hAnsi="Times New Roman" w:eastAsia="宋体" w:cs="Times New Roman"/>
                <w:b w:val="0"/>
                <w:bCs w:val="0"/>
                <w:color w:val="auto"/>
                <w:lang w:val="en-US" w:eastAsia="zh-CN"/>
              </w:rPr>
              <w:t>制备</w:t>
            </w:r>
            <w:r>
              <w:rPr>
                <w:rFonts w:hint="eastAsia" w:ascii="Times New Roman" w:hAnsi="Times New Roman" w:eastAsia="宋体" w:cs="Times New Roman"/>
                <w:b w:val="0"/>
                <w:bCs w:val="0"/>
                <w:color w:val="auto"/>
                <w:lang w:val="en-US" w:eastAsia="zh-CN"/>
              </w:rPr>
              <w:t>钯盐</w:t>
            </w:r>
            <w:r>
              <w:rPr>
                <w:rFonts w:hint="default" w:ascii="Times New Roman" w:hAnsi="Times New Roman" w:eastAsia="宋体" w:cs="Times New Roman"/>
                <w:b w:val="0"/>
                <w:bCs w:val="0"/>
                <w:color w:val="auto"/>
                <w:lang w:val="en-US" w:eastAsia="zh-CN"/>
              </w:rPr>
              <w:t>溶液</w:t>
            </w:r>
          </w:p>
          <w:p w14:paraId="6D1CBD7F">
            <w:pPr>
              <w:pStyle w:val="58"/>
              <w:keepNext w:val="0"/>
              <w:keepLines w:val="0"/>
              <w:pageBreakBefore w:val="0"/>
              <w:widowControl w:val="0"/>
              <w:numPr>
                <w:ilvl w:val="0"/>
                <w:numId w:val="0"/>
              </w:numPr>
              <w:suppressLineNumbers w:val="0"/>
              <w:shd w:val="clear" w:color="auto" w:fill="auto"/>
              <w:kinsoku/>
              <w:wordWrap/>
              <w:overflowPunct/>
              <w:topLinePunct w:val="0"/>
              <w:autoSpaceDE w:val="0"/>
              <w:autoSpaceDN w:val="0"/>
              <w:bidi w:val="0"/>
              <w:adjustRightInd w:val="0"/>
              <w:snapToGrid/>
              <w:spacing w:before="0" w:beforeAutospacing="0" w:after="0" w:afterAutospacing="0" w:line="360" w:lineRule="auto"/>
              <w:ind w:right="0" w:rightChars="0" w:firstLine="480" w:firstLineChars="200"/>
              <w:jc w:val="both"/>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将</w:t>
            </w:r>
            <w:r>
              <w:rPr>
                <w:rFonts w:hint="eastAsia" w:ascii="Times New Roman" w:hAnsi="Times New Roman" w:eastAsia="宋体" w:cs="Times New Roman"/>
                <w:b w:val="0"/>
                <w:bCs w:val="0"/>
                <w:color w:val="auto"/>
                <w:lang w:val="en-US" w:eastAsia="zh-CN"/>
              </w:rPr>
              <w:t>称量好的</w:t>
            </w:r>
            <w:r>
              <w:rPr>
                <w:rFonts w:hint="default" w:ascii="Times New Roman" w:hAnsi="Times New Roman" w:eastAsia="宋体" w:cs="Times New Roman"/>
                <w:b w:val="0"/>
                <w:bCs w:val="0"/>
                <w:color w:val="auto"/>
                <w:lang w:val="en-US" w:eastAsia="zh-CN"/>
              </w:rPr>
              <w:t>钯盐加入</w:t>
            </w:r>
            <w:r>
              <w:rPr>
                <w:rFonts w:hint="eastAsia" w:ascii="Times New Roman" w:hAnsi="Times New Roman" w:eastAsia="宋体" w:cs="Times New Roman"/>
                <w:b w:val="0"/>
                <w:bCs w:val="0"/>
                <w:color w:val="auto"/>
                <w:lang w:val="en-US" w:eastAsia="zh-CN"/>
              </w:rPr>
              <w:t>烧杯中的</w:t>
            </w:r>
            <w:r>
              <w:rPr>
                <w:rFonts w:hint="default" w:ascii="Times New Roman" w:hAnsi="Times New Roman" w:eastAsia="宋体" w:cs="Times New Roman"/>
                <w:b w:val="0"/>
                <w:bCs w:val="0"/>
                <w:color w:val="auto"/>
                <w:lang w:val="en-US" w:eastAsia="zh-CN"/>
              </w:rPr>
              <w:t>甲醇溶液中</w:t>
            </w:r>
            <w:r>
              <w:rPr>
                <w:rFonts w:hint="eastAsia" w:ascii="Times New Roman" w:hAnsi="Times New Roman" w:eastAsia="宋体" w:cs="Times New Roman"/>
                <w:b w:val="0"/>
                <w:bCs w:val="0"/>
                <w:color w:val="auto"/>
                <w:lang w:val="en-US" w:eastAsia="zh-CN"/>
              </w:rPr>
              <w:t>，使用玻璃棒搅拌使二者</w:t>
            </w:r>
            <w:r>
              <w:rPr>
                <w:rFonts w:hint="default" w:ascii="Times New Roman" w:hAnsi="Times New Roman" w:eastAsia="宋体" w:cs="Times New Roman"/>
                <w:b w:val="0"/>
                <w:bCs w:val="0"/>
                <w:color w:val="auto"/>
                <w:lang w:val="en-US" w:eastAsia="zh-CN"/>
              </w:rPr>
              <w:t>混合均匀</w:t>
            </w:r>
            <w:r>
              <w:rPr>
                <w:rFonts w:hint="eastAsia" w:ascii="Times New Roman" w:hAnsi="Times New Roman" w:eastAsia="宋体" w:cs="Times New Roman"/>
                <w:b w:val="0"/>
                <w:bCs w:val="0"/>
                <w:color w:val="auto"/>
                <w:lang w:val="en-US" w:eastAsia="zh-CN"/>
              </w:rPr>
              <w:t>，制得钯盐溶液，钯盐为固态，此过程无粉尘产生</w:t>
            </w:r>
            <w:r>
              <w:rPr>
                <w:rFonts w:hint="default" w:ascii="Times New Roman" w:hAnsi="Times New Roman" w:eastAsia="宋体" w:cs="Times New Roman"/>
                <w:b w:val="0"/>
                <w:bCs w:val="0"/>
                <w:color w:val="auto"/>
                <w:lang w:val="en-US" w:eastAsia="zh-CN"/>
              </w:rPr>
              <w:t>。</w:t>
            </w:r>
          </w:p>
          <w:p w14:paraId="3C4A93C4">
            <w:pPr>
              <w:pStyle w:val="58"/>
              <w:keepNext w:val="0"/>
              <w:keepLines w:val="0"/>
              <w:pageBreakBefore w:val="0"/>
              <w:widowControl w:val="0"/>
              <w:numPr>
                <w:ilvl w:val="0"/>
                <w:numId w:val="0"/>
              </w:numPr>
              <w:suppressLineNumbers w:val="0"/>
              <w:shd w:val="clear" w:color="auto" w:fill="auto"/>
              <w:kinsoku/>
              <w:wordWrap/>
              <w:overflowPunct/>
              <w:topLinePunct w:val="0"/>
              <w:autoSpaceDE w:val="0"/>
              <w:autoSpaceDN w:val="0"/>
              <w:bidi w:val="0"/>
              <w:adjustRightInd w:val="0"/>
              <w:snapToGrid/>
              <w:spacing w:before="0" w:beforeAutospacing="0" w:after="0" w:afterAutospacing="0" w:line="360" w:lineRule="auto"/>
              <w:ind w:right="0" w:rightChars="0" w:firstLine="480" w:firstLineChars="200"/>
              <w:jc w:val="both"/>
              <w:textAlignment w:val="auto"/>
              <w:rPr>
                <w:rFonts w:hint="default" w:ascii="Times New Roman" w:hAnsi="Times New Roman" w:eastAsia="宋体" w:cs="Times New Roman"/>
                <w:b w:val="0"/>
                <w:bCs w:val="0"/>
                <w:color w:val="auto"/>
                <w:lang w:val="en-US" w:eastAsia="zh-CN"/>
              </w:rPr>
            </w:pPr>
            <w:r>
              <w:rPr>
                <w:rFonts w:hint="eastAsia" w:ascii="宋体" w:hAnsi="宋体" w:eastAsia="宋体" w:cs="宋体"/>
                <w:b w:val="0"/>
                <w:bCs w:val="0"/>
                <w:color w:val="auto"/>
                <w:lang w:val="en-US" w:eastAsia="zh-CN"/>
              </w:rPr>
              <w:t>③</w:t>
            </w:r>
            <w:r>
              <w:rPr>
                <w:rFonts w:hint="default" w:ascii="Times New Roman" w:hAnsi="Times New Roman" w:eastAsia="宋体" w:cs="Times New Roman"/>
                <w:b w:val="0"/>
                <w:bCs w:val="0"/>
                <w:color w:val="auto"/>
                <w:lang w:val="en-US" w:eastAsia="zh-CN"/>
              </w:rPr>
              <w:t>制备混合溶液</w:t>
            </w:r>
          </w:p>
          <w:p w14:paraId="37299826">
            <w:pPr>
              <w:pStyle w:val="58"/>
              <w:keepNext w:val="0"/>
              <w:keepLines w:val="0"/>
              <w:pageBreakBefore w:val="0"/>
              <w:widowControl w:val="0"/>
              <w:numPr>
                <w:ilvl w:val="0"/>
                <w:numId w:val="0"/>
              </w:numPr>
              <w:suppressLineNumbers w:val="0"/>
              <w:shd w:val="clear" w:color="auto" w:fill="auto"/>
              <w:kinsoku/>
              <w:wordWrap/>
              <w:overflowPunct/>
              <w:topLinePunct w:val="0"/>
              <w:autoSpaceDE w:val="0"/>
              <w:autoSpaceDN w:val="0"/>
              <w:bidi w:val="0"/>
              <w:adjustRightInd w:val="0"/>
              <w:snapToGrid/>
              <w:spacing w:before="0" w:beforeAutospacing="0" w:after="0" w:afterAutospacing="0" w:line="360" w:lineRule="auto"/>
              <w:ind w:right="0" w:rightChars="0" w:firstLine="480" w:firstLineChars="200"/>
              <w:jc w:val="both"/>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将氧化钼溶液与钯盐</w:t>
            </w:r>
            <w:r>
              <w:rPr>
                <w:rFonts w:hint="default" w:ascii="Times New Roman" w:hAnsi="Times New Roman" w:eastAsia="宋体" w:cs="Times New Roman"/>
                <w:b w:val="0"/>
                <w:bCs w:val="0"/>
                <w:color w:val="auto"/>
                <w:lang w:val="en-US" w:eastAsia="zh-CN"/>
              </w:rPr>
              <w:t>溶液</w:t>
            </w:r>
            <w:r>
              <w:rPr>
                <w:rFonts w:hint="eastAsia" w:ascii="Times New Roman" w:hAnsi="Times New Roman" w:eastAsia="宋体" w:cs="Times New Roman"/>
                <w:b w:val="0"/>
                <w:bCs w:val="0"/>
                <w:color w:val="auto"/>
                <w:lang w:val="en-US" w:eastAsia="zh-CN"/>
              </w:rPr>
              <w:t>倒入同一烧杯后，利用吸管在烧杯中继续加入</w:t>
            </w:r>
            <w:r>
              <w:rPr>
                <w:rFonts w:hint="eastAsia" w:ascii="Times New Roman" w:cs="Times New Roman"/>
                <w:b w:val="0"/>
                <w:bCs w:val="0"/>
                <w:color w:val="auto"/>
                <w:lang w:val="en-US" w:eastAsia="zh-CN"/>
              </w:rPr>
              <w:t>乙酸、</w:t>
            </w:r>
            <w:r>
              <w:rPr>
                <w:rFonts w:hint="eastAsia" w:ascii="Times New Roman" w:hAnsi="Times New Roman" w:eastAsia="宋体" w:cs="Times New Roman"/>
                <w:b w:val="0"/>
                <w:bCs w:val="0"/>
                <w:color w:val="auto"/>
                <w:lang w:val="en-US" w:eastAsia="zh-CN"/>
              </w:rPr>
              <w:t>甲酸，</w:t>
            </w:r>
            <w:r>
              <w:rPr>
                <w:rFonts w:hint="default" w:ascii="Times New Roman" w:hAnsi="Times New Roman" w:eastAsia="宋体" w:cs="Times New Roman"/>
                <w:color w:val="auto"/>
                <w:kern w:val="0"/>
                <w:sz w:val="24"/>
                <w:szCs w:val="24"/>
                <w:lang w:val="en-US" w:eastAsia="zh-CN" w:bidi="ar"/>
              </w:rPr>
              <w:t>使用</w:t>
            </w:r>
            <w:r>
              <w:rPr>
                <w:rFonts w:hint="default" w:ascii="Times New Roman" w:hAnsi="Times New Roman" w:eastAsia="宋体" w:cs="Times New Roman"/>
                <w:color w:val="auto"/>
                <w:kern w:val="0"/>
                <w:sz w:val="24"/>
                <w:szCs w:val="24"/>
                <w:highlight w:val="none"/>
                <w:lang w:val="en-US" w:eastAsia="zh-CN" w:bidi="ar"/>
              </w:rPr>
              <w:t>磁力搅拌器使</w:t>
            </w:r>
            <w:r>
              <w:rPr>
                <w:rFonts w:hint="default" w:ascii="Times New Roman" w:hAnsi="Times New Roman" w:eastAsia="宋体" w:cs="Times New Roman"/>
                <w:color w:val="auto"/>
                <w:kern w:val="0"/>
                <w:sz w:val="24"/>
                <w:szCs w:val="24"/>
                <w:lang w:val="en-US" w:eastAsia="zh-CN" w:bidi="ar"/>
              </w:rPr>
              <w:t>之混合均匀</w:t>
            </w:r>
            <w:r>
              <w:rPr>
                <w:rFonts w:hint="eastAsia" w:ascii="Times New Roman" w:hAnsi="Times New Roman" w:eastAsia="宋体" w:cs="Times New Roman"/>
                <w:b w:val="0"/>
                <w:bCs w:val="0"/>
                <w:color w:val="auto"/>
                <w:lang w:val="en-US" w:eastAsia="zh-CN"/>
              </w:rPr>
              <w:t>。</w:t>
            </w:r>
          </w:p>
          <w:p w14:paraId="73652C08">
            <w:pPr>
              <w:pStyle w:val="58"/>
              <w:keepNext w:val="0"/>
              <w:keepLines w:val="0"/>
              <w:pageBreakBefore w:val="0"/>
              <w:widowControl w:val="0"/>
              <w:numPr>
                <w:ilvl w:val="0"/>
                <w:numId w:val="0"/>
              </w:numPr>
              <w:suppressLineNumbers w:val="0"/>
              <w:shd w:val="clear" w:color="auto" w:fill="auto"/>
              <w:kinsoku/>
              <w:wordWrap/>
              <w:overflowPunct/>
              <w:topLinePunct w:val="0"/>
              <w:autoSpaceDE w:val="0"/>
              <w:autoSpaceDN w:val="0"/>
              <w:bidi w:val="0"/>
              <w:adjustRightInd w:val="0"/>
              <w:snapToGrid/>
              <w:spacing w:before="0" w:beforeAutospacing="0" w:after="0" w:afterAutospacing="0" w:line="360" w:lineRule="auto"/>
              <w:ind w:right="0" w:rightChars="0" w:firstLine="480" w:firstLineChars="200"/>
              <w:textAlignment w:val="auto"/>
              <w:rPr>
                <w:rFonts w:hint="default" w:ascii="Times New Roman" w:hAnsi="Times New Roman" w:eastAsia="宋体" w:cs="Times New Roman"/>
                <w:b w:val="0"/>
                <w:bCs w:val="0"/>
                <w:color w:val="auto"/>
                <w:lang w:val="en-US" w:eastAsia="zh-CN"/>
              </w:rPr>
            </w:pPr>
            <w:r>
              <w:rPr>
                <w:rFonts w:hint="eastAsia" w:ascii="宋体" w:hAnsi="宋体" w:eastAsia="宋体" w:cs="宋体"/>
                <w:b w:val="0"/>
                <w:bCs w:val="0"/>
                <w:color w:val="auto"/>
                <w:lang w:val="en-US" w:eastAsia="zh-CN"/>
              </w:rPr>
              <w:t>④将混合溶液离心后得到的沉淀物使用超纯水进行清洗，清洗掉残留的甲醇，</w:t>
            </w:r>
            <w:r>
              <w:rPr>
                <w:rFonts w:hint="eastAsia" w:ascii="Times New Roman" w:hAnsi="Times New Roman" w:eastAsia="宋体" w:cs="Times New Roman"/>
                <w:b w:val="0"/>
                <w:bCs w:val="0"/>
                <w:color w:val="auto"/>
                <w:lang w:val="en-US" w:eastAsia="zh-CN"/>
              </w:rPr>
              <w:t>得到MoO</w:t>
            </w:r>
            <w:r>
              <w:rPr>
                <w:rFonts w:hint="eastAsia" w:ascii="Times New Roman" w:hAnsi="Times New Roman" w:eastAsia="宋体" w:cs="Times New Roman"/>
                <w:b w:val="0"/>
                <w:bCs w:val="0"/>
                <w:color w:val="auto"/>
                <w:vertAlign w:val="subscript"/>
                <w:lang w:val="en-US" w:eastAsia="zh-CN"/>
              </w:rPr>
              <w:t>3</w:t>
            </w:r>
            <w:r>
              <w:rPr>
                <w:rFonts w:hint="eastAsia" w:ascii="Times New Roman" w:cs="Times New Roman"/>
                <w:b w:val="0"/>
                <w:bCs w:val="0"/>
                <w:color w:val="auto"/>
                <w:lang w:val="en-US" w:eastAsia="zh-CN"/>
              </w:rPr>
              <w:t>-Pd</w:t>
            </w:r>
            <w:r>
              <w:rPr>
                <w:rFonts w:hint="eastAsia" w:ascii="Times New Roman" w:hAnsi="Times New Roman" w:eastAsia="宋体" w:cs="Times New Roman"/>
                <w:b w:val="0"/>
                <w:bCs w:val="0"/>
                <w:color w:val="auto"/>
                <w:lang w:val="en-US" w:eastAsia="zh-CN"/>
              </w:rPr>
              <w:t>。</w:t>
            </w:r>
          </w:p>
          <w:p w14:paraId="47CF42E7">
            <w:pPr>
              <w:pStyle w:val="58"/>
              <w:keepNext w:val="0"/>
              <w:keepLines w:val="0"/>
              <w:pageBreakBefore w:val="0"/>
              <w:widowControl w:val="0"/>
              <w:numPr>
                <w:ilvl w:val="0"/>
                <w:numId w:val="0"/>
              </w:numPr>
              <w:suppressLineNumbers w:val="0"/>
              <w:shd w:val="clear" w:color="auto" w:fill="auto"/>
              <w:kinsoku/>
              <w:wordWrap/>
              <w:overflowPunct/>
              <w:topLinePunct w:val="0"/>
              <w:autoSpaceDE w:val="0"/>
              <w:autoSpaceDN w:val="0"/>
              <w:bidi w:val="0"/>
              <w:adjustRightInd w:val="0"/>
              <w:snapToGrid/>
              <w:spacing w:before="0" w:beforeAutospacing="0" w:after="0" w:afterAutospacing="0" w:line="360" w:lineRule="auto"/>
              <w:ind w:right="0" w:rightChars="0" w:firstLine="480" w:firstLineChars="200"/>
              <w:textAlignment w:val="auto"/>
              <w:rPr>
                <w:rFonts w:hint="default" w:ascii="Times New Roman" w:hAnsi="Times New Roman" w:eastAsia="宋体" w:cs="Times New Roman"/>
                <w:b w:val="0"/>
                <w:bCs w:val="0"/>
                <w:color w:val="auto"/>
                <w:lang w:val="en-US" w:eastAsia="zh-CN"/>
              </w:rPr>
            </w:pPr>
            <w:r>
              <w:rPr>
                <w:rFonts w:hint="eastAsia" w:ascii="宋体" w:hAnsi="宋体" w:eastAsia="宋体" w:cs="宋体"/>
                <w:b w:val="0"/>
                <w:bCs w:val="0"/>
                <w:color w:val="auto"/>
                <w:lang w:val="en-US" w:eastAsia="zh-CN"/>
              </w:rPr>
              <w:t>⑤</w:t>
            </w:r>
            <w:r>
              <w:rPr>
                <w:rFonts w:hint="eastAsia" w:ascii="Times New Roman" w:hAnsi="Times New Roman" w:eastAsia="宋体" w:cs="Times New Roman"/>
                <w:b w:val="0"/>
                <w:bCs w:val="0"/>
                <w:color w:val="auto"/>
                <w:lang w:val="en-US" w:eastAsia="zh-CN"/>
              </w:rPr>
              <w:t>将得到的MoO</w:t>
            </w:r>
            <w:r>
              <w:rPr>
                <w:rFonts w:hint="eastAsia" w:ascii="Times New Roman" w:hAnsi="Times New Roman" w:eastAsia="宋体" w:cs="Times New Roman"/>
                <w:b w:val="0"/>
                <w:bCs w:val="0"/>
                <w:color w:val="auto"/>
                <w:vertAlign w:val="subscript"/>
                <w:lang w:val="en-US" w:eastAsia="zh-CN"/>
              </w:rPr>
              <w:t>3</w:t>
            </w:r>
            <w:r>
              <w:rPr>
                <w:rFonts w:hint="eastAsia" w:ascii="Times New Roman" w:cs="Times New Roman"/>
                <w:b w:val="0"/>
                <w:bCs w:val="0"/>
                <w:color w:val="auto"/>
                <w:lang w:val="en-US" w:eastAsia="zh-CN"/>
              </w:rPr>
              <w:t>-Pd</w:t>
            </w:r>
            <w:r>
              <w:rPr>
                <w:rFonts w:hint="eastAsia" w:ascii="Times New Roman" w:hAnsi="Times New Roman" w:eastAsia="宋体" w:cs="Times New Roman"/>
                <w:b w:val="0"/>
                <w:bCs w:val="0"/>
                <w:color w:val="auto"/>
                <w:lang w:val="en-US" w:eastAsia="zh-CN"/>
              </w:rPr>
              <w:t>取出，加入双氧水，搅拌均匀，离心后使用超纯水进行清洗，清洗掉残留的双氧水，使得MoO</w:t>
            </w:r>
            <w:r>
              <w:rPr>
                <w:rFonts w:hint="eastAsia" w:ascii="Times New Roman" w:hAnsi="Times New Roman" w:eastAsia="宋体" w:cs="Times New Roman"/>
                <w:b w:val="0"/>
                <w:bCs w:val="0"/>
                <w:color w:val="auto"/>
                <w:vertAlign w:val="subscript"/>
                <w:lang w:val="en-US" w:eastAsia="zh-CN"/>
              </w:rPr>
              <w:t>3</w:t>
            </w:r>
            <w:r>
              <w:rPr>
                <w:rFonts w:hint="eastAsia" w:ascii="Times New Roman" w:cs="Times New Roman"/>
                <w:b w:val="0"/>
                <w:bCs w:val="0"/>
                <w:color w:val="auto"/>
                <w:lang w:val="en-US" w:eastAsia="zh-CN"/>
              </w:rPr>
              <w:t>-Pd</w:t>
            </w:r>
            <w:r>
              <w:rPr>
                <w:rFonts w:hint="eastAsia" w:ascii="Times New Roman" w:hAnsi="Times New Roman" w:eastAsia="宋体" w:cs="Times New Roman"/>
                <w:b w:val="0"/>
                <w:bCs w:val="0"/>
                <w:color w:val="auto"/>
                <w:lang w:val="en-US" w:eastAsia="zh-CN"/>
              </w:rPr>
              <w:t>由深灰色变为浅灰色，由此制得变色材料</w:t>
            </w:r>
            <w:r>
              <w:rPr>
                <w:rFonts w:hint="default" w:ascii="Times New Roman" w:hAnsi="Times New Roman" w:eastAsia="宋体" w:cs="Times New Roman"/>
                <w:b w:val="0"/>
                <w:bCs w:val="0"/>
                <w:color w:val="auto"/>
                <w:lang w:val="en-US" w:eastAsia="zh-CN"/>
              </w:rPr>
              <w:t>。</w:t>
            </w:r>
          </w:p>
          <w:p w14:paraId="4439FCCE">
            <w:pPr>
              <w:pStyle w:val="58"/>
              <w:keepNext w:val="0"/>
              <w:keepLines w:val="0"/>
              <w:pageBreakBefore w:val="0"/>
              <w:widowControl w:val="0"/>
              <w:numPr>
                <w:ilvl w:val="0"/>
                <w:numId w:val="0"/>
              </w:numPr>
              <w:suppressLineNumbers w:val="0"/>
              <w:shd w:val="clear" w:color="auto" w:fill="auto"/>
              <w:kinsoku/>
              <w:wordWrap/>
              <w:overflowPunct/>
              <w:topLinePunct w:val="0"/>
              <w:autoSpaceDE w:val="0"/>
              <w:autoSpaceDN w:val="0"/>
              <w:bidi w:val="0"/>
              <w:adjustRightInd w:val="0"/>
              <w:snapToGrid/>
              <w:spacing w:before="0" w:beforeAutospacing="0" w:after="0" w:afterAutospacing="0" w:line="360" w:lineRule="auto"/>
              <w:ind w:right="0" w:rightChars="0" w:firstLine="480" w:firstLineChars="200"/>
              <w:textAlignment w:val="auto"/>
              <w:rPr>
                <w:rFonts w:hint="default" w:ascii="宋体" w:hAnsi="宋体" w:eastAsia="宋体" w:cs="宋体"/>
                <w:b w:val="0"/>
                <w:bCs w:val="0"/>
                <w:color w:val="auto"/>
                <w:lang w:val="en-US" w:eastAsia="zh-CN"/>
              </w:rPr>
            </w:pPr>
            <w:r>
              <w:rPr>
                <w:rFonts w:hint="eastAsia" w:hAnsi="宋体" w:cs="宋体"/>
                <w:b w:val="0"/>
                <w:bCs w:val="0"/>
                <w:color w:val="auto"/>
                <w:lang w:val="en-US" w:eastAsia="zh-CN"/>
              </w:rPr>
              <w:t>该制备过程在调配室的通风橱中进行，</w:t>
            </w:r>
            <w:r>
              <w:rPr>
                <w:rFonts w:hint="eastAsia" w:ascii="宋体" w:hAnsi="宋体" w:eastAsia="宋体" w:cs="宋体"/>
                <w:b w:val="0"/>
                <w:bCs w:val="0"/>
                <w:color w:val="auto"/>
                <w:lang w:val="en-US" w:eastAsia="zh-CN"/>
              </w:rPr>
              <w:t>由于甲醇</w:t>
            </w:r>
            <w:r>
              <w:rPr>
                <w:rFonts w:hint="eastAsia" w:hAnsi="宋体" w:cs="宋体"/>
                <w:b w:val="0"/>
                <w:bCs w:val="0"/>
                <w:color w:val="auto"/>
                <w:lang w:val="en-US" w:eastAsia="zh-CN"/>
              </w:rPr>
              <w:t>和甲酸</w:t>
            </w:r>
            <w:r>
              <w:rPr>
                <w:rFonts w:hint="eastAsia" w:ascii="宋体" w:hAnsi="宋体" w:eastAsia="宋体" w:cs="宋体"/>
                <w:b w:val="0"/>
                <w:bCs w:val="0"/>
                <w:color w:val="auto"/>
                <w:lang w:val="en-US" w:eastAsia="zh-CN"/>
              </w:rPr>
              <w:t>易挥发，故该过程会产生有机废气，离心和清洗产生的废液</w:t>
            </w:r>
            <w:r>
              <w:rPr>
                <w:rFonts w:hint="eastAsia" w:hAnsi="宋体" w:cs="宋体"/>
                <w:b w:val="0"/>
                <w:bCs w:val="0"/>
                <w:color w:val="auto"/>
                <w:lang w:val="en-US" w:eastAsia="zh-CN"/>
              </w:rPr>
              <w:t>、废试剂瓶</w:t>
            </w:r>
            <w:r>
              <w:rPr>
                <w:rFonts w:hint="eastAsia" w:ascii="宋体" w:hAnsi="宋体" w:eastAsia="宋体" w:cs="宋体"/>
                <w:b w:val="0"/>
                <w:bCs w:val="0"/>
                <w:color w:val="auto"/>
                <w:lang w:val="en-US" w:eastAsia="zh-CN"/>
              </w:rPr>
              <w:t>作为危险废物处置。</w:t>
            </w:r>
          </w:p>
          <w:p w14:paraId="604FCE37">
            <w:pPr>
              <w:pStyle w:val="58"/>
              <w:keepNext w:val="0"/>
              <w:keepLines w:val="0"/>
              <w:pageBreakBefore w:val="0"/>
              <w:widowControl w:val="0"/>
              <w:numPr>
                <w:ilvl w:val="0"/>
                <w:numId w:val="0"/>
              </w:numPr>
              <w:suppressLineNumbers w:val="0"/>
              <w:shd w:val="clear" w:color="auto" w:fill="auto"/>
              <w:kinsoku/>
              <w:wordWrap/>
              <w:overflowPunct/>
              <w:topLinePunct w:val="0"/>
              <w:autoSpaceDE w:val="0"/>
              <w:autoSpaceDN w:val="0"/>
              <w:bidi w:val="0"/>
              <w:adjustRightInd w:val="0"/>
              <w:snapToGrid/>
              <w:spacing w:before="0" w:beforeAutospacing="0" w:after="0" w:afterAutospacing="0" w:line="360" w:lineRule="auto"/>
              <w:ind w:right="0" w:rightChars="0" w:firstLine="480" w:firstLineChars="200"/>
              <w:textAlignment w:val="auto"/>
              <w:rPr>
                <w:rFonts w:hint="default" w:ascii="Times New Roman" w:hAnsi="Times New Roman" w:cs="Times New Roman"/>
                <w:b w:val="0"/>
                <w:bCs w:val="0"/>
                <w:color w:val="auto"/>
                <w:lang w:val="en-US" w:eastAsia="zh-CN"/>
              </w:rPr>
            </w:pPr>
            <w:r>
              <w:rPr>
                <w:rFonts w:hint="eastAsia" w:ascii="Times New Roman" w:cs="Times New Roman"/>
                <w:b w:val="0"/>
                <w:bCs w:val="0"/>
                <w:color w:val="auto"/>
                <w:lang w:val="en-US" w:eastAsia="zh-CN"/>
              </w:rPr>
              <w:t>（2）敏感层制备</w:t>
            </w:r>
          </w:p>
          <w:p w14:paraId="773D4408">
            <w:pPr>
              <w:pStyle w:val="58"/>
              <w:keepNext w:val="0"/>
              <w:keepLines w:val="0"/>
              <w:pageBreakBefore w:val="0"/>
              <w:widowControl w:val="0"/>
              <w:numPr>
                <w:ilvl w:val="0"/>
                <w:numId w:val="0"/>
              </w:numPr>
              <w:suppressLineNumbers w:val="0"/>
              <w:shd w:val="clear" w:color="auto" w:fill="auto"/>
              <w:kinsoku/>
              <w:wordWrap/>
              <w:overflowPunct/>
              <w:topLinePunct w:val="0"/>
              <w:autoSpaceDE w:val="0"/>
              <w:autoSpaceDN w:val="0"/>
              <w:bidi w:val="0"/>
              <w:adjustRightInd w:val="0"/>
              <w:snapToGrid/>
              <w:spacing w:before="0" w:beforeAutospacing="0" w:after="0" w:afterAutospacing="0" w:line="360" w:lineRule="auto"/>
              <w:ind w:right="0" w:rightChars="0" w:firstLine="480" w:firstLineChars="200"/>
              <w:textAlignment w:val="auto"/>
              <w:rPr>
                <w:rFonts w:hint="default" w:ascii="Times New Roman" w:hAnsi="Times New Roman" w:cs="Times New Roman"/>
                <w:b w:val="0"/>
                <w:bCs w:val="0"/>
                <w:color w:val="auto"/>
                <w:lang w:val="en-US" w:eastAsia="zh-CN"/>
              </w:rPr>
            </w:pPr>
            <w:r>
              <w:rPr>
                <w:rFonts w:hint="eastAsia" w:ascii="Times New Roman" w:cs="Times New Roman"/>
                <w:b w:val="0"/>
                <w:bCs w:val="0"/>
                <w:color w:val="auto"/>
                <w:lang w:val="en-US" w:eastAsia="zh-CN"/>
              </w:rPr>
              <w:t>将</w:t>
            </w:r>
            <w:r>
              <w:rPr>
                <w:rFonts w:hint="default" w:ascii="Times New Roman" w:hAnsi="Times New Roman" w:cs="Times New Roman"/>
                <w:b w:val="0"/>
                <w:bCs w:val="0"/>
                <w:color w:val="auto"/>
                <w:lang w:val="en-US" w:eastAsia="zh-CN"/>
              </w:rPr>
              <w:t>变色材料混合超纯水、有机硅压敏胶</w:t>
            </w:r>
            <w:r>
              <w:rPr>
                <w:rFonts w:hint="eastAsia" w:ascii="Times New Roman" w:cs="Times New Roman"/>
                <w:b w:val="0"/>
                <w:bCs w:val="0"/>
                <w:color w:val="auto"/>
                <w:lang w:val="en-US" w:eastAsia="zh-CN"/>
              </w:rPr>
              <w:t>按照1：1：4的比例</w:t>
            </w:r>
            <w:r>
              <w:rPr>
                <w:rFonts w:hint="default" w:ascii="Times New Roman" w:hAnsi="Times New Roman" w:cs="Times New Roman"/>
                <w:b w:val="0"/>
                <w:bCs w:val="0"/>
                <w:color w:val="auto"/>
                <w:lang w:val="en-US" w:eastAsia="zh-CN"/>
              </w:rPr>
              <w:t>超声搅拌均匀</w:t>
            </w:r>
            <w:r>
              <w:rPr>
                <w:rFonts w:hint="eastAsia" w:ascii="Times New Roman" w:cs="Times New Roman"/>
                <w:b w:val="0"/>
                <w:bCs w:val="0"/>
                <w:color w:val="auto"/>
                <w:lang w:val="en-US" w:eastAsia="zh-CN"/>
              </w:rPr>
              <w:t>制成变色胶水</w:t>
            </w:r>
            <w:r>
              <w:rPr>
                <w:rFonts w:hint="default" w:ascii="Times New Roman" w:hAnsi="Times New Roman" w:cs="Times New Roman"/>
                <w:b w:val="0"/>
                <w:bCs w:val="0"/>
                <w:color w:val="auto"/>
                <w:lang w:val="en-US" w:eastAsia="zh-CN"/>
              </w:rPr>
              <w:t>。将</w:t>
            </w:r>
            <w:r>
              <w:rPr>
                <w:rFonts w:hint="eastAsia" w:ascii="Times New Roman" w:cs="Times New Roman"/>
                <w:b w:val="0"/>
                <w:bCs w:val="0"/>
                <w:color w:val="auto"/>
                <w:lang w:val="en-US" w:eastAsia="zh-CN"/>
              </w:rPr>
              <w:t>PET膜</w:t>
            </w:r>
            <w:r>
              <w:rPr>
                <w:rFonts w:hint="default" w:ascii="Times New Roman" w:hAnsi="Times New Roman" w:cs="Times New Roman"/>
                <w:b w:val="0"/>
                <w:bCs w:val="0"/>
                <w:color w:val="auto"/>
                <w:lang w:val="en-US" w:eastAsia="zh-CN"/>
              </w:rPr>
              <w:t>放置于涂布机上，加入适量的变色胶水，调节涂布参数，将</w:t>
            </w:r>
            <w:r>
              <w:rPr>
                <w:rFonts w:hint="eastAsia" w:ascii="Times New Roman" w:cs="Times New Roman"/>
                <w:b w:val="0"/>
                <w:bCs w:val="0"/>
                <w:color w:val="auto"/>
                <w:lang w:val="en-US" w:eastAsia="zh-CN"/>
              </w:rPr>
              <w:t>变色</w:t>
            </w:r>
            <w:r>
              <w:rPr>
                <w:rFonts w:hint="default" w:ascii="Times New Roman" w:hAnsi="Times New Roman" w:cs="Times New Roman"/>
                <w:b w:val="0"/>
                <w:bCs w:val="0"/>
                <w:color w:val="auto"/>
                <w:lang w:val="en-US" w:eastAsia="zh-CN"/>
              </w:rPr>
              <w:t>胶水涂布于</w:t>
            </w:r>
            <w:r>
              <w:rPr>
                <w:rFonts w:hint="eastAsia" w:ascii="Times New Roman" w:cs="Times New Roman"/>
                <w:b w:val="0"/>
                <w:bCs w:val="0"/>
                <w:color w:val="auto"/>
                <w:lang w:val="en-US" w:eastAsia="zh-CN"/>
              </w:rPr>
              <w:t>PET膜后</w:t>
            </w:r>
            <w:r>
              <w:rPr>
                <w:rFonts w:hint="eastAsia" w:ascii="Times New Roman" w:hAnsi="Times New Roman" w:cs="Times New Roman"/>
                <w:b w:val="0"/>
                <w:bCs w:val="0"/>
                <w:color w:val="auto"/>
                <w:lang w:val="en-US" w:eastAsia="zh-CN"/>
              </w:rPr>
              <w:t>150</w:t>
            </w:r>
            <w:r>
              <w:rPr>
                <w:rFonts w:hint="default" w:ascii="Times New Roman" w:hAnsi="Times New Roman" w:cs="Times New Roman"/>
                <w:b w:val="0"/>
                <w:bCs w:val="0"/>
                <w:color w:val="auto"/>
                <w:lang w:val="en-US" w:eastAsia="zh-CN"/>
              </w:rPr>
              <w:t>℃烘箱固化10-20分钟</w:t>
            </w:r>
            <w:r>
              <w:rPr>
                <w:rFonts w:hint="eastAsia" w:ascii="Times New Roman" w:hAnsi="Times New Roman" w:cs="Times New Roman"/>
                <w:b w:val="0"/>
                <w:bCs w:val="0"/>
                <w:color w:val="auto"/>
                <w:lang w:val="en-US" w:eastAsia="zh-CN"/>
              </w:rPr>
              <w:t>，制成敏感层</w:t>
            </w:r>
            <w:r>
              <w:rPr>
                <w:rFonts w:hint="default" w:ascii="Times New Roman" w:hAnsi="Times New Roman" w:cs="Times New Roman"/>
                <w:b w:val="0"/>
                <w:bCs w:val="0"/>
                <w:color w:val="auto"/>
                <w:lang w:val="en-US" w:eastAsia="zh-CN"/>
              </w:rPr>
              <w:t>。</w:t>
            </w:r>
            <w:r>
              <w:rPr>
                <w:rFonts w:hint="eastAsia" w:ascii="Times New Roman" w:cs="Times New Roman"/>
                <w:b w:val="0"/>
                <w:bCs w:val="0"/>
                <w:color w:val="auto"/>
                <w:lang w:val="en-US" w:eastAsia="zh-CN"/>
              </w:rPr>
              <w:t>此过程产生有机废气和噪声。</w:t>
            </w:r>
          </w:p>
          <w:p w14:paraId="2B60FCC6">
            <w:pPr>
              <w:pStyle w:val="5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Chars="200" w:right="0" w:rightChars="0"/>
              <w:textAlignment w:val="auto"/>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（3）</w:t>
            </w:r>
            <w:r>
              <w:rPr>
                <w:rFonts w:hint="default" w:ascii="Times New Roman" w:hAnsi="Times New Roman" w:cs="Times New Roman"/>
                <w:b w:val="0"/>
                <w:bCs w:val="0"/>
                <w:color w:val="auto"/>
                <w:lang w:val="en-US" w:eastAsia="zh-CN"/>
              </w:rPr>
              <w:t>胶带组装</w:t>
            </w:r>
          </w:p>
          <w:p w14:paraId="1AAAA376">
            <w:pPr>
              <w:pStyle w:val="5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right="0" w:rightChars="0" w:firstLine="480" w:firstLineChars="200"/>
              <w:textAlignment w:val="auto"/>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将</w:t>
            </w:r>
            <w:r>
              <w:rPr>
                <w:rFonts w:hint="eastAsia" w:ascii="Times New Roman" w:cs="Times New Roman"/>
                <w:b w:val="0"/>
                <w:bCs w:val="0"/>
                <w:color w:val="auto"/>
                <w:lang w:val="en-US" w:eastAsia="zh-CN"/>
              </w:rPr>
              <w:t>PET膜</w:t>
            </w:r>
            <w:r>
              <w:rPr>
                <w:rFonts w:hint="default" w:ascii="Times New Roman" w:hAnsi="Times New Roman" w:cs="Times New Roman"/>
                <w:b w:val="0"/>
                <w:bCs w:val="0"/>
                <w:color w:val="auto"/>
                <w:lang w:val="en-US" w:eastAsia="zh-CN"/>
              </w:rPr>
              <w:t>→敏感层→离型膜</w:t>
            </w:r>
            <w:r>
              <w:rPr>
                <w:rFonts w:hint="eastAsia" w:ascii="Times New Roman" w:hAnsi="Times New Roman" w:cs="Times New Roman"/>
                <w:b w:val="0"/>
                <w:bCs w:val="0"/>
                <w:color w:val="auto"/>
                <w:lang w:val="en-US" w:eastAsia="zh-CN"/>
              </w:rPr>
              <w:t>按顺序</w:t>
            </w:r>
            <w:r>
              <w:rPr>
                <w:rFonts w:hint="default" w:ascii="Times New Roman" w:hAnsi="Times New Roman" w:cs="Times New Roman"/>
                <w:b w:val="0"/>
                <w:bCs w:val="0"/>
                <w:color w:val="auto"/>
                <w:lang w:val="en-US" w:eastAsia="zh-CN"/>
              </w:rPr>
              <w:t>自上而下</w:t>
            </w:r>
            <w:r>
              <w:rPr>
                <w:rFonts w:hint="eastAsia" w:ascii="Times New Roman" w:hAnsi="Times New Roman" w:cs="Times New Roman"/>
                <w:b w:val="0"/>
                <w:bCs w:val="0"/>
                <w:color w:val="auto"/>
                <w:lang w:val="en-US" w:eastAsia="zh-CN"/>
              </w:rPr>
              <w:t>使用贴合设备进行组装</w:t>
            </w:r>
            <w:r>
              <w:rPr>
                <w:rFonts w:hint="eastAsia"/>
                <w:color w:val="auto"/>
                <w:lang w:eastAsia="zh-CN"/>
              </w:rPr>
              <w:t>，</w:t>
            </w:r>
            <w:r>
              <w:rPr>
                <w:rFonts w:hint="eastAsia" w:ascii="Times New Roman" w:hAnsi="Times New Roman" w:cs="Times New Roman"/>
                <w:b w:val="0"/>
                <w:bCs w:val="0"/>
                <w:color w:val="auto"/>
                <w:lang w:val="en-US" w:eastAsia="zh-CN"/>
              </w:rPr>
              <w:t>制成</w:t>
            </w:r>
            <w:r>
              <w:rPr>
                <w:rFonts w:hint="default" w:ascii="Times New Roman" w:hAnsi="Times New Roman" w:cs="Times New Roman"/>
                <w:b w:val="0"/>
                <w:bCs w:val="0"/>
                <w:color w:val="auto"/>
                <w:lang w:val="en-US" w:eastAsia="zh-CN"/>
              </w:rPr>
              <w:t>氢气泄漏检测胶带。</w:t>
            </w:r>
            <w:r>
              <w:rPr>
                <w:rFonts w:hint="eastAsia" w:ascii="Times New Roman" w:hAnsi="Times New Roman" w:cs="Times New Roman"/>
                <w:b w:val="0"/>
                <w:bCs w:val="0"/>
                <w:color w:val="auto"/>
                <w:lang w:val="en-US" w:eastAsia="zh-CN"/>
              </w:rPr>
              <w:t>此过程产生噪声。</w:t>
            </w:r>
          </w:p>
          <w:p w14:paraId="5D117F89">
            <w:pPr>
              <w:pStyle w:val="5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right="0" w:rightChars="0" w:firstLine="480" w:firstLineChars="200"/>
              <w:textAlignment w:val="auto"/>
              <w:rPr>
                <w:rFonts w:hint="default" w:ascii="Times New Roman" w:hAnsi="Times New Roman" w:cs="Times New Roman"/>
                <w:b w:val="0"/>
                <w:bCs w:val="0"/>
                <w:color w:val="auto"/>
                <w:lang w:val="en-US" w:eastAsia="zh-CN"/>
              </w:rPr>
            </w:pPr>
            <w:r>
              <w:rPr>
                <w:rFonts w:hint="eastAsia" w:ascii="Times New Roman" w:cs="Times New Roman"/>
                <w:b w:val="0"/>
                <w:bCs w:val="0"/>
                <w:color w:val="auto"/>
                <w:lang w:val="en-US" w:eastAsia="zh-CN"/>
              </w:rPr>
              <w:t>（4）分切包装</w:t>
            </w:r>
          </w:p>
          <w:p w14:paraId="127A5B18">
            <w:pPr>
              <w:pStyle w:val="5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right="0" w:rightChars="0" w:firstLine="480" w:firstLineChars="200"/>
              <w:textAlignment w:val="auto"/>
              <w:rPr>
                <w:rFonts w:hint="eastAsia" w:ascii="Times New Roman" w:cs="Times New Roman"/>
                <w:b w:val="0"/>
                <w:bCs w:val="0"/>
                <w:color w:val="auto"/>
                <w:lang w:val="en-US" w:eastAsia="zh-CN"/>
              </w:rPr>
            </w:pPr>
            <w:r>
              <w:rPr>
                <w:rFonts w:hint="eastAsia" w:ascii="Times New Roman" w:cs="Times New Roman"/>
                <w:b w:val="0"/>
                <w:bCs w:val="0"/>
                <w:color w:val="auto"/>
                <w:lang w:val="en-US" w:eastAsia="zh-CN"/>
              </w:rPr>
              <w:t>测试后</w:t>
            </w:r>
            <w:r>
              <w:rPr>
                <w:rFonts w:hint="default" w:ascii="Times New Roman" w:hAnsi="Times New Roman" w:cs="Times New Roman"/>
                <w:b w:val="0"/>
                <w:bCs w:val="0"/>
                <w:color w:val="auto"/>
                <w:lang w:val="en-US" w:eastAsia="zh-CN"/>
              </w:rPr>
              <w:t>分切为所需宽度，卷绕成盘，避光防潮包装。</w:t>
            </w:r>
            <w:r>
              <w:rPr>
                <w:rFonts w:hint="eastAsia" w:ascii="Times New Roman" w:cs="Times New Roman"/>
                <w:b w:val="0"/>
                <w:bCs w:val="0"/>
                <w:color w:val="auto"/>
                <w:lang w:val="en-US" w:eastAsia="zh-CN"/>
              </w:rPr>
              <w:t>此过程产生噪声、废边角料、废包装材料、不合格品。</w:t>
            </w:r>
          </w:p>
          <w:p w14:paraId="645A476F">
            <w:pPr>
              <w:pStyle w:val="5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right="0" w:rightChars="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bCs/>
                <w:color w:val="auto"/>
                <w:lang w:val="en-US" w:eastAsia="zh-CN"/>
              </w:rPr>
              <w:t>3、纯水制备</w:t>
            </w:r>
            <w:r>
              <w:rPr>
                <w:rFonts w:hint="default" w:ascii="Times New Roman" w:hAnsi="Times New Roman" w:eastAsia="宋体" w:cs="Times New Roman"/>
                <w:b/>
                <w:bCs/>
                <w:color w:val="auto"/>
                <w:sz w:val="24"/>
                <w:szCs w:val="24"/>
                <w:lang w:val="en-US" w:eastAsia="zh-CN"/>
              </w:rPr>
              <w:t>工</w:t>
            </w:r>
            <w:r>
              <w:rPr>
                <w:rFonts w:hint="default" w:ascii="Times New Roman" w:hAnsi="Times New Roman" w:eastAsia="宋体" w:cs="Times New Roman"/>
                <w:b/>
                <w:bCs w:val="0"/>
                <w:color w:val="auto"/>
                <w:sz w:val="24"/>
                <w:szCs w:val="24"/>
                <w:lang w:val="en-US" w:eastAsia="zh-CN"/>
              </w:rPr>
              <w:t>艺流程及产污环节</w:t>
            </w:r>
          </w:p>
          <w:p w14:paraId="50C5DF69">
            <w:pPr>
              <w:pStyle w:val="5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right="0" w:rightChars="0" w:firstLine="480" w:firstLineChars="200"/>
              <w:textAlignment w:val="auto"/>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本项目</w:t>
            </w:r>
            <w:r>
              <w:rPr>
                <w:rFonts w:hint="default" w:ascii="Times New Roman" w:hAnsi="Times New Roman" w:eastAsia="宋体" w:cs="Times New Roman"/>
                <w:b w:val="0"/>
                <w:bCs w:val="0"/>
                <w:color w:val="auto"/>
                <w:lang w:val="en-US" w:eastAsia="zh-CN"/>
              </w:rPr>
              <w:t>纯水机的核心制备流程以反渗透（RO）技术为核心阶段。系统首先对自来水等原水进行预处理，通过多级滤芯初步去除悬浮颗粒、余氯及部分有机物，以保护后续RO膜。预处理后的水在高压泵推动下进入反渗透膜组件，水分子在压力作用下穿透RO膜，而绝大部分溶解盐类、有机物、细菌及热原等杂质被高效截留，形成</w:t>
            </w:r>
            <w:r>
              <w:rPr>
                <w:rFonts w:hint="eastAsia" w:ascii="Times New Roman" w:hAnsi="Times New Roman" w:eastAsia="宋体" w:cs="Times New Roman"/>
                <w:b w:val="0"/>
                <w:bCs w:val="0"/>
                <w:color w:val="auto"/>
                <w:lang w:val="en-US" w:eastAsia="zh-CN"/>
              </w:rPr>
              <w:t>“</w:t>
            </w:r>
            <w:r>
              <w:rPr>
                <w:rFonts w:hint="default" w:ascii="Times New Roman" w:hAnsi="Times New Roman" w:eastAsia="宋体" w:cs="Times New Roman"/>
                <w:b w:val="0"/>
                <w:bCs w:val="0"/>
                <w:color w:val="auto"/>
                <w:lang w:val="en-US" w:eastAsia="zh-CN"/>
              </w:rPr>
              <w:t>浓水</w:t>
            </w:r>
            <w:r>
              <w:rPr>
                <w:rFonts w:hint="eastAsia" w:ascii="Times New Roman" w:hAnsi="Times New Roman" w:eastAsia="宋体" w:cs="Times New Roman"/>
                <w:b w:val="0"/>
                <w:bCs w:val="0"/>
                <w:color w:val="auto"/>
                <w:lang w:val="en-US" w:eastAsia="zh-CN"/>
              </w:rPr>
              <w:t>”</w:t>
            </w:r>
            <w:r>
              <w:rPr>
                <w:rFonts w:hint="default" w:ascii="Times New Roman" w:hAnsi="Times New Roman" w:eastAsia="宋体" w:cs="Times New Roman"/>
                <w:b w:val="0"/>
                <w:bCs w:val="0"/>
                <w:color w:val="auto"/>
                <w:lang w:val="en-US" w:eastAsia="zh-CN"/>
              </w:rPr>
              <w:t>排出，得到纯度显著提升的</w:t>
            </w:r>
            <w:r>
              <w:rPr>
                <w:rFonts w:hint="eastAsia" w:ascii="Times New Roman" w:hAnsi="Times New Roman" w:eastAsia="宋体" w:cs="Times New Roman"/>
                <w:b w:val="0"/>
                <w:bCs w:val="0"/>
                <w:color w:val="auto"/>
                <w:lang w:val="en-US" w:eastAsia="zh-CN"/>
              </w:rPr>
              <w:t>“</w:t>
            </w:r>
            <w:r>
              <w:rPr>
                <w:rFonts w:hint="default" w:ascii="Times New Roman" w:hAnsi="Times New Roman" w:eastAsia="宋体" w:cs="Times New Roman"/>
                <w:b w:val="0"/>
                <w:bCs w:val="0"/>
                <w:color w:val="auto"/>
                <w:lang w:val="en-US" w:eastAsia="zh-CN"/>
              </w:rPr>
              <w:t>RO纯水</w:t>
            </w:r>
            <w:r>
              <w:rPr>
                <w:rFonts w:hint="eastAsia" w:ascii="Times New Roman" w:hAnsi="Times New Roman" w:eastAsia="宋体" w:cs="Times New Roman"/>
                <w:b w:val="0"/>
                <w:bCs w:val="0"/>
                <w:color w:val="auto"/>
                <w:lang w:val="en-US" w:eastAsia="zh-CN"/>
              </w:rPr>
              <w:t>”</w:t>
            </w:r>
            <w:r>
              <w:rPr>
                <w:rFonts w:hint="default" w:ascii="Times New Roman" w:hAnsi="Times New Roman" w:eastAsia="宋体" w:cs="Times New Roman"/>
                <w:b w:val="0"/>
                <w:bCs w:val="0"/>
                <w:color w:val="auto"/>
                <w:lang w:val="en-US" w:eastAsia="zh-CN"/>
              </w:rPr>
              <w:t>。</w:t>
            </w:r>
            <w:r>
              <w:rPr>
                <w:rFonts w:hint="eastAsia" w:ascii="Times New Roman" w:hAnsi="Times New Roman" w:eastAsia="宋体" w:cs="Times New Roman"/>
                <w:b w:val="0"/>
                <w:bCs w:val="0"/>
                <w:color w:val="auto"/>
                <w:lang w:val="en-US" w:eastAsia="zh-CN"/>
              </w:rPr>
              <w:t>此过程产生纯水机浓水、废反渗透膜</w:t>
            </w:r>
            <w:r>
              <w:rPr>
                <w:rFonts w:hint="eastAsia" w:ascii="Times New Roman" w:cs="Times New Roman"/>
                <w:b w:val="0"/>
                <w:bCs w:val="0"/>
                <w:color w:val="auto"/>
                <w:lang w:val="en-US" w:eastAsia="zh-CN"/>
              </w:rPr>
              <w:t>、废滤芯</w:t>
            </w:r>
            <w:r>
              <w:rPr>
                <w:rFonts w:hint="eastAsia" w:ascii="Times New Roman" w:hAnsi="Times New Roman" w:eastAsia="宋体" w:cs="Times New Roman"/>
                <w:b w:val="0"/>
                <w:bCs w:val="0"/>
                <w:color w:val="auto"/>
                <w:lang w:val="en-US" w:eastAsia="zh-CN"/>
              </w:rPr>
              <w:t>。</w:t>
            </w:r>
          </w:p>
          <w:p w14:paraId="70C31AD4">
            <w:pPr>
              <w:numPr>
                <w:ilvl w:val="0"/>
                <w:numId w:val="0"/>
              </w:numPr>
              <w:adjustRightInd w:val="0"/>
              <w:snapToGrid w:val="0"/>
              <w:spacing w:line="360" w:lineRule="auto"/>
              <w:jc w:val="both"/>
              <w:rPr>
                <w:rFonts w:hint="default"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4、</w:t>
            </w:r>
            <w:r>
              <w:rPr>
                <w:rFonts w:hint="default" w:ascii="Times New Roman" w:hAnsi="Times New Roman" w:eastAsia="宋体" w:cs="Times New Roman"/>
                <w:b/>
                <w:bCs w:val="0"/>
                <w:color w:val="auto"/>
                <w:sz w:val="24"/>
                <w:szCs w:val="24"/>
                <w:lang w:val="en-US" w:eastAsia="zh-CN"/>
              </w:rPr>
              <w:t>主要产污环节</w:t>
            </w:r>
          </w:p>
          <w:p w14:paraId="19908956">
            <w:pPr>
              <w:numPr>
                <w:ilvl w:val="0"/>
                <w:numId w:val="0"/>
              </w:numPr>
              <w:adjustRightInd w:val="0"/>
              <w:snapToGrid w:val="0"/>
              <w:spacing w:line="360" w:lineRule="auto"/>
              <w:ind w:firstLine="480" w:firstLineChars="200"/>
              <w:jc w:val="both"/>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本项目运营期主要产污环节见下表。</w:t>
            </w:r>
          </w:p>
          <w:p w14:paraId="042326AF">
            <w:pPr>
              <w:numPr>
                <w:ilvl w:val="0"/>
                <w:numId w:val="0"/>
              </w:numPr>
              <w:adjustRightInd w:val="0"/>
              <w:snapToGrid w:val="0"/>
              <w:spacing w:line="240" w:lineRule="auto"/>
              <w:jc w:val="center"/>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表2-7</w:t>
            </w:r>
            <w:r>
              <w:rPr>
                <w:rFonts w:hint="eastAsia" w:ascii="Times New Roman" w:hAnsi="Times New Roman" w:eastAsia="宋体" w:cs="Times New Roman"/>
                <w:b/>
                <w:bCs w:val="0"/>
                <w:color w:val="auto"/>
                <w:sz w:val="24"/>
                <w:szCs w:val="24"/>
                <w:lang w:val="en-US" w:eastAsia="zh-CN"/>
              </w:rPr>
              <w:t xml:space="preserve">  </w:t>
            </w:r>
            <w:r>
              <w:rPr>
                <w:rFonts w:hint="default" w:ascii="Times New Roman" w:hAnsi="Times New Roman" w:eastAsia="宋体" w:cs="Times New Roman"/>
                <w:b/>
                <w:bCs w:val="0"/>
                <w:color w:val="auto"/>
                <w:sz w:val="24"/>
                <w:szCs w:val="24"/>
                <w:lang w:val="en-US" w:eastAsia="zh-CN"/>
              </w:rPr>
              <w:t>运行期主要产污环节一览表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900"/>
              <w:gridCol w:w="2285"/>
              <w:gridCol w:w="3946"/>
            </w:tblGrid>
            <w:tr w14:paraId="01BFF9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tcBorders>
                    <w:tl2br w:val="nil"/>
                    <w:tr2bl w:val="nil"/>
                  </w:tcBorders>
                  <w:noWrap w:val="0"/>
                  <w:vAlign w:val="center"/>
                </w:tcPr>
                <w:p w14:paraId="744A21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类别</w:t>
                  </w:r>
                </w:p>
              </w:tc>
              <w:tc>
                <w:tcPr>
                  <w:tcW w:w="1914" w:type="pct"/>
                  <w:gridSpan w:val="2"/>
                  <w:tcBorders>
                    <w:tl2br w:val="nil"/>
                    <w:tr2bl w:val="nil"/>
                  </w:tcBorders>
                  <w:noWrap w:val="0"/>
                  <w:vAlign w:val="center"/>
                </w:tcPr>
                <w:p w14:paraId="03CD04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产污环节</w:t>
                  </w:r>
                </w:p>
              </w:tc>
              <w:tc>
                <w:tcPr>
                  <w:tcW w:w="2371" w:type="pct"/>
                  <w:tcBorders>
                    <w:tl2br w:val="nil"/>
                    <w:tr2bl w:val="nil"/>
                  </w:tcBorders>
                  <w:noWrap w:val="0"/>
                  <w:vAlign w:val="center"/>
                </w:tcPr>
                <w:p w14:paraId="725704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主要污染物</w:t>
                  </w:r>
                </w:p>
              </w:tc>
            </w:tr>
            <w:tr w14:paraId="34CA3F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Merge w:val="restart"/>
                  <w:tcBorders>
                    <w:tl2br w:val="nil"/>
                    <w:tr2bl w:val="nil"/>
                  </w:tcBorders>
                  <w:noWrap w:val="0"/>
                  <w:vAlign w:val="center"/>
                </w:tcPr>
                <w:p w14:paraId="05F75C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废水</w:t>
                  </w:r>
                </w:p>
              </w:tc>
              <w:tc>
                <w:tcPr>
                  <w:tcW w:w="1914" w:type="pct"/>
                  <w:gridSpan w:val="2"/>
                  <w:tcBorders>
                    <w:tl2br w:val="nil"/>
                    <w:tr2bl w:val="nil"/>
                  </w:tcBorders>
                  <w:noWrap w:val="0"/>
                  <w:vAlign w:val="center"/>
                </w:tcPr>
                <w:p w14:paraId="5ABF17B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生活污水</w:t>
                  </w:r>
                </w:p>
              </w:tc>
              <w:tc>
                <w:tcPr>
                  <w:tcW w:w="2371" w:type="pct"/>
                  <w:tcBorders>
                    <w:tl2br w:val="nil"/>
                    <w:tr2bl w:val="nil"/>
                  </w:tcBorders>
                  <w:noWrap w:val="0"/>
                  <w:vAlign w:val="center"/>
                </w:tcPr>
                <w:p w14:paraId="2781CA7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lang w:val="en-US" w:eastAsia="zh-CN" w:bidi="ar"/>
                    </w:rPr>
                    <w:t>pH、</w:t>
                  </w:r>
                  <w:r>
                    <w:rPr>
                      <w:rFonts w:hint="default" w:ascii="Times New Roman" w:hAnsi="Times New Roman" w:eastAsia="宋体" w:cs="Times New Roman"/>
                      <w:color w:val="auto"/>
                      <w:kern w:val="0"/>
                      <w:sz w:val="21"/>
                      <w:szCs w:val="21"/>
                      <w:highlight w:val="none"/>
                      <w:lang w:val="en-US" w:eastAsia="zh-CN" w:bidi="ar"/>
                    </w:rPr>
                    <w:t>COD、SS、BOD</w:t>
                  </w:r>
                  <w:r>
                    <w:rPr>
                      <w:rFonts w:hint="default" w:ascii="Times New Roman" w:hAnsi="Times New Roman" w:eastAsia="宋体" w:cs="Times New Roman"/>
                      <w:color w:val="auto"/>
                      <w:kern w:val="0"/>
                      <w:sz w:val="21"/>
                      <w:szCs w:val="21"/>
                      <w:highlight w:val="none"/>
                      <w:vertAlign w:val="subscript"/>
                      <w:lang w:val="en-US" w:eastAsia="zh-CN" w:bidi="ar"/>
                    </w:rPr>
                    <w:t>5</w:t>
                  </w:r>
                  <w:r>
                    <w:rPr>
                      <w:rFonts w:hint="default" w:ascii="Times New Roman" w:hAnsi="Times New Roman" w:eastAsia="宋体" w:cs="Times New Roman"/>
                      <w:color w:val="auto"/>
                      <w:kern w:val="0"/>
                      <w:sz w:val="21"/>
                      <w:szCs w:val="21"/>
                      <w:highlight w:val="none"/>
                      <w:lang w:val="en-US" w:eastAsia="zh-CN" w:bidi="ar"/>
                    </w:rPr>
                    <w:t>、NH</w:t>
                  </w:r>
                  <w:r>
                    <w:rPr>
                      <w:rFonts w:hint="default" w:ascii="Times New Roman" w:hAnsi="Times New Roman" w:eastAsia="宋体" w:cs="Times New Roman"/>
                      <w:color w:val="auto"/>
                      <w:kern w:val="0"/>
                      <w:sz w:val="21"/>
                      <w:szCs w:val="21"/>
                      <w:highlight w:val="none"/>
                      <w:vertAlign w:val="sub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-N</w:t>
                  </w:r>
                  <w:r>
                    <w:rPr>
                      <w:rFonts w:hint="eastAsia" w:ascii="Times New Roman" w:hAnsi="Times New Roman" w:eastAsia="宋体" w:cs="Times New Roman"/>
                      <w:color w:val="auto"/>
                      <w:kern w:val="0"/>
                      <w:sz w:val="21"/>
                      <w:szCs w:val="21"/>
                      <w:highlight w:val="none"/>
                      <w:lang w:val="en-US" w:eastAsia="zh-CN" w:bidi="ar"/>
                    </w:rPr>
                    <w:t>、TP、TN</w:t>
                  </w:r>
                </w:p>
              </w:tc>
            </w:tr>
            <w:tr w14:paraId="75A7BE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Merge w:val="continue"/>
                  <w:tcBorders>
                    <w:tl2br w:val="nil"/>
                    <w:tr2bl w:val="nil"/>
                  </w:tcBorders>
                  <w:noWrap w:val="0"/>
                  <w:vAlign w:val="center"/>
                </w:tcPr>
                <w:p w14:paraId="097565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1914" w:type="pct"/>
                  <w:gridSpan w:val="2"/>
                  <w:tcBorders>
                    <w:tl2br w:val="nil"/>
                    <w:tr2bl w:val="nil"/>
                  </w:tcBorders>
                  <w:noWrap w:val="0"/>
                  <w:vAlign w:val="center"/>
                </w:tcPr>
                <w:p w14:paraId="005DD9C4">
                  <w:pPr>
                    <w:adjustRightInd w:val="0"/>
                    <w:snapToGrid w:val="0"/>
                    <w:ind w:firstLine="210" w:firstLineChars="100"/>
                    <w:jc w:val="center"/>
                    <w:rPr>
                      <w:rFonts w:hint="default"/>
                      <w:color w:val="auto"/>
                      <w:kern w:val="2"/>
                      <w:sz w:val="21"/>
                      <w:szCs w:val="21"/>
                      <w:lang w:val="en-US" w:eastAsia="zh-CN" w:bidi="ar-SA"/>
                    </w:rPr>
                  </w:pPr>
                  <w:r>
                    <w:rPr>
                      <w:rFonts w:hint="eastAsia"/>
                      <w:color w:val="auto"/>
                      <w:szCs w:val="21"/>
                    </w:rPr>
                    <w:t>器皿清洗用水</w:t>
                  </w:r>
                </w:p>
              </w:tc>
              <w:tc>
                <w:tcPr>
                  <w:tcW w:w="2371" w:type="pct"/>
                  <w:tcBorders>
                    <w:tl2br w:val="nil"/>
                    <w:tr2bl w:val="nil"/>
                  </w:tcBorders>
                  <w:noWrap w:val="0"/>
                  <w:vAlign w:val="center"/>
                </w:tcPr>
                <w:p w14:paraId="536F573E">
                  <w:pPr>
                    <w:pStyle w:val="67"/>
                    <w:adjustRightInd w:val="0"/>
                    <w:snapToGrid w:val="0"/>
                    <w:jc w:val="center"/>
                    <w:rPr>
                      <w:rFonts w:hint="default" w:ascii="Times New Roman" w:hAnsi="Times New Roman"/>
                      <w:color w:val="auto"/>
                      <w:kern w:val="0"/>
                      <w:position w:val="2"/>
                      <w:sz w:val="21"/>
                      <w:szCs w:val="21"/>
                      <w:lang w:val="en-US" w:eastAsia="zh-CN" w:bidi="ar-SA"/>
                    </w:rPr>
                  </w:pPr>
                  <w:r>
                    <w:rPr>
                      <w:rFonts w:hint="eastAsia" w:ascii="Times New Roman" w:hAnsi="Times New Roman"/>
                      <w:color w:val="auto"/>
                      <w:position w:val="2"/>
                      <w:sz w:val="21"/>
                      <w:szCs w:val="21"/>
                    </w:rPr>
                    <w:t>pH、COD、SS</w:t>
                  </w:r>
                </w:p>
              </w:tc>
            </w:tr>
            <w:tr w14:paraId="2F5784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Merge w:val="continue"/>
                  <w:tcBorders>
                    <w:tl2br w:val="nil"/>
                    <w:tr2bl w:val="nil"/>
                  </w:tcBorders>
                  <w:noWrap w:val="0"/>
                  <w:vAlign w:val="center"/>
                </w:tcPr>
                <w:p w14:paraId="2B071C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1914" w:type="pct"/>
                  <w:gridSpan w:val="2"/>
                  <w:tcBorders>
                    <w:tl2br w:val="nil"/>
                    <w:tr2bl w:val="nil"/>
                  </w:tcBorders>
                  <w:noWrap w:val="0"/>
                  <w:vAlign w:val="center"/>
                </w:tcPr>
                <w:p w14:paraId="073EA7E0">
                  <w:pPr>
                    <w:adjustRightInd w:val="0"/>
                    <w:snapToGrid w:val="0"/>
                    <w:ind w:firstLine="210" w:firstLineChars="100"/>
                    <w:jc w:val="center"/>
                    <w:rPr>
                      <w:rFonts w:hint="default" w:eastAsia="宋体"/>
                      <w:color w:val="auto"/>
                      <w:szCs w:val="21"/>
                      <w:lang w:val="en-US" w:eastAsia="zh-CN"/>
                    </w:rPr>
                  </w:pPr>
                  <w:r>
                    <w:rPr>
                      <w:rFonts w:hint="eastAsia"/>
                      <w:color w:val="auto"/>
                      <w:szCs w:val="21"/>
                      <w:lang w:val="en-US" w:eastAsia="zh-CN"/>
                    </w:rPr>
                    <w:t>纯水机浓水</w:t>
                  </w:r>
                </w:p>
              </w:tc>
              <w:tc>
                <w:tcPr>
                  <w:tcW w:w="2371" w:type="pct"/>
                  <w:tcBorders>
                    <w:tl2br w:val="nil"/>
                    <w:tr2bl w:val="nil"/>
                  </w:tcBorders>
                  <w:noWrap w:val="0"/>
                  <w:vAlign w:val="center"/>
                </w:tcPr>
                <w:p w14:paraId="6746F836">
                  <w:pPr>
                    <w:pStyle w:val="67"/>
                    <w:adjustRightInd w:val="0"/>
                    <w:snapToGrid w:val="0"/>
                    <w:jc w:val="center"/>
                    <w:rPr>
                      <w:rFonts w:hint="default" w:ascii="Times New Roman" w:hAnsi="Times New Roman" w:eastAsia="宋体"/>
                      <w:color w:val="auto"/>
                      <w:position w:val="2"/>
                      <w:sz w:val="21"/>
                      <w:szCs w:val="21"/>
                      <w:lang w:val="en-US" w:eastAsia="zh-CN"/>
                    </w:rPr>
                  </w:pPr>
                  <w:r>
                    <w:rPr>
                      <w:rFonts w:hint="eastAsia" w:ascii="Times New Roman" w:hAnsi="Times New Roman"/>
                      <w:color w:val="auto"/>
                      <w:position w:val="2"/>
                      <w:sz w:val="21"/>
                      <w:szCs w:val="21"/>
                    </w:rPr>
                    <w:t>COD、</w:t>
                  </w:r>
                  <w:r>
                    <w:rPr>
                      <w:rFonts w:hint="eastAsia" w:ascii="Times New Roman" w:hAnsi="Times New Roman"/>
                      <w:color w:val="auto"/>
                      <w:position w:val="2"/>
                      <w:sz w:val="21"/>
                      <w:szCs w:val="21"/>
                      <w:lang w:val="en-US" w:eastAsia="zh-CN"/>
                    </w:rPr>
                    <w:t>TDS</w:t>
                  </w:r>
                </w:p>
              </w:tc>
            </w:tr>
            <w:tr w14:paraId="383670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Merge w:val="restart"/>
                  <w:tcBorders>
                    <w:tl2br w:val="nil"/>
                    <w:tr2bl w:val="nil"/>
                  </w:tcBorders>
                  <w:noWrap w:val="0"/>
                  <w:vAlign w:val="center"/>
                </w:tcPr>
                <w:p w14:paraId="3DACA3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废气</w:t>
                  </w:r>
                </w:p>
              </w:tc>
              <w:tc>
                <w:tcPr>
                  <w:tcW w:w="1914" w:type="pct"/>
                  <w:gridSpan w:val="2"/>
                  <w:tcBorders>
                    <w:tl2br w:val="nil"/>
                    <w:tr2bl w:val="nil"/>
                  </w:tcBorders>
                  <w:noWrap w:val="0"/>
                  <w:vAlign w:val="center"/>
                </w:tcPr>
                <w:p w14:paraId="4562277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催化浆料配制</w:t>
                  </w:r>
                  <w:r>
                    <w:rPr>
                      <w:rFonts w:hint="default" w:ascii="Times New Roman" w:hAnsi="Times New Roman" w:eastAsia="宋体" w:cs="Times New Roman"/>
                      <w:color w:val="auto"/>
                      <w:kern w:val="0"/>
                      <w:sz w:val="21"/>
                      <w:szCs w:val="21"/>
                      <w:highlight w:val="none"/>
                      <w:lang w:val="en-US" w:eastAsia="zh-CN" w:bidi="ar"/>
                    </w:rPr>
                    <w:t>工序</w:t>
                  </w:r>
                </w:p>
              </w:tc>
              <w:tc>
                <w:tcPr>
                  <w:tcW w:w="2371" w:type="pct"/>
                  <w:tcBorders>
                    <w:tl2br w:val="nil"/>
                    <w:tr2bl w:val="nil"/>
                  </w:tcBorders>
                  <w:noWrap w:val="0"/>
                  <w:vAlign w:val="center"/>
                </w:tcPr>
                <w:p w14:paraId="0A953B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非甲烷总烃</w:t>
                  </w:r>
                </w:p>
              </w:tc>
            </w:tr>
            <w:tr w14:paraId="05303B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Merge w:val="continue"/>
                  <w:tcBorders>
                    <w:tl2br w:val="nil"/>
                    <w:tr2bl w:val="nil"/>
                  </w:tcBorders>
                  <w:noWrap w:val="0"/>
                  <w:vAlign w:val="center"/>
                </w:tcPr>
                <w:p w14:paraId="1B5808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1914" w:type="pct"/>
                  <w:gridSpan w:val="2"/>
                  <w:tcBorders>
                    <w:tl2br w:val="nil"/>
                    <w:tr2bl w:val="nil"/>
                  </w:tcBorders>
                  <w:noWrap w:val="0"/>
                  <w:vAlign w:val="center"/>
                </w:tcPr>
                <w:p w14:paraId="67564A3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催化剂涂覆膜制备工序</w:t>
                  </w:r>
                </w:p>
              </w:tc>
              <w:tc>
                <w:tcPr>
                  <w:tcW w:w="2371" w:type="pct"/>
                  <w:tcBorders>
                    <w:tl2br w:val="nil"/>
                    <w:tr2bl w:val="nil"/>
                  </w:tcBorders>
                  <w:noWrap w:val="0"/>
                  <w:vAlign w:val="center"/>
                </w:tcPr>
                <w:p w14:paraId="05C166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非甲烷总烃</w:t>
                  </w:r>
                </w:p>
              </w:tc>
            </w:tr>
            <w:tr w14:paraId="3E1D32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Merge w:val="continue"/>
                  <w:tcBorders>
                    <w:tl2br w:val="nil"/>
                    <w:tr2bl w:val="nil"/>
                  </w:tcBorders>
                  <w:noWrap w:val="0"/>
                  <w:vAlign w:val="center"/>
                </w:tcPr>
                <w:p w14:paraId="39AB8D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1914" w:type="pct"/>
                  <w:gridSpan w:val="2"/>
                  <w:tcBorders>
                    <w:tl2br w:val="nil"/>
                    <w:tr2bl w:val="nil"/>
                  </w:tcBorders>
                  <w:noWrap w:val="0"/>
                  <w:vAlign w:val="center"/>
                </w:tcPr>
                <w:p w14:paraId="1DF63AA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变色材料制备</w:t>
                  </w:r>
                  <w:r>
                    <w:rPr>
                      <w:rFonts w:hint="default" w:ascii="Times New Roman" w:hAnsi="Times New Roman" w:eastAsia="宋体" w:cs="Times New Roman"/>
                      <w:color w:val="auto"/>
                      <w:kern w:val="0"/>
                      <w:sz w:val="21"/>
                      <w:szCs w:val="21"/>
                      <w:highlight w:val="none"/>
                      <w:lang w:val="en-US" w:eastAsia="zh-CN" w:bidi="ar"/>
                    </w:rPr>
                    <w:t>工序</w:t>
                  </w:r>
                </w:p>
              </w:tc>
              <w:tc>
                <w:tcPr>
                  <w:tcW w:w="2371" w:type="pct"/>
                  <w:tcBorders>
                    <w:tl2br w:val="nil"/>
                    <w:tr2bl w:val="nil"/>
                  </w:tcBorders>
                  <w:noWrap w:val="0"/>
                  <w:vAlign w:val="center"/>
                </w:tcPr>
                <w:p w14:paraId="387E1C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非甲烷总烃</w:t>
                  </w:r>
                  <w:r>
                    <w:rPr>
                      <w:rFonts w:hint="eastAsia" w:cs="Times New Roman"/>
                      <w:b w:val="0"/>
                      <w:bCs/>
                      <w:color w:val="auto"/>
                      <w:sz w:val="21"/>
                      <w:szCs w:val="21"/>
                      <w:highlight w:val="none"/>
                      <w:vertAlign w:val="baseline"/>
                      <w:lang w:val="en-US" w:eastAsia="zh-CN"/>
                    </w:rPr>
                    <w:t>、甲醇</w:t>
                  </w:r>
                </w:p>
              </w:tc>
            </w:tr>
            <w:tr w14:paraId="665437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Merge w:val="continue"/>
                  <w:tcBorders>
                    <w:tl2br w:val="nil"/>
                    <w:tr2bl w:val="nil"/>
                  </w:tcBorders>
                  <w:noWrap w:val="0"/>
                  <w:vAlign w:val="center"/>
                </w:tcPr>
                <w:p w14:paraId="6AF49D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1914" w:type="pct"/>
                  <w:gridSpan w:val="2"/>
                  <w:tcBorders>
                    <w:tl2br w:val="nil"/>
                    <w:tr2bl w:val="nil"/>
                  </w:tcBorders>
                  <w:noWrap w:val="0"/>
                  <w:vAlign w:val="center"/>
                </w:tcPr>
                <w:p w14:paraId="38AE4E4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敏感层制备</w:t>
                  </w:r>
                  <w:r>
                    <w:rPr>
                      <w:rFonts w:hint="default" w:ascii="Times New Roman" w:hAnsi="Times New Roman" w:cs="Times New Roman"/>
                      <w:color w:val="auto"/>
                      <w:kern w:val="0"/>
                      <w:sz w:val="21"/>
                      <w:szCs w:val="21"/>
                      <w:highlight w:val="none"/>
                      <w:lang w:val="en-US" w:eastAsia="zh-CN" w:bidi="ar"/>
                    </w:rPr>
                    <w:t>工序</w:t>
                  </w:r>
                </w:p>
              </w:tc>
              <w:tc>
                <w:tcPr>
                  <w:tcW w:w="2371" w:type="pct"/>
                  <w:tcBorders>
                    <w:tl2br w:val="nil"/>
                    <w:tr2bl w:val="nil"/>
                  </w:tcBorders>
                  <w:noWrap w:val="0"/>
                  <w:vAlign w:val="center"/>
                </w:tcPr>
                <w:p w14:paraId="61B4EA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甲苯</w:t>
                  </w:r>
                </w:p>
              </w:tc>
            </w:tr>
            <w:tr w14:paraId="536EE2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tcBorders>
                    <w:tl2br w:val="nil"/>
                    <w:tr2bl w:val="nil"/>
                  </w:tcBorders>
                  <w:noWrap w:val="0"/>
                  <w:vAlign w:val="center"/>
                </w:tcPr>
                <w:p w14:paraId="5A89CE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噪声</w:t>
                  </w:r>
                </w:p>
              </w:tc>
              <w:tc>
                <w:tcPr>
                  <w:tcW w:w="1914" w:type="pct"/>
                  <w:gridSpan w:val="2"/>
                  <w:tcBorders>
                    <w:tl2br w:val="nil"/>
                    <w:tr2bl w:val="nil"/>
                  </w:tcBorders>
                  <w:noWrap w:val="0"/>
                  <w:vAlign w:val="center"/>
                </w:tcPr>
                <w:p w14:paraId="04D873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生产设备</w:t>
                  </w:r>
                </w:p>
              </w:tc>
              <w:tc>
                <w:tcPr>
                  <w:tcW w:w="2371" w:type="pct"/>
                  <w:tcBorders>
                    <w:tl2br w:val="nil"/>
                    <w:tr2bl w:val="nil"/>
                  </w:tcBorders>
                  <w:noWrap w:val="0"/>
                  <w:vAlign w:val="center"/>
                </w:tcPr>
                <w:p w14:paraId="422D80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噪声</w:t>
                  </w:r>
                </w:p>
              </w:tc>
            </w:tr>
            <w:tr w14:paraId="747141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Merge w:val="restart"/>
                  <w:tcBorders>
                    <w:tl2br w:val="nil"/>
                    <w:tr2bl w:val="nil"/>
                  </w:tcBorders>
                  <w:noWrap w:val="0"/>
                  <w:vAlign w:val="center"/>
                </w:tcPr>
                <w:p w14:paraId="78B747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固废</w:t>
                  </w:r>
                </w:p>
                <w:p w14:paraId="5AD280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废物</w:t>
                  </w:r>
                </w:p>
              </w:tc>
              <w:tc>
                <w:tcPr>
                  <w:tcW w:w="541" w:type="pct"/>
                  <w:tcBorders>
                    <w:tl2br w:val="nil"/>
                    <w:tr2bl w:val="nil"/>
                  </w:tcBorders>
                  <w:noWrap w:val="0"/>
                  <w:vAlign w:val="center"/>
                </w:tcPr>
                <w:p w14:paraId="34859D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生活</w:t>
                  </w:r>
                </w:p>
                <w:p w14:paraId="35B8DB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垃圾</w:t>
                  </w:r>
                </w:p>
              </w:tc>
              <w:tc>
                <w:tcPr>
                  <w:tcW w:w="1372" w:type="pct"/>
                  <w:tcBorders>
                    <w:tl2br w:val="nil"/>
                    <w:tr2bl w:val="nil"/>
                  </w:tcBorders>
                  <w:noWrap w:val="0"/>
                  <w:vAlign w:val="center"/>
                </w:tcPr>
                <w:p w14:paraId="2B8795C5">
                  <w:pPr>
                    <w:pStyle w:val="67"/>
                    <w:adjustRightInd w:val="0"/>
                    <w:snapToGrid w:val="0"/>
                    <w:ind w:left="125" w:leftChars="0" w:right="120" w:rightChars="0"/>
                    <w:jc w:val="center"/>
                    <w:rPr>
                      <w:rFonts w:hint="default" w:ascii="Times New Roman" w:hAnsi="Times New Roman" w:eastAsia="宋体" w:cs="Times New Roman"/>
                      <w:b w:val="0"/>
                      <w:bCs/>
                      <w:color w:val="auto"/>
                      <w:sz w:val="21"/>
                      <w:szCs w:val="21"/>
                      <w:highlight w:val="none"/>
                      <w:vertAlign w:val="baseline"/>
                      <w:lang w:val="en-US" w:eastAsia="zh-CN"/>
                    </w:rPr>
                  </w:pPr>
                  <w:r>
                    <w:rPr>
                      <w:rFonts w:ascii="Times New Roman" w:hAnsi="Times New Roman"/>
                      <w:color w:val="auto"/>
                      <w:sz w:val="21"/>
                      <w:szCs w:val="21"/>
                    </w:rPr>
                    <w:t>职工办公</w:t>
                  </w:r>
                </w:p>
              </w:tc>
              <w:tc>
                <w:tcPr>
                  <w:tcW w:w="2371" w:type="pct"/>
                  <w:tcBorders>
                    <w:tl2br w:val="nil"/>
                    <w:tr2bl w:val="nil"/>
                  </w:tcBorders>
                  <w:noWrap w:val="0"/>
                  <w:vAlign w:val="center"/>
                </w:tcPr>
                <w:p w14:paraId="55620EAA">
                  <w:pPr>
                    <w:pStyle w:val="67"/>
                    <w:adjustRightInd w:val="0"/>
                    <w:snapToGrid w:val="0"/>
                    <w:jc w:val="center"/>
                    <w:rPr>
                      <w:rFonts w:hint="default" w:ascii="Times New Roman" w:hAnsi="Times New Roman" w:eastAsia="宋体" w:cs="Times New Roman"/>
                      <w:b w:val="0"/>
                      <w:bCs/>
                      <w:color w:val="auto"/>
                      <w:sz w:val="21"/>
                      <w:szCs w:val="21"/>
                      <w:highlight w:val="none"/>
                      <w:vertAlign w:val="baseline"/>
                      <w:lang w:val="en-US" w:eastAsia="zh-CN"/>
                    </w:rPr>
                  </w:pPr>
                  <w:r>
                    <w:rPr>
                      <w:rFonts w:ascii="Times New Roman" w:hAnsi="Times New Roman"/>
                      <w:color w:val="auto"/>
                      <w:sz w:val="21"/>
                      <w:szCs w:val="21"/>
                    </w:rPr>
                    <w:t>生活垃圾</w:t>
                  </w:r>
                </w:p>
              </w:tc>
            </w:tr>
            <w:tr w14:paraId="093284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Merge w:val="continue"/>
                  <w:tcBorders>
                    <w:tl2br w:val="nil"/>
                    <w:tr2bl w:val="nil"/>
                  </w:tcBorders>
                  <w:noWrap w:val="0"/>
                  <w:vAlign w:val="center"/>
                </w:tcPr>
                <w:p w14:paraId="651D21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541" w:type="pct"/>
                  <w:vMerge w:val="restart"/>
                  <w:tcBorders>
                    <w:tl2br w:val="nil"/>
                    <w:tr2bl w:val="nil"/>
                  </w:tcBorders>
                  <w:noWrap w:val="0"/>
                  <w:vAlign w:val="center"/>
                </w:tcPr>
                <w:p w14:paraId="722FF6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一般</w:t>
                  </w:r>
                </w:p>
                <w:p w14:paraId="693E65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固废</w:t>
                  </w:r>
                </w:p>
              </w:tc>
              <w:tc>
                <w:tcPr>
                  <w:tcW w:w="1372" w:type="pct"/>
                  <w:tcBorders>
                    <w:tl2br w:val="nil"/>
                    <w:tr2bl w:val="nil"/>
                  </w:tcBorders>
                  <w:noWrap w:val="0"/>
                  <w:vAlign w:val="center"/>
                </w:tcPr>
                <w:p w14:paraId="1114A5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检测与包装工序</w:t>
                  </w:r>
                </w:p>
              </w:tc>
              <w:tc>
                <w:tcPr>
                  <w:tcW w:w="2371" w:type="pct"/>
                  <w:tcBorders>
                    <w:tl2br w:val="nil"/>
                    <w:tr2bl w:val="nil"/>
                  </w:tcBorders>
                  <w:noWrap w:val="0"/>
                  <w:vAlign w:val="center"/>
                </w:tcPr>
                <w:p w14:paraId="42C451E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废包装材料</w:t>
                  </w:r>
                  <w:r>
                    <w:rPr>
                      <w:rFonts w:hint="eastAsia" w:ascii="Times New Roman" w:hAnsi="Times New Roman" w:cs="Times New Roman"/>
                      <w:b w:val="0"/>
                      <w:bCs/>
                      <w:color w:val="auto"/>
                      <w:sz w:val="21"/>
                      <w:szCs w:val="21"/>
                      <w:highlight w:val="none"/>
                      <w:vertAlign w:val="baseline"/>
                      <w:lang w:val="en-US" w:eastAsia="zh-CN"/>
                    </w:rPr>
                    <w:t>、</w:t>
                  </w:r>
                  <w:r>
                    <w:rPr>
                      <w:rFonts w:hint="eastAsia" w:ascii="Times New Roman" w:hAnsi="Times New Roman" w:eastAsia="宋体" w:cs="Times New Roman"/>
                      <w:b w:val="0"/>
                      <w:bCs/>
                      <w:color w:val="auto"/>
                      <w:sz w:val="21"/>
                      <w:szCs w:val="21"/>
                      <w:highlight w:val="none"/>
                      <w:vertAlign w:val="baseline"/>
                      <w:lang w:val="en-US" w:eastAsia="zh-CN"/>
                    </w:rPr>
                    <w:t>不合格品</w:t>
                  </w:r>
                </w:p>
              </w:tc>
            </w:tr>
            <w:tr w14:paraId="4E1AC8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Merge w:val="continue"/>
                  <w:tcBorders>
                    <w:tl2br w:val="nil"/>
                    <w:tr2bl w:val="nil"/>
                  </w:tcBorders>
                  <w:noWrap w:val="0"/>
                  <w:vAlign w:val="center"/>
                </w:tcPr>
                <w:p w14:paraId="39930F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p>
              </w:tc>
              <w:tc>
                <w:tcPr>
                  <w:tcW w:w="541" w:type="pct"/>
                  <w:vMerge w:val="continue"/>
                  <w:tcBorders>
                    <w:tl2br w:val="nil"/>
                    <w:tr2bl w:val="nil"/>
                  </w:tcBorders>
                  <w:noWrap w:val="0"/>
                  <w:vAlign w:val="center"/>
                </w:tcPr>
                <w:p w14:paraId="7D0F97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p>
              </w:tc>
              <w:tc>
                <w:tcPr>
                  <w:tcW w:w="1372" w:type="pct"/>
                  <w:tcBorders>
                    <w:tl2br w:val="nil"/>
                    <w:tr2bl w:val="nil"/>
                  </w:tcBorders>
                  <w:noWrap w:val="0"/>
                  <w:vAlign w:val="center"/>
                </w:tcPr>
                <w:p w14:paraId="45DCE7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分切工序</w:t>
                  </w:r>
                </w:p>
              </w:tc>
              <w:tc>
                <w:tcPr>
                  <w:tcW w:w="2371" w:type="pct"/>
                  <w:tcBorders>
                    <w:tl2br w:val="nil"/>
                    <w:tr2bl w:val="nil"/>
                  </w:tcBorders>
                  <w:noWrap w:val="0"/>
                  <w:vAlign w:val="center"/>
                </w:tcPr>
                <w:p w14:paraId="2CBC5A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废边角料</w:t>
                  </w:r>
                </w:p>
              </w:tc>
            </w:tr>
            <w:tr w14:paraId="14067A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Merge w:val="continue"/>
                  <w:tcBorders>
                    <w:tl2br w:val="nil"/>
                    <w:tr2bl w:val="nil"/>
                  </w:tcBorders>
                  <w:noWrap w:val="0"/>
                  <w:vAlign w:val="center"/>
                </w:tcPr>
                <w:p w14:paraId="51555D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541" w:type="pct"/>
                  <w:vMerge w:val="continue"/>
                  <w:tcBorders>
                    <w:tl2br w:val="nil"/>
                    <w:tr2bl w:val="nil"/>
                  </w:tcBorders>
                  <w:noWrap w:val="0"/>
                  <w:vAlign w:val="center"/>
                </w:tcPr>
                <w:p w14:paraId="3CA745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1372" w:type="pct"/>
                  <w:tcBorders>
                    <w:tl2br w:val="nil"/>
                    <w:tr2bl w:val="nil"/>
                  </w:tcBorders>
                  <w:noWrap w:val="0"/>
                  <w:vAlign w:val="center"/>
                </w:tcPr>
                <w:p w14:paraId="5F3965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纯水制备</w:t>
                  </w:r>
                </w:p>
              </w:tc>
              <w:tc>
                <w:tcPr>
                  <w:tcW w:w="2371" w:type="pct"/>
                  <w:tcBorders>
                    <w:tl2br w:val="nil"/>
                    <w:tr2bl w:val="nil"/>
                  </w:tcBorders>
                  <w:noWrap w:val="0"/>
                  <w:vAlign w:val="center"/>
                </w:tcPr>
                <w:p w14:paraId="29982F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废反渗透膜</w:t>
                  </w:r>
                  <w:r>
                    <w:rPr>
                      <w:rFonts w:hint="eastAsia" w:cs="Times New Roman"/>
                      <w:b w:val="0"/>
                      <w:bCs/>
                      <w:color w:val="auto"/>
                      <w:sz w:val="21"/>
                      <w:szCs w:val="21"/>
                      <w:highlight w:val="none"/>
                      <w:vertAlign w:val="baseline"/>
                      <w:lang w:val="en-US" w:eastAsia="zh-CN"/>
                    </w:rPr>
                    <w:t>、废滤芯</w:t>
                  </w:r>
                </w:p>
              </w:tc>
            </w:tr>
            <w:tr w14:paraId="057B4E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Merge w:val="continue"/>
                  <w:tcBorders>
                    <w:tl2br w:val="nil"/>
                    <w:tr2bl w:val="nil"/>
                  </w:tcBorders>
                  <w:noWrap w:val="0"/>
                  <w:vAlign w:val="center"/>
                </w:tcPr>
                <w:p w14:paraId="0FF947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541" w:type="pct"/>
                  <w:vMerge w:val="restart"/>
                  <w:tcBorders>
                    <w:tl2br w:val="nil"/>
                    <w:tr2bl w:val="nil"/>
                  </w:tcBorders>
                  <w:noWrap w:val="0"/>
                  <w:vAlign w:val="center"/>
                </w:tcPr>
                <w:p w14:paraId="3F6776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危险废物</w:t>
                  </w:r>
                </w:p>
              </w:tc>
              <w:tc>
                <w:tcPr>
                  <w:tcW w:w="1372" w:type="pct"/>
                  <w:tcBorders>
                    <w:tl2br w:val="nil"/>
                    <w:tr2bl w:val="nil"/>
                  </w:tcBorders>
                  <w:noWrap w:val="0"/>
                  <w:vAlign w:val="center"/>
                </w:tcPr>
                <w:p w14:paraId="18B584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浆料</w:t>
                  </w:r>
                  <w:r>
                    <w:rPr>
                      <w:rFonts w:hint="eastAsia" w:ascii="Times New Roman" w:hAnsi="Times New Roman" w:eastAsia="宋体" w:cs="Times New Roman"/>
                      <w:b w:val="0"/>
                      <w:bCs/>
                      <w:color w:val="auto"/>
                      <w:sz w:val="21"/>
                      <w:szCs w:val="21"/>
                      <w:highlight w:val="none"/>
                      <w:vertAlign w:val="baseline"/>
                      <w:lang w:val="en-US" w:eastAsia="zh-CN"/>
                    </w:rPr>
                    <w:t>配制工序</w:t>
                  </w:r>
                </w:p>
              </w:tc>
              <w:tc>
                <w:tcPr>
                  <w:tcW w:w="2371" w:type="pct"/>
                  <w:tcBorders>
                    <w:tl2br w:val="nil"/>
                    <w:tr2bl w:val="nil"/>
                  </w:tcBorders>
                  <w:noWrap w:val="0"/>
                  <w:vAlign w:val="center"/>
                </w:tcPr>
                <w:p w14:paraId="51EC84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color w:val="auto"/>
                      <w:sz w:val="21"/>
                      <w:szCs w:val="21"/>
                    </w:rPr>
                    <w:t>废液、废试剂瓶</w:t>
                  </w:r>
                </w:p>
              </w:tc>
            </w:tr>
            <w:tr w14:paraId="5C68CB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Merge w:val="continue"/>
                  <w:tcBorders>
                    <w:tl2br w:val="nil"/>
                    <w:tr2bl w:val="nil"/>
                  </w:tcBorders>
                  <w:noWrap w:val="0"/>
                  <w:vAlign w:val="center"/>
                </w:tcPr>
                <w:p w14:paraId="177CDA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541" w:type="pct"/>
                  <w:vMerge w:val="continue"/>
                  <w:tcBorders>
                    <w:tl2br w:val="nil"/>
                    <w:tr2bl w:val="nil"/>
                  </w:tcBorders>
                  <w:noWrap w:val="0"/>
                  <w:vAlign w:val="center"/>
                </w:tcPr>
                <w:p w14:paraId="6E87F6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1372" w:type="pct"/>
                  <w:tcBorders>
                    <w:tl2br w:val="nil"/>
                    <w:tr2bl w:val="nil"/>
                  </w:tcBorders>
                  <w:noWrap w:val="0"/>
                  <w:vAlign w:val="center"/>
                </w:tcPr>
                <w:p w14:paraId="41B50141">
                  <w:pPr>
                    <w:pStyle w:val="67"/>
                    <w:adjustRightInd w:val="0"/>
                    <w:snapToGrid w:val="0"/>
                    <w:ind w:left="125" w:leftChars="0" w:right="120" w:rightChars="0"/>
                    <w:jc w:val="center"/>
                    <w:rPr>
                      <w:rFonts w:hint="eastAsia" w:ascii="Times New Roman" w:hAnsi="Times New Roman"/>
                      <w:color w:val="auto"/>
                      <w:kern w:val="0"/>
                      <w:sz w:val="21"/>
                      <w:szCs w:val="21"/>
                      <w:lang w:val="en-US" w:eastAsia="zh-CN" w:bidi="ar-SA"/>
                    </w:rPr>
                  </w:pPr>
                  <w:r>
                    <w:rPr>
                      <w:rFonts w:hint="eastAsia" w:ascii="Times New Roman" w:hAnsi="Times New Roman"/>
                      <w:color w:val="auto"/>
                      <w:sz w:val="21"/>
                      <w:szCs w:val="21"/>
                    </w:rPr>
                    <w:t>废气处理</w:t>
                  </w:r>
                </w:p>
              </w:tc>
              <w:tc>
                <w:tcPr>
                  <w:tcW w:w="2371" w:type="pct"/>
                  <w:tcBorders>
                    <w:tl2br w:val="nil"/>
                    <w:tr2bl w:val="nil"/>
                  </w:tcBorders>
                  <w:noWrap w:val="0"/>
                  <w:vAlign w:val="center"/>
                </w:tcPr>
                <w:p w14:paraId="40C68DC0">
                  <w:pPr>
                    <w:pStyle w:val="67"/>
                    <w:adjustRightInd w:val="0"/>
                    <w:snapToGrid w:val="0"/>
                    <w:jc w:val="center"/>
                    <w:rPr>
                      <w:rFonts w:hint="eastAsia" w:ascii="Times New Roman" w:hAnsi="Times New Roman"/>
                      <w:color w:val="auto"/>
                      <w:kern w:val="0"/>
                      <w:sz w:val="21"/>
                      <w:szCs w:val="21"/>
                      <w:lang w:val="en-US" w:eastAsia="zh-CN" w:bidi="ar-SA"/>
                    </w:rPr>
                  </w:pPr>
                  <w:r>
                    <w:rPr>
                      <w:rFonts w:hint="eastAsia" w:ascii="Times New Roman" w:hAnsi="Times New Roman"/>
                      <w:color w:val="auto"/>
                      <w:sz w:val="21"/>
                      <w:szCs w:val="21"/>
                    </w:rPr>
                    <w:t>废活性炭</w:t>
                  </w:r>
                </w:p>
              </w:tc>
            </w:tr>
          </w:tbl>
          <w:p w14:paraId="7D6D9AD5">
            <w:pPr>
              <w:numPr>
                <w:ilvl w:val="0"/>
                <w:numId w:val="0"/>
              </w:numPr>
              <w:adjustRightInd w:val="0"/>
              <w:snapToGrid w:val="0"/>
              <w:spacing w:line="360" w:lineRule="auto"/>
              <w:jc w:val="center"/>
              <w:rPr>
                <w:rFonts w:hint="default" w:ascii="Times New Roman" w:hAnsi="Times New Roman" w:eastAsia="宋体" w:cs="Times New Roman"/>
                <w:b/>
                <w:bCs w:val="0"/>
                <w:color w:val="auto"/>
                <w:sz w:val="24"/>
                <w:szCs w:val="24"/>
                <w:lang w:val="en-US" w:eastAsia="zh-CN"/>
              </w:rPr>
            </w:pPr>
          </w:p>
        </w:tc>
      </w:tr>
      <w:tr w14:paraId="3BAC52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8" w:hRule="atLeast"/>
          <w:jc w:val="center"/>
        </w:trPr>
        <w:tc>
          <w:tcPr>
            <w:tcW w:w="446" w:type="dxa"/>
            <w:noWrap w:val="0"/>
            <w:vAlign w:val="center"/>
          </w:tcPr>
          <w:p w14:paraId="1A28D1D2">
            <w:pPr>
              <w:pStyle w:val="23"/>
              <w:adjustRightInd w:val="0"/>
              <w:snapToGrid w:val="0"/>
              <w:spacing w:before="0" w:beforeAutospacing="0" w:after="0" w:afterAutospacing="0"/>
              <w:jc w:val="center"/>
              <w:rPr>
                <w:rFonts w:hint="default" w:ascii="Times New Roman" w:hAnsi="Times New Roman" w:cs="Times New Roman"/>
                <w:b/>
                <w:bCs/>
                <w:color w:val="auto"/>
                <w:sz w:val="24"/>
                <w:szCs w:val="24"/>
              </w:rPr>
            </w:pPr>
            <w:r>
              <w:rPr>
                <w:rFonts w:hint="default" w:ascii="Times New Roman" w:hAnsi="Times New Roman" w:cs="Times New Roman"/>
                <w:b w:val="0"/>
                <w:bCs w:val="0"/>
                <w:color w:val="auto"/>
                <w:kern w:val="2"/>
                <w:sz w:val="24"/>
                <w:szCs w:val="24"/>
              </w:rPr>
              <w:t>与项目有关的原有环境污染问题</w:t>
            </w:r>
          </w:p>
        </w:tc>
        <w:tc>
          <w:tcPr>
            <w:tcW w:w="8538" w:type="dxa"/>
            <w:noWrap w:val="0"/>
            <w:vAlign w:val="center"/>
          </w:tcPr>
          <w:p w14:paraId="3F0F4599">
            <w:pPr>
              <w:pStyle w:val="5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48" w:lineRule="auto"/>
              <w:ind w:leftChars="0" w:right="0" w:rightChars="0" w:firstLine="480" w:firstLineChars="200"/>
              <w:jc w:val="both"/>
              <w:textAlignment w:val="auto"/>
              <w:rPr>
                <w:rFonts w:hint="default" w:ascii="Times New Roman" w:hAnsi="Times New Roman" w:cs="Times New Roman"/>
                <w:bCs/>
                <w:color w:val="auto"/>
                <w:sz w:val="24"/>
                <w:szCs w:val="24"/>
              </w:rPr>
            </w:pPr>
            <w:r>
              <w:rPr>
                <w:rFonts w:hint="default" w:ascii="Times New Roman" w:hAnsi="Times New Roman" w:eastAsia="宋体" w:cs="Times New Roman"/>
                <w:b w:val="0"/>
                <w:bCs w:val="0"/>
                <w:color w:val="auto"/>
                <w:sz w:val="24"/>
                <w:szCs w:val="24"/>
                <w:lang w:val="en-US" w:eastAsia="zh-CN" w:bidi="ar-SA"/>
              </w:rPr>
              <w:t>本项目位于</w:t>
            </w:r>
            <w:r>
              <w:rPr>
                <w:rFonts w:hint="eastAsia" w:ascii="Times New Roman" w:hAnsi="Times New Roman" w:eastAsia="宋体" w:cs="Times New Roman"/>
                <w:b w:val="0"/>
                <w:bCs w:val="0"/>
                <w:color w:val="auto"/>
                <w:sz w:val="24"/>
                <w:szCs w:val="24"/>
                <w:lang w:val="en-US" w:eastAsia="zh-CN" w:bidi="ar-SA"/>
              </w:rPr>
              <w:t>陕西省西咸新区泾河新城永乐镇泾河智造创新产业园18#3层</w:t>
            </w:r>
            <w:r>
              <w:rPr>
                <w:rFonts w:hint="default" w:ascii="Times New Roman" w:hAnsi="Times New Roman" w:cs="Times New Roman"/>
                <w:b w:val="0"/>
                <w:bCs w:val="0"/>
                <w:color w:val="auto"/>
                <w:sz w:val="24"/>
                <w:szCs w:val="24"/>
                <w:lang w:val="en-US" w:eastAsia="zh-CN" w:bidi="ar-SA"/>
              </w:rPr>
              <w:t>，属于新建项目。</w:t>
            </w:r>
            <w:r>
              <w:rPr>
                <w:rFonts w:hint="default" w:ascii="Times New Roman" w:hAnsi="Times New Roman" w:eastAsia="宋体" w:cs="Times New Roman"/>
                <w:b w:val="0"/>
                <w:bCs w:val="0"/>
                <w:color w:val="auto"/>
                <w:sz w:val="24"/>
                <w:szCs w:val="24"/>
                <w:lang w:val="en-US" w:eastAsia="zh-CN" w:bidi="ar-SA"/>
              </w:rPr>
              <w:t>根据现场勘查，</w:t>
            </w:r>
            <w:r>
              <w:rPr>
                <w:rFonts w:hint="default" w:ascii="Times New Roman" w:hAnsi="Times New Roman" w:cs="Times New Roman"/>
                <w:b w:val="0"/>
                <w:bCs w:val="0"/>
                <w:color w:val="auto"/>
                <w:sz w:val="24"/>
                <w:szCs w:val="24"/>
                <w:lang w:val="en-US" w:eastAsia="zh-CN" w:bidi="ar-SA"/>
              </w:rPr>
              <w:t>该厂房为标准化厂房，一直处于闲置状态，未进行任何生产活动，</w:t>
            </w:r>
            <w:r>
              <w:rPr>
                <w:rFonts w:hint="default" w:ascii="Times New Roman" w:hAnsi="Times New Roman" w:eastAsia="宋体" w:cs="Times New Roman"/>
                <w:b w:val="0"/>
                <w:bCs w:val="0"/>
                <w:color w:val="auto"/>
                <w:sz w:val="24"/>
                <w:szCs w:val="24"/>
                <w:lang w:val="en-US" w:eastAsia="zh-CN" w:bidi="ar-SA"/>
              </w:rPr>
              <w:t>原地面已做硬化，不存在与项目有关的原有环境污染问题</w:t>
            </w:r>
            <w:r>
              <w:rPr>
                <w:rFonts w:hint="default" w:ascii="Times New Roman" w:hAnsi="Times New Roman" w:eastAsia="宋体" w:cs="Times New Roman"/>
                <w:b w:val="0"/>
                <w:bCs w:val="0"/>
                <w:color w:val="auto"/>
                <w:sz w:val="24"/>
                <w:szCs w:val="24"/>
                <w:lang w:val="zh-CN" w:eastAsia="zh-CN" w:bidi="ar-SA"/>
              </w:rPr>
              <w:t>。</w:t>
            </w:r>
          </w:p>
        </w:tc>
      </w:tr>
    </w:tbl>
    <w:p w14:paraId="783ED34E">
      <w:pPr>
        <w:pStyle w:val="23"/>
        <w:jc w:val="center"/>
        <w:rPr>
          <w:rFonts w:hint="default" w:ascii="Times New Roman" w:hAnsi="Times New Roman" w:eastAsia="黑体" w:cs="Times New Roman"/>
          <w:snapToGrid w:val="0"/>
          <w:sz w:val="36"/>
          <w:szCs w:val="36"/>
        </w:rPr>
        <w:sectPr>
          <w:footerReference r:id="rId7"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3D4EB14D">
      <w:pPr>
        <w:pStyle w:val="23"/>
        <w:jc w:val="center"/>
        <w:outlineLvl w:val="0"/>
        <w:rPr>
          <w:rFonts w:hint="default" w:ascii="Times New Roman" w:hAnsi="Times New Roman" w:eastAsia="黑体" w:cs="Times New Roman"/>
          <w:snapToGrid w:val="0"/>
          <w:sz w:val="30"/>
          <w:szCs w:val="30"/>
        </w:rPr>
      </w:pPr>
      <w:bookmarkStart w:id="7" w:name="_Toc31726"/>
      <w:r>
        <w:rPr>
          <w:rFonts w:hint="default" w:ascii="Times New Roman" w:hAnsi="Times New Roman" w:eastAsia="黑体" w:cs="Times New Roman"/>
          <w:snapToGrid w:val="0"/>
          <w:sz w:val="30"/>
          <w:szCs w:val="30"/>
        </w:rPr>
        <w:t>三、区域环境质量现状、环境保护目标及评价标准</w:t>
      </w:r>
      <w:bookmarkEnd w:id="7"/>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64"/>
        <w:gridCol w:w="8526"/>
      </w:tblGrid>
      <w:tr w14:paraId="48F092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8" w:hRule="atLeast"/>
          <w:jc w:val="center"/>
        </w:trPr>
        <w:tc>
          <w:tcPr>
            <w:tcW w:w="464" w:type="dxa"/>
            <w:noWrap w:val="0"/>
            <w:vAlign w:val="center"/>
          </w:tcPr>
          <w:p w14:paraId="2277724F">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区域</w:t>
            </w:r>
          </w:p>
          <w:p w14:paraId="0036D8F3">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环境</w:t>
            </w:r>
          </w:p>
          <w:p w14:paraId="6A4AB751">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质量</w:t>
            </w:r>
          </w:p>
          <w:p w14:paraId="75EBCADC">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现状</w:t>
            </w:r>
          </w:p>
        </w:tc>
        <w:tc>
          <w:tcPr>
            <w:tcW w:w="8526" w:type="dxa"/>
            <w:noWrap w:val="0"/>
            <w:vAlign w:val="top"/>
          </w:tcPr>
          <w:p w14:paraId="03F0EBDA">
            <w:pPr>
              <w:numPr>
                <w:ilvl w:val="0"/>
                <w:numId w:val="6"/>
              </w:numPr>
              <w:adjustRightInd w:val="0"/>
              <w:snapToGrid w:val="0"/>
              <w:spacing w:line="360" w:lineRule="auto"/>
              <w:jc w:val="left"/>
              <w:rPr>
                <w:rFonts w:hint="default" w:ascii="Times New Roman" w:hAnsi="Times New Roman" w:cs="Times New Roman"/>
                <w:b/>
                <w:bCs/>
                <w:kern w:val="0"/>
                <w:sz w:val="24"/>
                <w:szCs w:val="24"/>
                <w:lang w:val="en-US" w:eastAsia="zh-CN"/>
              </w:rPr>
            </w:pPr>
            <w:r>
              <w:rPr>
                <w:rFonts w:hint="default" w:ascii="Times New Roman" w:hAnsi="Times New Roman" w:cs="Times New Roman"/>
                <w:b/>
                <w:bCs/>
                <w:kern w:val="0"/>
                <w:sz w:val="24"/>
                <w:szCs w:val="24"/>
                <w:lang w:val="en-US" w:eastAsia="zh-CN"/>
              </w:rPr>
              <w:t>大气环境质量现状</w:t>
            </w:r>
          </w:p>
          <w:p w14:paraId="63D32532">
            <w:pPr>
              <w:spacing w:line="360" w:lineRule="auto"/>
              <w:ind w:firstLine="480" w:firstLineChars="200"/>
              <w:rPr>
                <w:sz w:val="24"/>
              </w:rPr>
            </w:pPr>
            <w:r>
              <w:rPr>
                <w:rFonts w:hint="eastAsia"/>
                <w:sz w:val="24"/>
              </w:rPr>
              <w:t>根据陕西省生态环境厅公布的《环保快报2024年12月及1~12月全省环境空气质量状况》进行评价。本评价选用2024年1~12月关中地区63个县（区）空气质量状况统计表中西咸新区的数据对该区域基本污染物环境质量现状进行评价。</w:t>
            </w:r>
          </w:p>
          <w:p w14:paraId="784FBE4B">
            <w:pPr>
              <w:pStyle w:val="65"/>
              <w:numPr>
                <w:ilvl w:val="0"/>
                <w:numId w:val="0"/>
              </w:numPr>
              <w:rPr>
                <w:szCs w:val="24"/>
              </w:rPr>
            </w:pPr>
            <w:r>
              <w:rPr>
                <w:rFonts w:hAnsi="宋体"/>
                <w:szCs w:val="24"/>
              </w:rPr>
              <w:t>表</w:t>
            </w:r>
            <w:r>
              <w:rPr>
                <w:rFonts w:hint="eastAsia"/>
                <w:szCs w:val="24"/>
              </w:rPr>
              <w:t>3</w:t>
            </w:r>
            <w:r>
              <w:rPr>
                <w:szCs w:val="24"/>
              </w:rPr>
              <w:t xml:space="preserve">-1   </w:t>
            </w:r>
            <w:r>
              <w:rPr>
                <w:rFonts w:hAnsi="宋体"/>
                <w:szCs w:val="24"/>
              </w:rPr>
              <w:t>区域空气环境质量现状评价表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6"/>
              <w:gridCol w:w="2542"/>
              <w:gridCol w:w="1300"/>
              <w:gridCol w:w="1242"/>
              <w:gridCol w:w="1194"/>
              <w:gridCol w:w="1046"/>
            </w:tblGrid>
            <w:tr w14:paraId="57C353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3" w:type="pct"/>
                  <w:tcBorders>
                    <w:tl2br w:val="nil"/>
                    <w:tr2bl w:val="nil"/>
                  </w:tcBorders>
                  <w:noWrap w:val="0"/>
                  <w:vAlign w:val="center"/>
                </w:tcPr>
                <w:p w14:paraId="3C0399A7">
                  <w:pPr>
                    <w:jc w:val="center"/>
                    <w:rPr>
                      <w:b/>
                      <w:bCs/>
                      <w:szCs w:val="21"/>
                    </w:rPr>
                  </w:pPr>
                  <w:r>
                    <w:rPr>
                      <w:b/>
                      <w:bCs/>
                      <w:szCs w:val="21"/>
                    </w:rPr>
                    <w:t>污染物</w:t>
                  </w:r>
                </w:p>
              </w:tc>
              <w:tc>
                <w:tcPr>
                  <w:tcW w:w="1529" w:type="pct"/>
                  <w:tcBorders>
                    <w:tl2br w:val="nil"/>
                    <w:tr2bl w:val="nil"/>
                  </w:tcBorders>
                  <w:noWrap w:val="0"/>
                  <w:vAlign w:val="center"/>
                </w:tcPr>
                <w:p w14:paraId="5167A8DC">
                  <w:pPr>
                    <w:jc w:val="center"/>
                    <w:rPr>
                      <w:b/>
                      <w:bCs/>
                      <w:szCs w:val="21"/>
                    </w:rPr>
                  </w:pPr>
                  <w:r>
                    <w:rPr>
                      <w:b/>
                      <w:bCs/>
                      <w:szCs w:val="21"/>
                    </w:rPr>
                    <w:t>年评价指标</w:t>
                  </w:r>
                </w:p>
              </w:tc>
              <w:tc>
                <w:tcPr>
                  <w:tcW w:w="782" w:type="pct"/>
                  <w:tcBorders>
                    <w:tl2br w:val="nil"/>
                    <w:tr2bl w:val="nil"/>
                  </w:tcBorders>
                  <w:noWrap w:val="0"/>
                  <w:vAlign w:val="center"/>
                </w:tcPr>
                <w:p w14:paraId="52386B33">
                  <w:pPr>
                    <w:jc w:val="center"/>
                    <w:rPr>
                      <w:b/>
                      <w:bCs/>
                      <w:szCs w:val="21"/>
                    </w:rPr>
                  </w:pPr>
                  <w:r>
                    <w:rPr>
                      <w:b/>
                      <w:bCs/>
                      <w:szCs w:val="21"/>
                    </w:rPr>
                    <w:t>现状浓度（μg/m</w:t>
                  </w:r>
                  <w:r>
                    <w:rPr>
                      <w:b/>
                      <w:bCs/>
                      <w:szCs w:val="21"/>
                      <w:vertAlign w:val="superscript"/>
                    </w:rPr>
                    <w:t>3</w:t>
                  </w:r>
                  <w:r>
                    <w:rPr>
                      <w:b/>
                      <w:bCs/>
                      <w:szCs w:val="21"/>
                    </w:rPr>
                    <w:t>）</w:t>
                  </w:r>
                </w:p>
              </w:tc>
              <w:tc>
                <w:tcPr>
                  <w:tcW w:w="747" w:type="pct"/>
                  <w:tcBorders>
                    <w:tl2br w:val="nil"/>
                    <w:tr2bl w:val="nil"/>
                  </w:tcBorders>
                  <w:noWrap w:val="0"/>
                  <w:vAlign w:val="center"/>
                </w:tcPr>
                <w:p w14:paraId="5535F10A">
                  <w:pPr>
                    <w:jc w:val="center"/>
                    <w:rPr>
                      <w:b/>
                      <w:bCs/>
                      <w:szCs w:val="21"/>
                    </w:rPr>
                  </w:pPr>
                  <w:r>
                    <w:rPr>
                      <w:b/>
                      <w:bCs/>
                      <w:szCs w:val="21"/>
                    </w:rPr>
                    <w:t>标准值（μg/m</w:t>
                  </w:r>
                  <w:r>
                    <w:rPr>
                      <w:b/>
                      <w:bCs/>
                      <w:szCs w:val="21"/>
                      <w:vertAlign w:val="superscript"/>
                    </w:rPr>
                    <w:t>3</w:t>
                  </w:r>
                  <w:r>
                    <w:rPr>
                      <w:b/>
                      <w:bCs/>
                      <w:szCs w:val="21"/>
                    </w:rPr>
                    <w:t>）</w:t>
                  </w:r>
                </w:p>
              </w:tc>
              <w:tc>
                <w:tcPr>
                  <w:tcW w:w="718" w:type="pct"/>
                  <w:tcBorders>
                    <w:tl2br w:val="nil"/>
                    <w:tr2bl w:val="nil"/>
                  </w:tcBorders>
                  <w:noWrap w:val="0"/>
                  <w:vAlign w:val="center"/>
                </w:tcPr>
                <w:p w14:paraId="26973B4A">
                  <w:pPr>
                    <w:jc w:val="center"/>
                    <w:rPr>
                      <w:b/>
                      <w:bCs/>
                      <w:szCs w:val="21"/>
                    </w:rPr>
                  </w:pPr>
                  <w:r>
                    <w:rPr>
                      <w:b/>
                      <w:bCs/>
                      <w:szCs w:val="21"/>
                    </w:rPr>
                    <w:t>占标率</w:t>
                  </w:r>
                </w:p>
              </w:tc>
              <w:tc>
                <w:tcPr>
                  <w:tcW w:w="629" w:type="pct"/>
                  <w:tcBorders>
                    <w:tl2br w:val="nil"/>
                    <w:tr2bl w:val="nil"/>
                  </w:tcBorders>
                  <w:noWrap w:val="0"/>
                  <w:vAlign w:val="center"/>
                </w:tcPr>
                <w:p w14:paraId="5675304F">
                  <w:pPr>
                    <w:jc w:val="center"/>
                    <w:rPr>
                      <w:b/>
                      <w:bCs/>
                      <w:szCs w:val="21"/>
                    </w:rPr>
                  </w:pPr>
                  <w:r>
                    <w:rPr>
                      <w:b/>
                      <w:bCs/>
                      <w:szCs w:val="21"/>
                    </w:rPr>
                    <w:t>达标</w:t>
                  </w:r>
                </w:p>
                <w:p w14:paraId="5D571527">
                  <w:pPr>
                    <w:jc w:val="center"/>
                    <w:rPr>
                      <w:b/>
                      <w:bCs/>
                      <w:szCs w:val="21"/>
                    </w:rPr>
                  </w:pPr>
                  <w:r>
                    <w:rPr>
                      <w:b/>
                      <w:bCs/>
                      <w:szCs w:val="21"/>
                    </w:rPr>
                    <w:t>情况</w:t>
                  </w:r>
                </w:p>
              </w:tc>
            </w:tr>
            <w:tr w14:paraId="6C866D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3" w:type="pct"/>
                  <w:tcBorders>
                    <w:tl2br w:val="nil"/>
                    <w:tr2bl w:val="nil"/>
                  </w:tcBorders>
                  <w:noWrap w:val="0"/>
                  <w:vAlign w:val="center"/>
                </w:tcPr>
                <w:p w14:paraId="54C89D85">
                  <w:pPr>
                    <w:jc w:val="center"/>
                    <w:rPr>
                      <w:szCs w:val="21"/>
                    </w:rPr>
                  </w:pPr>
                  <w:r>
                    <w:rPr>
                      <w:szCs w:val="21"/>
                    </w:rPr>
                    <w:t>SO</w:t>
                  </w:r>
                  <w:r>
                    <w:rPr>
                      <w:szCs w:val="21"/>
                      <w:vertAlign w:val="subscript"/>
                    </w:rPr>
                    <w:t>2</w:t>
                  </w:r>
                </w:p>
              </w:tc>
              <w:tc>
                <w:tcPr>
                  <w:tcW w:w="1529" w:type="pct"/>
                  <w:tcBorders>
                    <w:tl2br w:val="nil"/>
                    <w:tr2bl w:val="nil"/>
                  </w:tcBorders>
                  <w:noWrap w:val="0"/>
                  <w:vAlign w:val="center"/>
                </w:tcPr>
                <w:p w14:paraId="7B49D6C2">
                  <w:pPr>
                    <w:jc w:val="center"/>
                    <w:rPr>
                      <w:szCs w:val="21"/>
                    </w:rPr>
                  </w:pPr>
                  <w:r>
                    <w:rPr>
                      <w:szCs w:val="21"/>
                    </w:rPr>
                    <w:t>年平均质量浓度</w:t>
                  </w:r>
                </w:p>
              </w:tc>
              <w:tc>
                <w:tcPr>
                  <w:tcW w:w="782" w:type="pct"/>
                  <w:tcBorders>
                    <w:tl2br w:val="nil"/>
                    <w:tr2bl w:val="nil"/>
                  </w:tcBorders>
                  <w:noWrap w:val="0"/>
                  <w:vAlign w:val="center"/>
                </w:tcPr>
                <w:p w14:paraId="69ED4FB0">
                  <w:pPr>
                    <w:jc w:val="center"/>
                    <w:rPr>
                      <w:szCs w:val="21"/>
                    </w:rPr>
                  </w:pPr>
                  <w:r>
                    <w:rPr>
                      <w:rFonts w:hint="eastAsia"/>
                      <w:szCs w:val="21"/>
                    </w:rPr>
                    <w:t>5</w:t>
                  </w:r>
                </w:p>
              </w:tc>
              <w:tc>
                <w:tcPr>
                  <w:tcW w:w="747" w:type="pct"/>
                  <w:tcBorders>
                    <w:tl2br w:val="nil"/>
                    <w:tr2bl w:val="nil"/>
                  </w:tcBorders>
                  <w:noWrap w:val="0"/>
                  <w:vAlign w:val="center"/>
                </w:tcPr>
                <w:p w14:paraId="4395A6DB">
                  <w:pPr>
                    <w:jc w:val="center"/>
                    <w:rPr>
                      <w:szCs w:val="21"/>
                    </w:rPr>
                  </w:pPr>
                  <w:r>
                    <w:rPr>
                      <w:szCs w:val="21"/>
                    </w:rPr>
                    <w:t>60</w:t>
                  </w:r>
                </w:p>
              </w:tc>
              <w:tc>
                <w:tcPr>
                  <w:tcW w:w="718" w:type="pct"/>
                  <w:tcBorders>
                    <w:tl2br w:val="nil"/>
                    <w:tr2bl w:val="nil"/>
                  </w:tcBorders>
                  <w:noWrap w:val="0"/>
                  <w:vAlign w:val="center"/>
                </w:tcPr>
                <w:p w14:paraId="5D489D75">
                  <w:pPr>
                    <w:widowControl/>
                    <w:jc w:val="center"/>
                    <w:textAlignment w:val="center"/>
                    <w:rPr>
                      <w:szCs w:val="21"/>
                    </w:rPr>
                  </w:pPr>
                  <w:r>
                    <w:rPr>
                      <w:rFonts w:hint="eastAsia"/>
                      <w:szCs w:val="21"/>
                    </w:rPr>
                    <w:t>8.33</w:t>
                  </w:r>
                  <w:r>
                    <w:rPr>
                      <w:szCs w:val="21"/>
                    </w:rPr>
                    <w:t>%</w:t>
                  </w:r>
                </w:p>
              </w:tc>
              <w:tc>
                <w:tcPr>
                  <w:tcW w:w="629" w:type="pct"/>
                  <w:tcBorders>
                    <w:tl2br w:val="nil"/>
                    <w:tr2bl w:val="nil"/>
                  </w:tcBorders>
                  <w:noWrap w:val="0"/>
                  <w:vAlign w:val="center"/>
                </w:tcPr>
                <w:p w14:paraId="16E6F751">
                  <w:pPr>
                    <w:jc w:val="center"/>
                    <w:rPr>
                      <w:szCs w:val="21"/>
                    </w:rPr>
                  </w:pPr>
                  <w:r>
                    <w:rPr>
                      <w:szCs w:val="21"/>
                    </w:rPr>
                    <w:t>达标</w:t>
                  </w:r>
                </w:p>
              </w:tc>
            </w:tr>
            <w:tr w14:paraId="39D08B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3" w:type="pct"/>
                  <w:tcBorders>
                    <w:tl2br w:val="nil"/>
                    <w:tr2bl w:val="nil"/>
                  </w:tcBorders>
                  <w:noWrap w:val="0"/>
                  <w:vAlign w:val="center"/>
                </w:tcPr>
                <w:p w14:paraId="38671330">
                  <w:pPr>
                    <w:jc w:val="center"/>
                    <w:rPr>
                      <w:szCs w:val="21"/>
                    </w:rPr>
                  </w:pPr>
                  <w:r>
                    <w:rPr>
                      <w:szCs w:val="21"/>
                    </w:rPr>
                    <w:t>NO</w:t>
                  </w:r>
                  <w:r>
                    <w:rPr>
                      <w:szCs w:val="21"/>
                      <w:vertAlign w:val="subscript"/>
                    </w:rPr>
                    <w:t>2</w:t>
                  </w:r>
                </w:p>
              </w:tc>
              <w:tc>
                <w:tcPr>
                  <w:tcW w:w="1529" w:type="pct"/>
                  <w:tcBorders>
                    <w:tl2br w:val="nil"/>
                    <w:tr2bl w:val="nil"/>
                  </w:tcBorders>
                  <w:noWrap w:val="0"/>
                  <w:vAlign w:val="center"/>
                </w:tcPr>
                <w:p w14:paraId="5379B878">
                  <w:pPr>
                    <w:jc w:val="center"/>
                    <w:rPr>
                      <w:szCs w:val="21"/>
                    </w:rPr>
                  </w:pPr>
                  <w:r>
                    <w:rPr>
                      <w:szCs w:val="21"/>
                    </w:rPr>
                    <w:t>年平均质量浓度</w:t>
                  </w:r>
                </w:p>
              </w:tc>
              <w:tc>
                <w:tcPr>
                  <w:tcW w:w="782" w:type="pct"/>
                  <w:tcBorders>
                    <w:tl2br w:val="nil"/>
                    <w:tr2bl w:val="nil"/>
                  </w:tcBorders>
                  <w:noWrap w:val="0"/>
                  <w:vAlign w:val="center"/>
                </w:tcPr>
                <w:p w14:paraId="5E2C2179">
                  <w:pPr>
                    <w:jc w:val="center"/>
                    <w:rPr>
                      <w:szCs w:val="21"/>
                    </w:rPr>
                  </w:pPr>
                  <w:r>
                    <w:rPr>
                      <w:rFonts w:hint="eastAsia"/>
                      <w:szCs w:val="21"/>
                    </w:rPr>
                    <w:t>31</w:t>
                  </w:r>
                </w:p>
              </w:tc>
              <w:tc>
                <w:tcPr>
                  <w:tcW w:w="747" w:type="pct"/>
                  <w:tcBorders>
                    <w:tl2br w:val="nil"/>
                    <w:tr2bl w:val="nil"/>
                  </w:tcBorders>
                  <w:noWrap w:val="0"/>
                  <w:vAlign w:val="center"/>
                </w:tcPr>
                <w:p w14:paraId="0993A64A">
                  <w:pPr>
                    <w:jc w:val="center"/>
                    <w:rPr>
                      <w:szCs w:val="21"/>
                    </w:rPr>
                  </w:pPr>
                  <w:r>
                    <w:rPr>
                      <w:szCs w:val="21"/>
                    </w:rPr>
                    <w:t>40</w:t>
                  </w:r>
                </w:p>
              </w:tc>
              <w:tc>
                <w:tcPr>
                  <w:tcW w:w="718" w:type="pct"/>
                  <w:tcBorders>
                    <w:tl2br w:val="nil"/>
                    <w:tr2bl w:val="nil"/>
                  </w:tcBorders>
                  <w:noWrap w:val="0"/>
                  <w:vAlign w:val="center"/>
                </w:tcPr>
                <w:p w14:paraId="41B53B29">
                  <w:pPr>
                    <w:widowControl/>
                    <w:jc w:val="center"/>
                    <w:textAlignment w:val="center"/>
                    <w:rPr>
                      <w:szCs w:val="21"/>
                    </w:rPr>
                  </w:pPr>
                  <w:r>
                    <w:rPr>
                      <w:rFonts w:hint="eastAsia"/>
                      <w:szCs w:val="21"/>
                    </w:rPr>
                    <w:t>77.5</w:t>
                  </w:r>
                  <w:r>
                    <w:rPr>
                      <w:szCs w:val="21"/>
                    </w:rPr>
                    <w:t>%</w:t>
                  </w:r>
                </w:p>
              </w:tc>
              <w:tc>
                <w:tcPr>
                  <w:tcW w:w="629" w:type="pct"/>
                  <w:tcBorders>
                    <w:tl2br w:val="nil"/>
                    <w:tr2bl w:val="nil"/>
                  </w:tcBorders>
                  <w:noWrap w:val="0"/>
                  <w:vAlign w:val="center"/>
                </w:tcPr>
                <w:p w14:paraId="4F0B42DC">
                  <w:pPr>
                    <w:jc w:val="center"/>
                    <w:rPr>
                      <w:szCs w:val="21"/>
                    </w:rPr>
                  </w:pPr>
                  <w:r>
                    <w:rPr>
                      <w:szCs w:val="21"/>
                    </w:rPr>
                    <w:t>达标</w:t>
                  </w:r>
                </w:p>
              </w:tc>
            </w:tr>
            <w:tr w14:paraId="595753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3" w:type="pct"/>
                  <w:tcBorders>
                    <w:tl2br w:val="nil"/>
                    <w:tr2bl w:val="nil"/>
                  </w:tcBorders>
                  <w:noWrap w:val="0"/>
                  <w:vAlign w:val="center"/>
                </w:tcPr>
                <w:p w14:paraId="02F85271">
                  <w:pPr>
                    <w:jc w:val="center"/>
                    <w:rPr>
                      <w:szCs w:val="21"/>
                    </w:rPr>
                  </w:pPr>
                  <w:r>
                    <w:rPr>
                      <w:szCs w:val="21"/>
                    </w:rPr>
                    <w:t>CO</w:t>
                  </w:r>
                </w:p>
              </w:tc>
              <w:tc>
                <w:tcPr>
                  <w:tcW w:w="1529" w:type="pct"/>
                  <w:tcBorders>
                    <w:tl2br w:val="nil"/>
                    <w:tr2bl w:val="nil"/>
                  </w:tcBorders>
                  <w:noWrap w:val="0"/>
                  <w:vAlign w:val="center"/>
                </w:tcPr>
                <w:p w14:paraId="281BEB93">
                  <w:pPr>
                    <w:jc w:val="center"/>
                    <w:rPr>
                      <w:szCs w:val="21"/>
                    </w:rPr>
                  </w:pPr>
                  <w:r>
                    <w:rPr>
                      <w:szCs w:val="21"/>
                    </w:rPr>
                    <w:t>24小时平均第95百分位浓度</w:t>
                  </w:r>
                </w:p>
              </w:tc>
              <w:tc>
                <w:tcPr>
                  <w:tcW w:w="782" w:type="pct"/>
                  <w:tcBorders>
                    <w:tl2br w:val="nil"/>
                    <w:tr2bl w:val="nil"/>
                  </w:tcBorders>
                  <w:noWrap w:val="0"/>
                  <w:vAlign w:val="center"/>
                </w:tcPr>
                <w:p w14:paraId="032F144F">
                  <w:pPr>
                    <w:jc w:val="center"/>
                    <w:rPr>
                      <w:szCs w:val="21"/>
                    </w:rPr>
                  </w:pPr>
                  <w:r>
                    <w:rPr>
                      <w:rFonts w:hint="eastAsia"/>
                      <w:szCs w:val="21"/>
                    </w:rPr>
                    <w:t>1100</w:t>
                  </w:r>
                </w:p>
              </w:tc>
              <w:tc>
                <w:tcPr>
                  <w:tcW w:w="747" w:type="pct"/>
                  <w:tcBorders>
                    <w:tl2br w:val="nil"/>
                    <w:tr2bl w:val="nil"/>
                  </w:tcBorders>
                  <w:noWrap w:val="0"/>
                  <w:vAlign w:val="center"/>
                </w:tcPr>
                <w:p w14:paraId="0C3D4AF5">
                  <w:pPr>
                    <w:jc w:val="center"/>
                    <w:rPr>
                      <w:szCs w:val="21"/>
                    </w:rPr>
                  </w:pPr>
                  <w:r>
                    <w:rPr>
                      <w:szCs w:val="21"/>
                    </w:rPr>
                    <w:t>4000</w:t>
                  </w:r>
                </w:p>
              </w:tc>
              <w:tc>
                <w:tcPr>
                  <w:tcW w:w="718" w:type="pct"/>
                  <w:tcBorders>
                    <w:tl2br w:val="nil"/>
                    <w:tr2bl w:val="nil"/>
                  </w:tcBorders>
                  <w:noWrap w:val="0"/>
                  <w:vAlign w:val="center"/>
                </w:tcPr>
                <w:p w14:paraId="1F86DB73">
                  <w:pPr>
                    <w:widowControl/>
                    <w:jc w:val="center"/>
                    <w:textAlignment w:val="center"/>
                    <w:rPr>
                      <w:szCs w:val="21"/>
                    </w:rPr>
                  </w:pPr>
                  <w:r>
                    <w:rPr>
                      <w:rFonts w:hint="eastAsia"/>
                      <w:szCs w:val="21"/>
                    </w:rPr>
                    <w:t>27</w:t>
                  </w:r>
                  <w:r>
                    <w:rPr>
                      <w:szCs w:val="21"/>
                    </w:rPr>
                    <w:t>.5%</w:t>
                  </w:r>
                </w:p>
              </w:tc>
              <w:tc>
                <w:tcPr>
                  <w:tcW w:w="629" w:type="pct"/>
                  <w:tcBorders>
                    <w:tl2br w:val="nil"/>
                    <w:tr2bl w:val="nil"/>
                  </w:tcBorders>
                  <w:noWrap w:val="0"/>
                  <w:vAlign w:val="center"/>
                </w:tcPr>
                <w:p w14:paraId="5B864475">
                  <w:pPr>
                    <w:jc w:val="center"/>
                    <w:rPr>
                      <w:szCs w:val="21"/>
                    </w:rPr>
                  </w:pPr>
                  <w:r>
                    <w:rPr>
                      <w:szCs w:val="21"/>
                    </w:rPr>
                    <w:t>达标</w:t>
                  </w:r>
                </w:p>
              </w:tc>
            </w:tr>
            <w:tr w14:paraId="6F9858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3" w:type="pct"/>
                  <w:tcBorders>
                    <w:tl2br w:val="nil"/>
                    <w:tr2bl w:val="nil"/>
                  </w:tcBorders>
                  <w:noWrap w:val="0"/>
                  <w:vAlign w:val="center"/>
                </w:tcPr>
                <w:p w14:paraId="4B366DFF">
                  <w:pPr>
                    <w:jc w:val="center"/>
                    <w:rPr>
                      <w:szCs w:val="21"/>
                    </w:rPr>
                  </w:pPr>
                  <w:r>
                    <w:rPr>
                      <w:szCs w:val="21"/>
                    </w:rPr>
                    <w:t>O</w:t>
                  </w:r>
                  <w:r>
                    <w:rPr>
                      <w:szCs w:val="21"/>
                      <w:vertAlign w:val="subscript"/>
                    </w:rPr>
                    <w:t>3</w:t>
                  </w:r>
                </w:p>
              </w:tc>
              <w:tc>
                <w:tcPr>
                  <w:tcW w:w="1529" w:type="pct"/>
                  <w:tcBorders>
                    <w:tl2br w:val="nil"/>
                    <w:tr2bl w:val="nil"/>
                  </w:tcBorders>
                  <w:noWrap w:val="0"/>
                  <w:vAlign w:val="center"/>
                </w:tcPr>
                <w:p w14:paraId="13718893">
                  <w:pPr>
                    <w:jc w:val="center"/>
                    <w:rPr>
                      <w:szCs w:val="21"/>
                    </w:rPr>
                  </w:pPr>
                  <w:r>
                    <w:rPr>
                      <w:szCs w:val="21"/>
                    </w:rPr>
                    <w:t>日最大8小时平均第90百分位浓度</w:t>
                  </w:r>
                </w:p>
              </w:tc>
              <w:tc>
                <w:tcPr>
                  <w:tcW w:w="782" w:type="pct"/>
                  <w:tcBorders>
                    <w:tl2br w:val="nil"/>
                    <w:tr2bl w:val="nil"/>
                  </w:tcBorders>
                  <w:noWrap w:val="0"/>
                  <w:vAlign w:val="center"/>
                </w:tcPr>
                <w:p w14:paraId="045C392D">
                  <w:pPr>
                    <w:jc w:val="center"/>
                    <w:rPr>
                      <w:szCs w:val="21"/>
                    </w:rPr>
                  </w:pPr>
                  <w:r>
                    <w:rPr>
                      <w:rFonts w:hint="eastAsia"/>
                      <w:szCs w:val="21"/>
                    </w:rPr>
                    <w:t>168</w:t>
                  </w:r>
                </w:p>
              </w:tc>
              <w:tc>
                <w:tcPr>
                  <w:tcW w:w="747" w:type="pct"/>
                  <w:tcBorders>
                    <w:tl2br w:val="nil"/>
                    <w:tr2bl w:val="nil"/>
                  </w:tcBorders>
                  <w:noWrap w:val="0"/>
                  <w:vAlign w:val="center"/>
                </w:tcPr>
                <w:p w14:paraId="34057A9C">
                  <w:pPr>
                    <w:jc w:val="center"/>
                    <w:rPr>
                      <w:szCs w:val="21"/>
                    </w:rPr>
                  </w:pPr>
                  <w:r>
                    <w:rPr>
                      <w:szCs w:val="21"/>
                    </w:rPr>
                    <w:t>160</w:t>
                  </w:r>
                </w:p>
              </w:tc>
              <w:tc>
                <w:tcPr>
                  <w:tcW w:w="718" w:type="pct"/>
                  <w:tcBorders>
                    <w:tl2br w:val="nil"/>
                    <w:tr2bl w:val="nil"/>
                  </w:tcBorders>
                  <w:noWrap w:val="0"/>
                  <w:vAlign w:val="center"/>
                </w:tcPr>
                <w:p w14:paraId="5FF04EB6">
                  <w:pPr>
                    <w:widowControl/>
                    <w:jc w:val="center"/>
                    <w:textAlignment w:val="center"/>
                    <w:rPr>
                      <w:szCs w:val="21"/>
                    </w:rPr>
                  </w:pPr>
                  <w:r>
                    <w:rPr>
                      <w:szCs w:val="21"/>
                    </w:rPr>
                    <w:t>10</w:t>
                  </w:r>
                  <w:r>
                    <w:rPr>
                      <w:rFonts w:hint="eastAsia"/>
                      <w:szCs w:val="21"/>
                    </w:rPr>
                    <w:t>5</w:t>
                  </w:r>
                  <w:r>
                    <w:rPr>
                      <w:szCs w:val="21"/>
                    </w:rPr>
                    <w:t>%</w:t>
                  </w:r>
                </w:p>
              </w:tc>
              <w:tc>
                <w:tcPr>
                  <w:tcW w:w="629" w:type="pct"/>
                  <w:tcBorders>
                    <w:tl2br w:val="nil"/>
                    <w:tr2bl w:val="nil"/>
                  </w:tcBorders>
                  <w:noWrap w:val="0"/>
                  <w:vAlign w:val="center"/>
                </w:tcPr>
                <w:p w14:paraId="331F9803">
                  <w:pPr>
                    <w:jc w:val="center"/>
                    <w:rPr>
                      <w:szCs w:val="21"/>
                    </w:rPr>
                  </w:pPr>
                  <w:r>
                    <w:rPr>
                      <w:szCs w:val="21"/>
                    </w:rPr>
                    <w:t>不达标</w:t>
                  </w:r>
                </w:p>
              </w:tc>
            </w:tr>
            <w:tr w14:paraId="619F47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3" w:type="pct"/>
                  <w:tcBorders>
                    <w:tl2br w:val="nil"/>
                    <w:tr2bl w:val="nil"/>
                  </w:tcBorders>
                  <w:noWrap w:val="0"/>
                  <w:vAlign w:val="center"/>
                </w:tcPr>
                <w:p w14:paraId="1676203C">
                  <w:pPr>
                    <w:jc w:val="center"/>
                    <w:rPr>
                      <w:szCs w:val="21"/>
                    </w:rPr>
                  </w:pPr>
                  <w:r>
                    <w:rPr>
                      <w:szCs w:val="21"/>
                    </w:rPr>
                    <w:t>PM</w:t>
                  </w:r>
                  <w:r>
                    <w:rPr>
                      <w:szCs w:val="21"/>
                      <w:vertAlign w:val="subscript"/>
                    </w:rPr>
                    <w:t>10</w:t>
                  </w:r>
                </w:p>
              </w:tc>
              <w:tc>
                <w:tcPr>
                  <w:tcW w:w="1529" w:type="pct"/>
                  <w:tcBorders>
                    <w:tl2br w:val="nil"/>
                    <w:tr2bl w:val="nil"/>
                  </w:tcBorders>
                  <w:noWrap w:val="0"/>
                  <w:vAlign w:val="center"/>
                </w:tcPr>
                <w:p w14:paraId="7059C34A">
                  <w:pPr>
                    <w:jc w:val="center"/>
                    <w:rPr>
                      <w:szCs w:val="21"/>
                    </w:rPr>
                  </w:pPr>
                  <w:r>
                    <w:rPr>
                      <w:szCs w:val="21"/>
                    </w:rPr>
                    <w:t>年平均质量浓度</w:t>
                  </w:r>
                </w:p>
              </w:tc>
              <w:tc>
                <w:tcPr>
                  <w:tcW w:w="782" w:type="pct"/>
                  <w:tcBorders>
                    <w:tl2br w:val="nil"/>
                    <w:tr2bl w:val="nil"/>
                  </w:tcBorders>
                  <w:noWrap w:val="0"/>
                  <w:vAlign w:val="center"/>
                </w:tcPr>
                <w:p w14:paraId="0EC58B09">
                  <w:pPr>
                    <w:jc w:val="center"/>
                    <w:rPr>
                      <w:szCs w:val="21"/>
                    </w:rPr>
                  </w:pPr>
                  <w:r>
                    <w:rPr>
                      <w:rFonts w:hint="eastAsia"/>
                      <w:szCs w:val="21"/>
                    </w:rPr>
                    <w:t>74</w:t>
                  </w:r>
                </w:p>
              </w:tc>
              <w:tc>
                <w:tcPr>
                  <w:tcW w:w="747" w:type="pct"/>
                  <w:tcBorders>
                    <w:tl2br w:val="nil"/>
                    <w:tr2bl w:val="nil"/>
                  </w:tcBorders>
                  <w:noWrap w:val="0"/>
                  <w:vAlign w:val="center"/>
                </w:tcPr>
                <w:p w14:paraId="405FDC1D">
                  <w:pPr>
                    <w:jc w:val="center"/>
                    <w:rPr>
                      <w:szCs w:val="21"/>
                    </w:rPr>
                  </w:pPr>
                  <w:r>
                    <w:rPr>
                      <w:szCs w:val="21"/>
                    </w:rPr>
                    <w:t>70</w:t>
                  </w:r>
                </w:p>
              </w:tc>
              <w:tc>
                <w:tcPr>
                  <w:tcW w:w="718" w:type="pct"/>
                  <w:tcBorders>
                    <w:tl2br w:val="nil"/>
                    <w:tr2bl w:val="nil"/>
                  </w:tcBorders>
                  <w:noWrap w:val="0"/>
                  <w:vAlign w:val="center"/>
                </w:tcPr>
                <w:p w14:paraId="206625D6">
                  <w:pPr>
                    <w:widowControl/>
                    <w:jc w:val="center"/>
                    <w:textAlignment w:val="center"/>
                    <w:rPr>
                      <w:szCs w:val="21"/>
                    </w:rPr>
                  </w:pPr>
                  <w:r>
                    <w:rPr>
                      <w:szCs w:val="21"/>
                    </w:rPr>
                    <w:t>1</w:t>
                  </w:r>
                  <w:r>
                    <w:rPr>
                      <w:rFonts w:hint="eastAsia"/>
                      <w:szCs w:val="21"/>
                    </w:rPr>
                    <w:t>05.71</w:t>
                  </w:r>
                  <w:r>
                    <w:rPr>
                      <w:szCs w:val="21"/>
                    </w:rPr>
                    <w:t>%</w:t>
                  </w:r>
                </w:p>
              </w:tc>
              <w:tc>
                <w:tcPr>
                  <w:tcW w:w="629" w:type="pct"/>
                  <w:tcBorders>
                    <w:tl2br w:val="nil"/>
                    <w:tr2bl w:val="nil"/>
                  </w:tcBorders>
                  <w:noWrap w:val="0"/>
                  <w:vAlign w:val="center"/>
                </w:tcPr>
                <w:p w14:paraId="3E9B4C95">
                  <w:pPr>
                    <w:jc w:val="center"/>
                    <w:rPr>
                      <w:szCs w:val="21"/>
                    </w:rPr>
                  </w:pPr>
                  <w:r>
                    <w:rPr>
                      <w:szCs w:val="21"/>
                    </w:rPr>
                    <w:t>不达标</w:t>
                  </w:r>
                </w:p>
              </w:tc>
            </w:tr>
            <w:tr w14:paraId="58F5B6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3" w:type="pct"/>
                  <w:tcBorders>
                    <w:tl2br w:val="nil"/>
                    <w:tr2bl w:val="nil"/>
                  </w:tcBorders>
                  <w:noWrap w:val="0"/>
                  <w:vAlign w:val="center"/>
                </w:tcPr>
                <w:p w14:paraId="0D0FDB3D">
                  <w:pPr>
                    <w:jc w:val="center"/>
                    <w:rPr>
                      <w:szCs w:val="21"/>
                    </w:rPr>
                  </w:pPr>
                  <w:r>
                    <w:rPr>
                      <w:szCs w:val="21"/>
                    </w:rPr>
                    <w:t>PM</w:t>
                  </w:r>
                  <w:r>
                    <w:rPr>
                      <w:szCs w:val="21"/>
                      <w:vertAlign w:val="subscript"/>
                    </w:rPr>
                    <w:t>2.5</w:t>
                  </w:r>
                </w:p>
              </w:tc>
              <w:tc>
                <w:tcPr>
                  <w:tcW w:w="1529" w:type="pct"/>
                  <w:tcBorders>
                    <w:tl2br w:val="nil"/>
                    <w:tr2bl w:val="nil"/>
                  </w:tcBorders>
                  <w:noWrap w:val="0"/>
                  <w:vAlign w:val="center"/>
                </w:tcPr>
                <w:p w14:paraId="2D9180D0">
                  <w:pPr>
                    <w:jc w:val="center"/>
                    <w:rPr>
                      <w:szCs w:val="21"/>
                    </w:rPr>
                  </w:pPr>
                  <w:r>
                    <w:rPr>
                      <w:szCs w:val="21"/>
                    </w:rPr>
                    <w:t>年平均质量浓度</w:t>
                  </w:r>
                </w:p>
              </w:tc>
              <w:tc>
                <w:tcPr>
                  <w:tcW w:w="782" w:type="pct"/>
                  <w:tcBorders>
                    <w:tl2br w:val="nil"/>
                    <w:tr2bl w:val="nil"/>
                  </w:tcBorders>
                  <w:noWrap w:val="0"/>
                  <w:vAlign w:val="center"/>
                </w:tcPr>
                <w:p w14:paraId="70EF7489">
                  <w:pPr>
                    <w:jc w:val="center"/>
                    <w:rPr>
                      <w:szCs w:val="21"/>
                    </w:rPr>
                  </w:pPr>
                  <w:r>
                    <w:rPr>
                      <w:rFonts w:hint="eastAsia"/>
                      <w:szCs w:val="21"/>
                    </w:rPr>
                    <w:t>43</w:t>
                  </w:r>
                </w:p>
              </w:tc>
              <w:tc>
                <w:tcPr>
                  <w:tcW w:w="747" w:type="pct"/>
                  <w:tcBorders>
                    <w:tl2br w:val="nil"/>
                    <w:tr2bl w:val="nil"/>
                  </w:tcBorders>
                  <w:noWrap w:val="0"/>
                  <w:vAlign w:val="center"/>
                </w:tcPr>
                <w:p w14:paraId="1C45711D">
                  <w:pPr>
                    <w:jc w:val="center"/>
                    <w:rPr>
                      <w:szCs w:val="21"/>
                    </w:rPr>
                  </w:pPr>
                  <w:r>
                    <w:rPr>
                      <w:szCs w:val="21"/>
                    </w:rPr>
                    <w:t>35</w:t>
                  </w:r>
                </w:p>
              </w:tc>
              <w:tc>
                <w:tcPr>
                  <w:tcW w:w="718" w:type="pct"/>
                  <w:tcBorders>
                    <w:tl2br w:val="nil"/>
                    <w:tr2bl w:val="nil"/>
                  </w:tcBorders>
                  <w:noWrap w:val="0"/>
                  <w:vAlign w:val="center"/>
                </w:tcPr>
                <w:p w14:paraId="1FBD131A">
                  <w:pPr>
                    <w:widowControl/>
                    <w:jc w:val="center"/>
                    <w:textAlignment w:val="center"/>
                    <w:rPr>
                      <w:szCs w:val="21"/>
                    </w:rPr>
                  </w:pPr>
                  <w:r>
                    <w:rPr>
                      <w:rFonts w:hint="eastAsia"/>
                      <w:szCs w:val="21"/>
                    </w:rPr>
                    <w:t>122.86</w:t>
                  </w:r>
                  <w:r>
                    <w:rPr>
                      <w:szCs w:val="21"/>
                    </w:rPr>
                    <w:t>%</w:t>
                  </w:r>
                </w:p>
              </w:tc>
              <w:tc>
                <w:tcPr>
                  <w:tcW w:w="629" w:type="pct"/>
                  <w:tcBorders>
                    <w:tl2br w:val="nil"/>
                    <w:tr2bl w:val="nil"/>
                  </w:tcBorders>
                  <w:noWrap w:val="0"/>
                  <w:vAlign w:val="center"/>
                </w:tcPr>
                <w:p w14:paraId="0C33B3C4">
                  <w:pPr>
                    <w:jc w:val="center"/>
                    <w:rPr>
                      <w:szCs w:val="21"/>
                    </w:rPr>
                  </w:pPr>
                  <w:r>
                    <w:rPr>
                      <w:szCs w:val="21"/>
                    </w:rPr>
                    <w:t>不达标</w:t>
                  </w:r>
                </w:p>
              </w:tc>
            </w:tr>
          </w:tbl>
          <w:p w14:paraId="04721BC0">
            <w:pPr>
              <w:numPr>
                <w:ilvl w:val="0"/>
                <w:numId w:val="0"/>
              </w:numPr>
              <w:spacing w:line="360" w:lineRule="auto"/>
              <w:ind w:leftChars="0" w:firstLine="480" w:firstLineChars="200"/>
              <w:rPr>
                <w:rFonts w:hint="default" w:ascii="Times New Roman" w:hAnsi="Times New Roman" w:cs="Times New Roman"/>
                <w:sz w:val="24"/>
                <w:szCs w:val="24"/>
                <w:lang w:val="en-US" w:eastAsia="zh-CN"/>
              </w:rPr>
            </w:pPr>
            <w:r>
              <w:rPr>
                <w:sz w:val="24"/>
              </w:rPr>
              <w:t>由</w:t>
            </w:r>
            <w:r>
              <w:rPr>
                <w:rFonts w:hint="eastAsia"/>
                <w:sz w:val="24"/>
              </w:rPr>
              <w:t>表中数据可知</w:t>
            </w:r>
            <w:r>
              <w:rPr>
                <w:sz w:val="24"/>
              </w:rPr>
              <w:t>，项目所在区域SO</w:t>
            </w:r>
            <w:r>
              <w:rPr>
                <w:sz w:val="24"/>
                <w:vertAlign w:val="subscript"/>
              </w:rPr>
              <w:t>2</w:t>
            </w:r>
            <w:r>
              <w:rPr>
                <w:sz w:val="24"/>
              </w:rPr>
              <w:t>年平均质量浓度</w:t>
            </w:r>
            <w:r>
              <w:rPr>
                <w:rFonts w:hint="eastAsia"/>
                <w:sz w:val="24"/>
              </w:rPr>
              <w:t>、N</w:t>
            </w:r>
            <w:r>
              <w:rPr>
                <w:sz w:val="24"/>
              </w:rPr>
              <w:t>O</w:t>
            </w:r>
            <w:r>
              <w:rPr>
                <w:sz w:val="24"/>
                <w:vertAlign w:val="subscript"/>
              </w:rPr>
              <w:t>2</w:t>
            </w:r>
            <w:r>
              <w:rPr>
                <w:sz w:val="24"/>
              </w:rPr>
              <w:t>年平均质量浓度</w:t>
            </w:r>
            <w:r>
              <w:rPr>
                <w:rFonts w:hint="eastAsia"/>
                <w:sz w:val="24"/>
              </w:rPr>
              <w:t>以及</w:t>
            </w:r>
            <w:r>
              <w:rPr>
                <w:sz w:val="24"/>
              </w:rPr>
              <w:t>CO</w:t>
            </w:r>
            <w:r>
              <w:rPr>
                <w:rFonts w:hint="eastAsia"/>
                <w:sz w:val="24"/>
              </w:rPr>
              <w:t>24小时平均第95百分位浓度均</w:t>
            </w:r>
            <w:r>
              <w:rPr>
                <w:sz w:val="24"/>
              </w:rPr>
              <w:t>满足《环境空气质量标准》（GB3095-2012）中二级标准，O</w:t>
            </w:r>
            <w:r>
              <w:rPr>
                <w:rFonts w:hint="eastAsia"/>
                <w:sz w:val="24"/>
                <w:vertAlign w:val="subscript"/>
              </w:rPr>
              <w:t>3</w:t>
            </w:r>
            <w:r>
              <w:rPr>
                <w:rFonts w:hint="eastAsia"/>
                <w:sz w:val="24"/>
              </w:rPr>
              <w:t>日最大8小时平均第90百分位浓度、PM</w:t>
            </w:r>
            <w:r>
              <w:rPr>
                <w:rFonts w:hint="eastAsia"/>
                <w:sz w:val="24"/>
                <w:vertAlign w:val="subscript"/>
              </w:rPr>
              <w:t>2.5</w:t>
            </w:r>
            <w:r>
              <w:rPr>
                <w:rFonts w:hint="eastAsia"/>
                <w:sz w:val="24"/>
              </w:rPr>
              <w:t>和PM</w:t>
            </w:r>
            <w:r>
              <w:rPr>
                <w:rFonts w:hint="eastAsia"/>
                <w:sz w:val="24"/>
                <w:vertAlign w:val="subscript"/>
              </w:rPr>
              <w:t>10</w:t>
            </w:r>
            <w:r>
              <w:rPr>
                <w:sz w:val="24"/>
              </w:rPr>
              <w:t>年平均质量浓度</w:t>
            </w:r>
            <w:r>
              <w:rPr>
                <w:rFonts w:hint="eastAsia"/>
                <w:sz w:val="24"/>
              </w:rPr>
              <w:t>均不</w:t>
            </w:r>
            <w:r>
              <w:rPr>
                <w:sz w:val="24"/>
              </w:rPr>
              <w:t>满足《环境空气质量标准》（GB3095-2012）中二级标准</w:t>
            </w:r>
            <w:r>
              <w:rPr>
                <w:rFonts w:hint="eastAsia"/>
                <w:sz w:val="24"/>
              </w:rPr>
              <w:t>，所以</w:t>
            </w:r>
            <w:r>
              <w:rPr>
                <w:sz w:val="24"/>
              </w:rPr>
              <w:t>本项目所在地属于环境空气</w:t>
            </w:r>
            <w:r>
              <w:rPr>
                <w:rFonts w:hint="eastAsia"/>
                <w:sz w:val="24"/>
              </w:rPr>
              <w:t>不</w:t>
            </w:r>
            <w:r>
              <w:rPr>
                <w:sz w:val="24"/>
              </w:rPr>
              <w:t>达标区</w:t>
            </w:r>
            <w:r>
              <w:rPr>
                <w:rFonts w:hAnsi="宋体"/>
                <w:sz w:val="24"/>
              </w:rPr>
              <w:t>。</w:t>
            </w:r>
          </w:p>
          <w:p w14:paraId="20B0FD25">
            <w:pPr>
              <w:pStyle w:val="5"/>
              <w:numPr>
                <w:ilvl w:val="0"/>
                <w:numId w:val="6"/>
              </w:numPr>
              <w:spacing w:line="360" w:lineRule="auto"/>
              <w:rPr>
                <w:rFonts w:hint="default" w:ascii="Times New Roman" w:hAnsi="Times New Roman" w:cs="Times New Roman"/>
                <w:b/>
                <w:bCs/>
                <w:sz w:val="24"/>
                <w:szCs w:val="24"/>
                <w:lang w:val="en-US" w:eastAsia="zh-CN"/>
              </w:rPr>
            </w:pPr>
            <w:bookmarkStart w:id="8" w:name="_Toc18978"/>
            <w:r>
              <w:rPr>
                <w:rFonts w:hint="default" w:ascii="Times New Roman" w:hAnsi="Times New Roman" w:cs="Times New Roman"/>
                <w:b/>
                <w:bCs/>
                <w:sz w:val="24"/>
                <w:szCs w:val="24"/>
                <w:lang w:val="en-US" w:eastAsia="zh-CN"/>
              </w:rPr>
              <w:t>声环境质量现状</w:t>
            </w:r>
            <w:bookmarkEnd w:id="8"/>
          </w:p>
          <w:p w14:paraId="07AA1416">
            <w:pPr>
              <w:spacing w:line="360" w:lineRule="auto"/>
              <w:ind w:firstLine="480" w:firstLineChars="200"/>
              <w:rPr>
                <w:rFonts w:hint="default" w:ascii="Times New Roman" w:hAnsi="Times New Roman" w:eastAsia="宋体" w:cs="Times New Roman"/>
                <w:color w:val="000000"/>
                <w:sz w:val="24"/>
                <w:szCs w:val="24"/>
                <w:lang w:val="en-US"/>
              </w:rPr>
            </w:pPr>
            <w:r>
              <w:rPr>
                <w:rFonts w:hint="default" w:ascii="Times New Roman" w:hAnsi="Times New Roman" w:cs="Times New Roman"/>
                <w:color w:val="auto"/>
                <w:sz w:val="24"/>
                <w:szCs w:val="24"/>
                <w:lang w:val="en-US" w:eastAsia="zh-CN"/>
              </w:rPr>
              <w:t>根据《建设项目环境影响报告表编制技术指南（污染影响类）（试行）》中</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厂界外周边50米范围内存在声环境保护目标的建设项目，应监测保护目标声环境质量现状并评价达标情况</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w:t>
            </w:r>
          </w:p>
          <w:p w14:paraId="338C08EC">
            <w:pPr>
              <w:spacing w:line="360" w:lineRule="auto"/>
              <w:ind w:firstLine="480" w:firstLineChars="200"/>
              <w:rPr>
                <w:rFonts w:hint="default" w:ascii="Times New Roman" w:hAnsi="Times New Roman" w:cs="Times New Roman"/>
                <w:b/>
                <w:bCs/>
                <w:lang w:val="en-US" w:eastAsia="zh-CN"/>
              </w:rPr>
            </w:pPr>
            <w:r>
              <w:rPr>
                <w:rFonts w:hint="default" w:ascii="Times New Roman" w:hAnsi="Times New Roman" w:eastAsia="宋体" w:cs="Times New Roman"/>
                <w:color w:val="000000"/>
                <w:sz w:val="24"/>
                <w:szCs w:val="24"/>
              </w:rPr>
              <w:t>本项目位于</w:t>
            </w:r>
            <w:r>
              <w:rPr>
                <w:rFonts w:hint="eastAsia" w:ascii="Times New Roman" w:hAnsi="Times New Roman" w:eastAsia="宋体" w:cs="Times New Roman"/>
                <w:color w:val="000000"/>
                <w:sz w:val="24"/>
                <w:szCs w:val="24"/>
                <w:lang w:val="en-US" w:eastAsia="zh-CN"/>
              </w:rPr>
              <w:t>陕西省西咸新区泾河新城永乐镇泾河智造创新产业园18#3层</w:t>
            </w:r>
            <w:r>
              <w:rPr>
                <w:rFonts w:hint="default" w:ascii="Times New Roman" w:hAnsi="Times New Roman" w:cs="Times New Roman"/>
                <w:color w:val="000000"/>
                <w:kern w:val="0"/>
                <w:sz w:val="24"/>
                <w:szCs w:val="22"/>
                <w:lang w:val="zh-CN" w:bidi="zh-CN"/>
              </w:rPr>
              <w:t>，</w:t>
            </w:r>
            <w:r>
              <w:rPr>
                <w:rFonts w:hint="default" w:ascii="Times New Roman" w:hAnsi="Times New Roman" w:cs="Times New Roman"/>
                <w:color w:val="000000"/>
                <w:kern w:val="0"/>
                <w:sz w:val="24"/>
                <w:szCs w:val="22"/>
                <w:lang w:val="en-US" w:bidi="zh-CN"/>
              </w:rPr>
              <w:t>根据现场踏勘，项目</w:t>
            </w:r>
            <w:r>
              <w:rPr>
                <w:rFonts w:hint="default" w:ascii="Times New Roman" w:hAnsi="Times New Roman" w:eastAsia="宋体" w:cs="Times New Roman"/>
                <w:color w:val="000000"/>
                <w:sz w:val="24"/>
                <w:szCs w:val="24"/>
              </w:rPr>
              <w:t>周围为</w:t>
            </w:r>
            <w:r>
              <w:rPr>
                <w:rFonts w:hint="default" w:ascii="Times New Roman" w:hAnsi="Times New Roman" w:eastAsia="宋体" w:cs="Times New Roman"/>
                <w:color w:val="000000"/>
                <w:sz w:val="24"/>
                <w:szCs w:val="24"/>
                <w:lang w:val="en-US" w:eastAsia="zh-CN"/>
              </w:rPr>
              <w:t>工业企业</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厂界外50m范围内无声环境保护目标</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因此</w:t>
            </w:r>
            <w:r>
              <w:rPr>
                <w:rFonts w:hint="eastAsia" w:ascii="Times New Roman" w:hAnsi="Times New Roman" w:eastAsia="宋体" w:cs="Times New Roman"/>
                <w:color w:val="000000"/>
                <w:sz w:val="24"/>
                <w:szCs w:val="24"/>
                <w:lang w:val="en-US" w:eastAsia="zh-CN"/>
              </w:rPr>
              <w:t>可不</w:t>
            </w:r>
            <w:r>
              <w:rPr>
                <w:rFonts w:hint="default" w:ascii="Times New Roman" w:hAnsi="Times New Roman" w:eastAsia="宋体" w:cs="Times New Roman"/>
                <w:color w:val="000000"/>
                <w:sz w:val="24"/>
                <w:szCs w:val="24"/>
                <w:lang w:val="en-US" w:eastAsia="zh-CN"/>
              </w:rPr>
              <w:t>进行声环境质量现状</w:t>
            </w:r>
            <w:r>
              <w:rPr>
                <w:rFonts w:hint="default" w:ascii="Times New Roman" w:hAnsi="Times New Roman" w:eastAsia="宋体" w:cs="Times New Roman"/>
                <w:color w:val="000000"/>
                <w:sz w:val="24"/>
                <w:szCs w:val="24"/>
              </w:rPr>
              <w:t>监测。</w:t>
            </w:r>
          </w:p>
          <w:p w14:paraId="71B4AF23">
            <w:pPr>
              <w:numPr>
                <w:ilvl w:val="0"/>
                <w:numId w:val="6"/>
              </w:numPr>
              <w:spacing w:line="360" w:lineRule="auto"/>
              <w:ind w:left="0" w:leftChars="0" w:firstLine="0" w:firstLineChars="0"/>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地表水环境质量现状</w:t>
            </w:r>
          </w:p>
          <w:p w14:paraId="0448BD3A">
            <w:pPr>
              <w:pStyle w:val="5"/>
              <w:spacing w:line="360" w:lineRule="auto"/>
              <w:ind w:firstLine="480" w:firstLineChars="200"/>
              <w:rPr>
                <w:rFonts w:hint="default" w:ascii="Times New Roman" w:hAnsi="Times New Roman" w:cs="Times New Roman"/>
                <w:b/>
                <w:bCs/>
                <w:lang w:val="en-US" w:eastAsia="zh-CN"/>
              </w:rPr>
            </w:pPr>
            <w:bookmarkStart w:id="9" w:name="_Toc8760"/>
            <w:r>
              <w:rPr>
                <w:rFonts w:hint="default" w:ascii="Times New Roman" w:hAnsi="Times New Roman" w:eastAsia="宋体" w:cs="Times New Roman"/>
                <w:color w:val="000000"/>
                <w:sz w:val="24"/>
                <w:szCs w:val="24"/>
              </w:rPr>
              <w:t>本项目位于</w:t>
            </w:r>
            <w:r>
              <w:rPr>
                <w:rFonts w:hint="eastAsia" w:ascii="Times New Roman" w:hAnsi="Times New Roman" w:eastAsia="宋体" w:cs="Times New Roman"/>
                <w:color w:val="000000"/>
                <w:sz w:val="24"/>
                <w:szCs w:val="24"/>
                <w:lang w:val="en-US" w:eastAsia="zh-CN"/>
              </w:rPr>
              <w:t>陕西省西咸新区泾河新城永乐镇泾河智造创新产业园18#3层</w:t>
            </w:r>
            <w:r>
              <w:rPr>
                <w:rFonts w:hint="default" w:ascii="Times New Roman" w:hAnsi="Times New Roman" w:cs="Times New Roman"/>
                <w:color w:val="000000"/>
                <w:kern w:val="0"/>
                <w:sz w:val="24"/>
                <w:szCs w:val="22"/>
                <w:lang w:val="zh-CN" w:bidi="zh-CN"/>
              </w:rPr>
              <w:t>，</w:t>
            </w:r>
            <w:r>
              <w:rPr>
                <w:rFonts w:hint="default" w:ascii="Times New Roman" w:hAnsi="Times New Roman" w:cs="Times New Roman"/>
                <w:color w:val="000000"/>
                <w:kern w:val="0"/>
                <w:sz w:val="24"/>
                <w:szCs w:val="22"/>
                <w:lang w:val="en-US" w:bidi="zh-CN"/>
              </w:rPr>
              <w:t>周围为工业企业，500m范围内无地表水体，污水依托园区化粪池处理后经市政污水管网排入泾河新城第二污水处理厂处理。根据</w:t>
            </w:r>
            <w:r>
              <w:rPr>
                <w:rFonts w:hint="default" w:ascii="Times New Roman" w:hAnsi="Times New Roman" w:cs="Times New Roman"/>
                <w:color w:val="auto"/>
                <w:sz w:val="24"/>
                <w:szCs w:val="24"/>
                <w:lang w:val="en-US" w:eastAsia="zh-CN"/>
              </w:rPr>
              <w:t>《建设项目环境影响报告表编制技术指南（污染影响类）（试行）》，可不开展地表水环境质量现状监测。</w:t>
            </w:r>
            <w:bookmarkEnd w:id="9"/>
          </w:p>
          <w:p w14:paraId="505D5438">
            <w:pPr>
              <w:pStyle w:val="5"/>
              <w:numPr>
                <w:ilvl w:val="0"/>
                <w:numId w:val="6"/>
              </w:numPr>
              <w:spacing w:line="360" w:lineRule="auto"/>
              <w:ind w:left="0" w:leftChars="0" w:firstLine="0" w:firstLineChars="0"/>
              <w:rPr>
                <w:rFonts w:hint="default" w:ascii="Times New Roman" w:hAnsi="Times New Roman" w:cs="Times New Roman"/>
                <w:b/>
                <w:bCs/>
                <w:sz w:val="24"/>
                <w:szCs w:val="24"/>
                <w:lang w:val="en-US" w:eastAsia="zh-CN"/>
              </w:rPr>
            </w:pPr>
            <w:bookmarkStart w:id="10" w:name="_Toc27847"/>
            <w:r>
              <w:rPr>
                <w:rFonts w:hint="default" w:ascii="Times New Roman" w:hAnsi="Times New Roman" w:cs="Times New Roman"/>
                <w:b/>
                <w:bCs/>
                <w:sz w:val="24"/>
                <w:szCs w:val="24"/>
                <w:lang w:val="en-US" w:eastAsia="zh-CN"/>
              </w:rPr>
              <w:t>生态环境质量现状</w:t>
            </w:r>
            <w:bookmarkEnd w:id="10"/>
          </w:p>
          <w:p w14:paraId="58AEC69D">
            <w:pPr>
              <w:spacing w:line="360" w:lineRule="auto"/>
              <w:ind w:firstLine="480" w:firstLineChars="200"/>
              <w:rPr>
                <w:rFonts w:hint="default" w:ascii="Times New Roman" w:hAnsi="Times New Roman" w:cs="Times New Roman"/>
                <w:b/>
                <w:bCs/>
                <w:lang w:val="en-US" w:eastAsia="zh-CN"/>
              </w:rPr>
            </w:pPr>
            <w:r>
              <w:rPr>
                <w:rFonts w:hint="default" w:ascii="Times New Roman" w:hAnsi="Times New Roman" w:eastAsia="宋体" w:cs="Times New Roman"/>
                <w:color w:val="000000"/>
                <w:sz w:val="24"/>
                <w:szCs w:val="24"/>
              </w:rPr>
              <w:t>本项目</w:t>
            </w:r>
            <w:r>
              <w:rPr>
                <w:rFonts w:hint="default" w:ascii="Times New Roman" w:hAnsi="Times New Roman" w:eastAsia="宋体" w:cs="Times New Roman"/>
                <w:color w:val="000000"/>
                <w:sz w:val="24"/>
                <w:szCs w:val="24"/>
                <w:lang w:eastAsia="zh-CN"/>
              </w:rPr>
              <w:t>位于</w:t>
            </w:r>
            <w:r>
              <w:rPr>
                <w:rFonts w:hint="eastAsia" w:ascii="Times New Roman" w:hAnsi="Times New Roman" w:eastAsia="宋体" w:cs="Times New Roman"/>
                <w:color w:val="000000"/>
                <w:sz w:val="24"/>
                <w:szCs w:val="24"/>
                <w:lang w:val="en-US" w:eastAsia="zh-CN"/>
              </w:rPr>
              <w:t>陕西省西咸新区泾河新城永乐镇泾河智造创新产业园18#3层</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val="en-US" w:eastAsia="zh-CN"/>
              </w:rPr>
              <w:t>根据现场踏勘，</w:t>
            </w:r>
            <w:r>
              <w:rPr>
                <w:rFonts w:hint="default" w:ascii="Times New Roman" w:hAnsi="Times New Roman" w:cs="Times New Roman"/>
                <w:color w:val="000000"/>
                <w:sz w:val="24"/>
                <w:szCs w:val="24"/>
                <w:lang w:val="en-US" w:eastAsia="zh-CN"/>
              </w:rPr>
              <w:t>现有</w:t>
            </w:r>
            <w:r>
              <w:rPr>
                <w:rFonts w:hint="default" w:ascii="Times New Roman" w:hAnsi="Times New Roman" w:eastAsia="宋体" w:cs="Times New Roman"/>
                <w:color w:val="000000"/>
                <w:sz w:val="24"/>
              </w:rPr>
              <w:t>厂房</w:t>
            </w:r>
            <w:r>
              <w:rPr>
                <w:rFonts w:hint="default" w:ascii="Times New Roman" w:hAnsi="Times New Roman" w:eastAsia="宋体" w:cs="Times New Roman"/>
                <w:color w:val="000000"/>
                <w:sz w:val="24"/>
                <w:lang w:val="en-US" w:eastAsia="zh-CN"/>
              </w:rPr>
              <w:t>已进行硬化</w:t>
            </w:r>
            <w:r>
              <w:rPr>
                <w:rFonts w:hint="default" w:ascii="Times New Roman" w:hAnsi="Times New Roman" w:eastAsia="宋体" w:cs="Times New Roman"/>
                <w:color w:val="000000"/>
                <w:sz w:val="24"/>
              </w:rPr>
              <w:t>，</w:t>
            </w:r>
            <w:r>
              <w:rPr>
                <w:rFonts w:hint="default" w:ascii="Times New Roman" w:hAnsi="Times New Roman" w:eastAsia="宋体" w:cs="Times New Roman"/>
                <w:color w:val="000000"/>
                <w:sz w:val="24"/>
                <w:lang w:val="en-US" w:eastAsia="zh-CN"/>
              </w:rPr>
              <w:t>不新增用地，</w:t>
            </w:r>
            <w:r>
              <w:rPr>
                <w:rFonts w:hint="default" w:ascii="Times New Roman" w:hAnsi="Times New Roman" w:eastAsia="宋体" w:cs="Times New Roman"/>
                <w:color w:val="000000"/>
                <w:sz w:val="24"/>
                <w:szCs w:val="24"/>
              </w:rPr>
              <w:t>用地范围内不涉及生态环境保护目标，</w:t>
            </w:r>
            <w:r>
              <w:rPr>
                <w:rFonts w:hint="default" w:ascii="Times New Roman" w:hAnsi="Times New Roman" w:eastAsia="宋体" w:cs="Times New Roman"/>
                <w:color w:val="000000"/>
                <w:sz w:val="24"/>
                <w:szCs w:val="24"/>
                <w:lang w:val="en-US" w:eastAsia="zh-CN"/>
              </w:rPr>
              <w:t>因此</w:t>
            </w:r>
            <w:r>
              <w:rPr>
                <w:rFonts w:hint="default" w:ascii="Times New Roman" w:hAnsi="Times New Roman" w:eastAsia="宋体" w:cs="Times New Roman"/>
                <w:color w:val="000000"/>
                <w:sz w:val="24"/>
                <w:szCs w:val="24"/>
              </w:rPr>
              <w:t>无需进行生态</w:t>
            </w:r>
            <w:r>
              <w:rPr>
                <w:rFonts w:hint="default" w:ascii="Times New Roman" w:hAnsi="Times New Roman" w:eastAsia="宋体" w:cs="Times New Roman"/>
                <w:color w:val="000000"/>
                <w:sz w:val="24"/>
                <w:szCs w:val="24"/>
                <w:lang w:val="en-US" w:eastAsia="zh-CN"/>
              </w:rPr>
              <w:t>环境</w:t>
            </w:r>
            <w:r>
              <w:rPr>
                <w:rFonts w:hint="default" w:ascii="Times New Roman" w:hAnsi="Times New Roman" w:eastAsia="宋体" w:cs="Times New Roman"/>
                <w:color w:val="000000"/>
                <w:sz w:val="24"/>
                <w:szCs w:val="24"/>
              </w:rPr>
              <w:t>现状调查。</w:t>
            </w:r>
          </w:p>
          <w:p w14:paraId="1CC3E795">
            <w:pPr>
              <w:pStyle w:val="5"/>
              <w:numPr>
                <w:ilvl w:val="0"/>
                <w:numId w:val="6"/>
              </w:numPr>
              <w:spacing w:line="360" w:lineRule="auto"/>
              <w:ind w:left="0" w:leftChars="0" w:firstLine="0" w:firstLineChars="0"/>
              <w:rPr>
                <w:rFonts w:hint="default" w:ascii="Times New Roman" w:hAnsi="Times New Roman" w:cs="Times New Roman"/>
                <w:lang w:val="en-US" w:eastAsia="zh-CN"/>
              </w:rPr>
            </w:pPr>
            <w:bookmarkStart w:id="11" w:name="_Toc9683"/>
            <w:r>
              <w:rPr>
                <w:rFonts w:hint="default" w:ascii="Times New Roman" w:hAnsi="Times New Roman" w:cs="Times New Roman"/>
                <w:b/>
                <w:bCs/>
                <w:sz w:val="24"/>
                <w:szCs w:val="24"/>
                <w:lang w:val="en-US" w:eastAsia="zh-CN"/>
              </w:rPr>
              <w:t>地下水、土壤环境质量现状</w:t>
            </w:r>
            <w:bookmarkEnd w:id="11"/>
          </w:p>
          <w:p w14:paraId="41115180">
            <w:pPr>
              <w:adjustRightInd w:val="0"/>
              <w:snapToGrid w:val="0"/>
              <w:spacing w:line="360" w:lineRule="auto"/>
              <w:ind w:firstLine="480" w:firstLineChars="200"/>
              <w:rPr>
                <w:rFonts w:hint="default" w:ascii="Times New Roman" w:hAnsi="Times New Roman" w:cs="Times New Roman"/>
                <w:lang w:val="en-US" w:eastAsia="zh-CN"/>
              </w:rPr>
            </w:pPr>
            <w:bookmarkStart w:id="12" w:name="_Toc15606"/>
            <w:r>
              <w:rPr>
                <w:rFonts w:hint="eastAsia"/>
                <w:color w:val="auto"/>
                <w:sz w:val="24"/>
              </w:rPr>
              <w:t>根据《建设项目环境影响报告表编制技术指南》，原则上不开展地下水、土壤环境质量现状调查。本项目在已建设的厂房内建设，厂房内地面全部硬化，不存在地下水、土壤污染途径，无需开展地下水、土壤环境质量现状调查</w:t>
            </w:r>
            <w:r>
              <w:rPr>
                <w:rFonts w:hint="default" w:ascii="Times New Roman" w:hAnsi="Times New Roman" w:cs="Times New Roman"/>
                <w:color w:val="000000"/>
                <w:kern w:val="0"/>
                <w:sz w:val="24"/>
                <w:szCs w:val="22"/>
                <w:lang w:val="en-US" w:bidi="zh-CN"/>
              </w:rPr>
              <w:t>。</w:t>
            </w:r>
            <w:bookmarkEnd w:id="12"/>
          </w:p>
        </w:tc>
      </w:tr>
      <w:tr w14:paraId="22F032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98" w:hRule="atLeast"/>
          <w:jc w:val="center"/>
        </w:trPr>
        <w:tc>
          <w:tcPr>
            <w:tcW w:w="464" w:type="dxa"/>
            <w:noWrap w:val="0"/>
            <w:vAlign w:val="center"/>
          </w:tcPr>
          <w:p w14:paraId="0184832C">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环境</w:t>
            </w:r>
          </w:p>
          <w:p w14:paraId="1D7FCD68">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保护</w:t>
            </w:r>
          </w:p>
          <w:p w14:paraId="565F4F55">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目标</w:t>
            </w:r>
          </w:p>
        </w:tc>
        <w:tc>
          <w:tcPr>
            <w:tcW w:w="8526" w:type="dxa"/>
            <w:noWrap w:val="0"/>
            <w:vAlign w:val="top"/>
          </w:tcPr>
          <w:p w14:paraId="77C1C846">
            <w:pPr>
              <w:numPr>
                <w:ilvl w:val="0"/>
                <w:numId w:val="7"/>
              </w:numPr>
              <w:adjustRightInd w:val="0"/>
              <w:snapToGrid w:val="0"/>
              <w:spacing w:line="360" w:lineRule="auto"/>
              <w:jc w:val="both"/>
              <w:rPr>
                <w:rFonts w:hint="default" w:ascii="Times New Roman" w:hAnsi="Times New Roman" w:cs="Times New Roman"/>
                <w:b/>
                <w:bCs/>
                <w:color w:val="auto"/>
                <w:kern w:val="0"/>
                <w:sz w:val="24"/>
                <w:szCs w:val="24"/>
                <w:lang w:val="en-US" w:eastAsia="zh-CN"/>
              </w:rPr>
            </w:pPr>
            <w:r>
              <w:rPr>
                <w:rFonts w:hint="default" w:ascii="Times New Roman" w:hAnsi="Times New Roman" w:cs="Times New Roman"/>
                <w:b/>
                <w:bCs/>
                <w:color w:val="auto"/>
                <w:kern w:val="0"/>
                <w:sz w:val="24"/>
                <w:szCs w:val="24"/>
                <w:lang w:val="en-US" w:eastAsia="zh-CN"/>
              </w:rPr>
              <w:t>大气环境</w:t>
            </w:r>
          </w:p>
          <w:p w14:paraId="6D4612DC">
            <w:pPr>
              <w:pStyle w:val="5"/>
              <w:spacing w:line="360" w:lineRule="auto"/>
              <w:ind w:firstLine="480" w:firstLineChars="200"/>
              <w:rPr>
                <w:rFonts w:hint="default" w:ascii="Times New Roman" w:hAnsi="Times New Roman" w:cs="Times New Roman"/>
                <w:color w:val="auto"/>
                <w:sz w:val="24"/>
                <w:szCs w:val="24"/>
                <w:lang w:val="en-US" w:eastAsia="zh-CN"/>
              </w:rPr>
            </w:pPr>
            <w:bookmarkStart w:id="13" w:name="_Toc19306"/>
            <w:r>
              <w:rPr>
                <w:rFonts w:hint="default" w:ascii="Times New Roman" w:hAnsi="Times New Roman" w:cs="Times New Roman"/>
                <w:color w:val="auto"/>
                <w:sz w:val="24"/>
                <w:szCs w:val="24"/>
                <w:lang w:val="en-US" w:eastAsia="zh-CN"/>
              </w:rPr>
              <w:t>本项目厂界外500米范围内无自然保护区、风景名胜区、居住区、文化区和农村地区中人群较集中的区域等保护目标。</w:t>
            </w:r>
            <w:bookmarkEnd w:id="13"/>
          </w:p>
          <w:p w14:paraId="0B0465DA">
            <w:pPr>
              <w:pStyle w:val="5"/>
              <w:numPr>
                <w:ilvl w:val="0"/>
                <w:numId w:val="7"/>
              </w:numPr>
              <w:spacing w:line="360" w:lineRule="auto"/>
              <w:rPr>
                <w:rFonts w:hint="default" w:ascii="Times New Roman" w:hAnsi="Times New Roman" w:cs="Times New Roman"/>
                <w:b/>
                <w:bCs/>
                <w:color w:val="auto"/>
                <w:sz w:val="24"/>
                <w:szCs w:val="24"/>
                <w:lang w:val="en-US" w:eastAsia="zh-CN"/>
              </w:rPr>
            </w:pPr>
            <w:bookmarkStart w:id="14" w:name="_Toc5228"/>
            <w:r>
              <w:rPr>
                <w:rFonts w:hint="default" w:ascii="Times New Roman" w:hAnsi="Times New Roman" w:cs="Times New Roman"/>
                <w:b/>
                <w:bCs/>
                <w:color w:val="auto"/>
                <w:sz w:val="24"/>
                <w:szCs w:val="24"/>
                <w:lang w:val="en-US" w:eastAsia="zh-CN"/>
              </w:rPr>
              <w:t>声环境</w:t>
            </w:r>
            <w:bookmarkEnd w:id="14"/>
          </w:p>
          <w:p w14:paraId="0A951E74">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本项目厂界外50米范围内无声环境保护目标。</w:t>
            </w:r>
          </w:p>
          <w:p w14:paraId="5EDCA683">
            <w:pPr>
              <w:numPr>
                <w:ilvl w:val="0"/>
                <w:numId w:val="7"/>
              </w:numPr>
              <w:spacing w:line="360" w:lineRule="auto"/>
              <w:ind w:left="0" w:leftChars="0" w:firstLine="0" w:firstLineChars="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地下水环境</w:t>
            </w:r>
          </w:p>
          <w:p w14:paraId="7EA8371E">
            <w:pPr>
              <w:pStyle w:val="5"/>
              <w:spacing w:line="360" w:lineRule="auto"/>
              <w:ind w:firstLine="480" w:firstLineChars="200"/>
              <w:rPr>
                <w:rFonts w:hint="default" w:ascii="Times New Roman" w:hAnsi="Times New Roman" w:cs="Times New Roman"/>
                <w:color w:val="auto"/>
                <w:sz w:val="24"/>
                <w:szCs w:val="24"/>
                <w:lang w:val="en-US" w:eastAsia="zh-CN"/>
              </w:rPr>
            </w:pPr>
            <w:bookmarkStart w:id="15" w:name="_Toc19578"/>
            <w:r>
              <w:rPr>
                <w:rFonts w:hint="default" w:ascii="Times New Roman" w:hAnsi="Times New Roman" w:cs="Times New Roman"/>
                <w:color w:val="auto"/>
                <w:sz w:val="24"/>
                <w:szCs w:val="24"/>
                <w:lang w:val="en-US" w:eastAsia="zh-CN"/>
              </w:rPr>
              <w:t>本项目厂界外500米范围内无地下水集中式饮用水水源和热水、矿泉水、温泉等特殊地下水资源。</w:t>
            </w:r>
            <w:bookmarkEnd w:id="15"/>
          </w:p>
          <w:p w14:paraId="5C56BC19">
            <w:pPr>
              <w:pStyle w:val="5"/>
              <w:numPr>
                <w:ilvl w:val="0"/>
                <w:numId w:val="7"/>
              </w:numPr>
              <w:spacing w:line="360" w:lineRule="auto"/>
              <w:ind w:left="0" w:leftChars="0" w:firstLine="0" w:firstLineChars="0"/>
              <w:rPr>
                <w:rFonts w:hint="default" w:ascii="Times New Roman" w:hAnsi="Times New Roman" w:cs="Times New Roman"/>
                <w:color w:val="auto"/>
                <w:sz w:val="24"/>
                <w:szCs w:val="24"/>
                <w:lang w:val="en-US" w:eastAsia="zh-CN"/>
              </w:rPr>
            </w:pPr>
            <w:bookmarkStart w:id="16" w:name="_Toc23167"/>
            <w:r>
              <w:rPr>
                <w:rFonts w:hint="default" w:ascii="Times New Roman" w:hAnsi="Times New Roman" w:cs="Times New Roman"/>
                <w:b/>
                <w:bCs/>
                <w:color w:val="auto"/>
                <w:sz w:val="24"/>
                <w:szCs w:val="24"/>
                <w:lang w:val="en-US" w:eastAsia="zh-CN"/>
              </w:rPr>
              <w:t>生态环境</w:t>
            </w:r>
            <w:bookmarkEnd w:id="16"/>
          </w:p>
          <w:p w14:paraId="33B1F56B">
            <w:pPr>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eastAsia="宋体" w:cs="Times New Roman"/>
                <w:color w:val="auto"/>
                <w:kern w:val="2"/>
                <w:sz w:val="24"/>
                <w:szCs w:val="24"/>
                <w:lang w:val="en-US" w:eastAsia="zh-CN" w:bidi="ar-SA"/>
              </w:rPr>
              <w:t>本项目位于</w:t>
            </w:r>
            <w:r>
              <w:rPr>
                <w:rFonts w:hint="eastAsia" w:ascii="Times New Roman" w:hAnsi="Times New Roman" w:eastAsia="宋体" w:cs="Times New Roman"/>
                <w:color w:val="auto"/>
                <w:kern w:val="2"/>
                <w:sz w:val="24"/>
                <w:szCs w:val="24"/>
                <w:lang w:val="en-US" w:eastAsia="zh-CN" w:bidi="ar-SA"/>
              </w:rPr>
              <w:t>陕西省西咸新区泾河新城永乐镇泾河智造创新产业园18#3层</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sz w:val="24"/>
                <w:szCs w:val="24"/>
                <w:lang w:val="en-US" w:eastAsia="zh-CN"/>
              </w:rPr>
              <w:t>根据现场踏勘，项目租用</w:t>
            </w:r>
            <w:r>
              <w:rPr>
                <w:rFonts w:hint="default" w:ascii="Times New Roman" w:hAnsi="Times New Roman" w:cs="Times New Roman"/>
                <w:color w:val="auto"/>
                <w:sz w:val="24"/>
                <w:szCs w:val="24"/>
                <w:lang w:val="en-US" w:eastAsia="zh-CN"/>
              </w:rPr>
              <w:t>现有</w:t>
            </w:r>
            <w:r>
              <w:rPr>
                <w:rFonts w:hint="default" w:ascii="Times New Roman" w:hAnsi="Times New Roman" w:eastAsia="宋体" w:cs="Times New Roman"/>
                <w:color w:val="auto"/>
                <w:sz w:val="24"/>
              </w:rPr>
              <w:t>厂房</w:t>
            </w:r>
            <w:r>
              <w:rPr>
                <w:rFonts w:hint="default" w:ascii="Times New Roman" w:hAnsi="Times New Roman" w:eastAsia="宋体" w:cs="Times New Roman"/>
                <w:color w:val="auto"/>
                <w:sz w:val="24"/>
                <w:lang w:val="en-US" w:eastAsia="zh-CN"/>
              </w:rPr>
              <w:t>已进行硬化</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不新增用地，因此用地范围内无生态环境保护目标。</w:t>
            </w:r>
          </w:p>
        </w:tc>
      </w:tr>
      <w:tr w14:paraId="1AA4DB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64" w:type="dxa"/>
            <w:noWrap w:val="0"/>
            <w:tcMar>
              <w:left w:w="28" w:type="dxa"/>
              <w:right w:w="28" w:type="dxa"/>
            </w:tcMar>
            <w:vAlign w:val="center"/>
          </w:tcPr>
          <w:p w14:paraId="0244525D">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污染</w:t>
            </w:r>
          </w:p>
          <w:p w14:paraId="4B6BCB66">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物排</w:t>
            </w:r>
          </w:p>
          <w:p w14:paraId="5FF44EAE">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放控</w:t>
            </w:r>
          </w:p>
          <w:p w14:paraId="39A045C4">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制标</w:t>
            </w:r>
          </w:p>
          <w:p w14:paraId="122A43CD">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准</w:t>
            </w:r>
          </w:p>
        </w:tc>
        <w:tc>
          <w:tcPr>
            <w:tcW w:w="8526" w:type="dxa"/>
            <w:noWrap w:val="0"/>
            <w:vAlign w:val="top"/>
          </w:tcPr>
          <w:p w14:paraId="4C58027B">
            <w:pPr>
              <w:numPr>
                <w:ilvl w:val="0"/>
                <w:numId w:val="8"/>
              </w:numPr>
              <w:adjustRightInd w:val="0"/>
              <w:snapToGrid w:val="0"/>
              <w:spacing w:line="360" w:lineRule="auto"/>
              <w:jc w:val="both"/>
              <w:rPr>
                <w:rFonts w:hint="default" w:ascii="Times New Roman" w:hAnsi="Times New Roman" w:cs="Times New Roman"/>
                <w:b/>
                <w:bCs/>
                <w:color w:val="auto"/>
                <w:kern w:val="0"/>
                <w:sz w:val="24"/>
                <w:szCs w:val="24"/>
                <w:lang w:val="en-US" w:eastAsia="zh-CN"/>
              </w:rPr>
            </w:pPr>
            <w:r>
              <w:rPr>
                <w:rFonts w:hint="default" w:ascii="Times New Roman" w:hAnsi="Times New Roman" w:cs="Times New Roman"/>
                <w:b/>
                <w:bCs/>
                <w:color w:val="auto"/>
                <w:kern w:val="0"/>
                <w:sz w:val="24"/>
                <w:szCs w:val="24"/>
                <w:lang w:val="en-US" w:eastAsia="zh-CN"/>
              </w:rPr>
              <w:t>废气</w:t>
            </w:r>
          </w:p>
          <w:p w14:paraId="2C13BC97">
            <w:pPr>
              <w:widowControl/>
              <w:numPr>
                <w:ilvl w:val="0"/>
                <w:numId w:val="0"/>
              </w:numPr>
              <w:spacing w:line="360" w:lineRule="auto"/>
              <w:ind w:firstLine="480" w:firstLineChars="200"/>
              <w:rPr>
                <w:color w:val="auto"/>
                <w:sz w:val="24"/>
              </w:rPr>
            </w:pPr>
            <w:bookmarkStart w:id="17" w:name="_Toc3574"/>
            <w:r>
              <w:rPr>
                <w:rFonts w:hint="eastAsia"/>
                <w:color w:val="auto"/>
                <w:sz w:val="24"/>
              </w:rPr>
              <w:t>施工期TSP排放标准执行《施工场界扬尘排放限值》（DB61/1078-2017）；</w:t>
            </w:r>
            <w:r>
              <w:rPr>
                <w:rFonts w:hint="eastAsia"/>
                <w:color w:val="auto"/>
                <w:sz w:val="24"/>
                <w:lang w:val="en-US" w:eastAsia="zh-CN"/>
              </w:rPr>
              <w:t>运营期非甲烷总烃、甲苯、甲醇有组织排放执行《大气污染物综合排放标准》（GB16297-1996）表2二级标准；无组织排放执行《大气污染物综合排放标准》（GB16297-1996）表2周界外浓度最高点浓度限值，厂区内挥发性有机物执行《挥发性有机物无组织排放控制标准》（GB37822-2019）附录A厂区内VOCs特别排放限值</w:t>
            </w:r>
            <w:r>
              <w:rPr>
                <w:rFonts w:hint="eastAsia"/>
                <w:color w:val="auto"/>
                <w:sz w:val="24"/>
              </w:rPr>
              <w:t>。</w:t>
            </w:r>
          </w:p>
          <w:p w14:paraId="3A6A35BE">
            <w:pPr>
              <w:pStyle w:val="8"/>
              <w:jc w:val="center"/>
              <w:rPr>
                <w:rFonts w:ascii="Times New Roman" w:hAnsi="Times New Roman" w:eastAsia="宋体"/>
                <w:b/>
                <w:color w:val="auto"/>
                <w:sz w:val="24"/>
              </w:rPr>
            </w:pPr>
            <w:r>
              <w:rPr>
                <w:rFonts w:ascii="Times New Roman" w:hAnsi="Times New Roman" w:eastAsia="宋体"/>
                <w:b/>
                <w:color w:val="auto"/>
                <w:sz w:val="24"/>
              </w:rPr>
              <w:t>表3-</w:t>
            </w:r>
            <w:r>
              <w:rPr>
                <w:rFonts w:hint="eastAsia" w:ascii="Times New Roman" w:hAnsi="Times New Roman" w:eastAsia="宋体"/>
                <w:b/>
                <w:color w:val="auto"/>
                <w:sz w:val="24"/>
                <w:lang w:val="en-US" w:eastAsia="zh-CN"/>
              </w:rPr>
              <w:t>3</w:t>
            </w:r>
            <w:r>
              <w:rPr>
                <w:rFonts w:ascii="Times New Roman" w:hAnsi="Times New Roman" w:eastAsia="宋体"/>
                <w:b/>
                <w:color w:val="auto"/>
                <w:sz w:val="24"/>
              </w:rPr>
              <w:t xml:space="preserve">  </w:t>
            </w:r>
            <w:r>
              <w:rPr>
                <w:rFonts w:hint="eastAsia" w:ascii="Times New Roman" w:hAnsi="Times New Roman" w:eastAsia="宋体"/>
                <w:b/>
                <w:color w:val="auto"/>
                <w:sz w:val="24"/>
                <w:lang w:val="en-US" w:eastAsia="zh-CN"/>
              </w:rPr>
              <w:t>废气</w:t>
            </w:r>
            <w:r>
              <w:rPr>
                <w:rFonts w:ascii="Times New Roman" w:hAnsi="Times New Roman" w:eastAsia="宋体"/>
                <w:b/>
                <w:color w:val="auto"/>
                <w:sz w:val="24"/>
              </w:rPr>
              <w:t>排放标准</w:t>
            </w:r>
          </w:p>
          <w:tbl>
            <w:tblPr>
              <w:tblStyle w:val="26"/>
              <w:tblW w:w="496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92"/>
              <w:gridCol w:w="477"/>
              <w:gridCol w:w="1678"/>
              <w:gridCol w:w="1386"/>
              <w:gridCol w:w="957"/>
              <w:gridCol w:w="3159"/>
            </w:tblGrid>
            <w:tr w14:paraId="7ABF54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9" w:type="pct"/>
                  <w:tcBorders>
                    <w:tl2br w:val="nil"/>
                    <w:tr2bl w:val="nil"/>
                  </w:tcBorders>
                  <w:noWrap w:val="0"/>
                  <w:vAlign w:val="center"/>
                </w:tcPr>
                <w:p w14:paraId="39887EF9">
                  <w:pPr>
                    <w:pStyle w:val="68"/>
                    <w:rPr>
                      <w:b/>
                      <w:bCs/>
                      <w:color w:val="auto"/>
                    </w:rPr>
                  </w:pPr>
                  <w:r>
                    <w:rPr>
                      <w:rFonts w:hint="eastAsia"/>
                      <w:b/>
                      <w:bCs/>
                      <w:color w:val="auto"/>
                    </w:rPr>
                    <w:t>阶段</w:t>
                  </w:r>
                </w:p>
              </w:tc>
              <w:tc>
                <w:tcPr>
                  <w:tcW w:w="1306" w:type="pct"/>
                  <w:gridSpan w:val="2"/>
                  <w:tcBorders>
                    <w:tl2br w:val="nil"/>
                    <w:tr2bl w:val="nil"/>
                  </w:tcBorders>
                  <w:noWrap w:val="0"/>
                  <w:vAlign w:val="center"/>
                </w:tcPr>
                <w:p w14:paraId="55B87EFE">
                  <w:pPr>
                    <w:pStyle w:val="68"/>
                    <w:rPr>
                      <w:b/>
                      <w:bCs/>
                      <w:color w:val="auto"/>
                    </w:rPr>
                  </w:pPr>
                  <w:r>
                    <w:rPr>
                      <w:b/>
                      <w:bCs/>
                      <w:color w:val="auto"/>
                    </w:rPr>
                    <w:t>污染物</w:t>
                  </w:r>
                </w:p>
              </w:tc>
              <w:tc>
                <w:tcPr>
                  <w:tcW w:w="1420" w:type="pct"/>
                  <w:gridSpan w:val="2"/>
                  <w:tcBorders>
                    <w:tl2br w:val="nil"/>
                    <w:tr2bl w:val="nil"/>
                  </w:tcBorders>
                  <w:noWrap w:val="0"/>
                  <w:vAlign w:val="center"/>
                </w:tcPr>
                <w:p w14:paraId="030375B9">
                  <w:pPr>
                    <w:pStyle w:val="68"/>
                    <w:rPr>
                      <w:b/>
                      <w:bCs/>
                      <w:color w:val="auto"/>
                    </w:rPr>
                  </w:pPr>
                  <w:r>
                    <w:rPr>
                      <w:rFonts w:hint="eastAsia"/>
                      <w:b/>
                      <w:bCs/>
                      <w:color w:val="auto"/>
                    </w:rPr>
                    <w:t>排放</w:t>
                  </w:r>
                  <w:r>
                    <w:rPr>
                      <w:b/>
                      <w:bCs/>
                      <w:color w:val="auto"/>
                    </w:rPr>
                    <w:t>限值</w:t>
                  </w:r>
                  <w:r>
                    <w:rPr>
                      <w:rFonts w:hint="eastAsia"/>
                      <w:b/>
                      <w:bCs/>
                      <w:color w:val="auto"/>
                      <w:kern w:val="24"/>
                    </w:rPr>
                    <w:t>（</w:t>
                  </w:r>
                  <w:r>
                    <w:rPr>
                      <w:b/>
                      <w:bCs/>
                      <w:color w:val="auto"/>
                      <w:kern w:val="24"/>
                    </w:rPr>
                    <w:t>mg/m</w:t>
                  </w:r>
                  <w:r>
                    <w:rPr>
                      <w:b/>
                      <w:bCs/>
                      <w:color w:val="auto"/>
                      <w:kern w:val="24"/>
                      <w:vertAlign w:val="superscript"/>
                    </w:rPr>
                    <w:t>3</w:t>
                  </w:r>
                  <w:r>
                    <w:rPr>
                      <w:rFonts w:hint="eastAsia"/>
                      <w:b/>
                      <w:bCs/>
                      <w:color w:val="auto"/>
                      <w:kern w:val="24"/>
                    </w:rPr>
                    <w:t>）</w:t>
                  </w:r>
                </w:p>
              </w:tc>
              <w:tc>
                <w:tcPr>
                  <w:tcW w:w="1914" w:type="pct"/>
                  <w:tcBorders>
                    <w:tl2br w:val="nil"/>
                    <w:tr2bl w:val="nil"/>
                  </w:tcBorders>
                  <w:noWrap w:val="0"/>
                  <w:vAlign w:val="center"/>
                </w:tcPr>
                <w:p w14:paraId="5EF68548">
                  <w:pPr>
                    <w:pStyle w:val="68"/>
                    <w:rPr>
                      <w:b/>
                      <w:bCs/>
                      <w:color w:val="auto"/>
                    </w:rPr>
                  </w:pPr>
                  <w:r>
                    <w:rPr>
                      <w:rFonts w:hint="eastAsia"/>
                      <w:b/>
                      <w:bCs/>
                      <w:color w:val="auto"/>
                    </w:rPr>
                    <w:t>执行标准</w:t>
                  </w:r>
                </w:p>
              </w:tc>
            </w:tr>
            <w:tr w14:paraId="645244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9" w:type="pct"/>
                  <w:tcBorders>
                    <w:tl2br w:val="nil"/>
                    <w:tr2bl w:val="nil"/>
                  </w:tcBorders>
                  <w:noWrap w:val="0"/>
                  <w:vAlign w:val="center"/>
                </w:tcPr>
                <w:p w14:paraId="43EF98C4">
                  <w:pPr>
                    <w:pStyle w:val="68"/>
                    <w:rPr>
                      <w:color w:val="auto"/>
                    </w:rPr>
                  </w:pPr>
                  <w:r>
                    <w:rPr>
                      <w:rFonts w:hint="eastAsia"/>
                      <w:color w:val="auto"/>
                    </w:rPr>
                    <w:t>施工期</w:t>
                  </w:r>
                </w:p>
              </w:tc>
              <w:tc>
                <w:tcPr>
                  <w:tcW w:w="1306" w:type="pct"/>
                  <w:gridSpan w:val="2"/>
                  <w:tcBorders>
                    <w:tl2br w:val="nil"/>
                    <w:tr2bl w:val="nil"/>
                  </w:tcBorders>
                  <w:noWrap w:val="0"/>
                  <w:vAlign w:val="center"/>
                </w:tcPr>
                <w:p w14:paraId="6BCA06AE">
                  <w:pPr>
                    <w:pStyle w:val="68"/>
                    <w:rPr>
                      <w:color w:val="auto"/>
                    </w:rPr>
                  </w:pPr>
                  <w:r>
                    <w:rPr>
                      <w:rFonts w:hint="eastAsia"/>
                      <w:color w:val="auto"/>
                    </w:rPr>
                    <w:t>TSP</w:t>
                  </w:r>
                </w:p>
              </w:tc>
              <w:tc>
                <w:tcPr>
                  <w:tcW w:w="1420" w:type="pct"/>
                  <w:gridSpan w:val="2"/>
                  <w:tcBorders>
                    <w:tl2br w:val="nil"/>
                    <w:tr2bl w:val="nil"/>
                  </w:tcBorders>
                  <w:noWrap w:val="0"/>
                  <w:vAlign w:val="center"/>
                </w:tcPr>
                <w:p w14:paraId="5F885270">
                  <w:pPr>
                    <w:pStyle w:val="68"/>
                    <w:rPr>
                      <w:bCs/>
                      <w:color w:val="auto"/>
                      <w:szCs w:val="21"/>
                    </w:rPr>
                  </w:pPr>
                  <w:r>
                    <w:rPr>
                      <w:bCs/>
                      <w:color w:val="auto"/>
                      <w:szCs w:val="21"/>
                    </w:rPr>
                    <w:t>≤0.7</w:t>
                  </w:r>
                </w:p>
              </w:tc>
              <w:tc>
                <w:tcPr>
                  <w:tcW w:w="1914" w:type="pct"/>
                  <w:tcBorders>
                    <w:tl2br w:val="nil"/>
                    <w:tr2bl w:val="nil"/>
                  </w:tcBorders>
                  <w:noWrap w:val="0"/>
                  <w:vAlign w:val="center"/>
                </w:tcPr>
                <w:p w14:paraId="22E1D113">
                  <w:pPr>
                    <w:pStyle w:val="68"/>
                    <w:rPr>
                      <w:color w:val="auto"/>
                    </w:rPr>
                  </w:pPr>
                  <w:r>
                    <w:rPr>
                      <w:rFonts w:hint="eastAsia"/>
                      <w:color w:val="auto"/>
                    </w:rPr>
                    <w:t>《施工场界扬尘排放限值》（DB61/1078-2017）</w:t>
                  </w:r>
                </w:p>
              </w:tc>
            </w:tr>
            <w:tr w14:paraId="38C409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359" w:type="pct"/>
                  <w:vMerge w:val="restart"/>
                  <w:tcBorders>
                    <w:tl2br w:val="nil"/>
                    <w:tr2bl w:val="nil"/>
                  </w:tcBorders>
                  <w:noWrap w:val="0"/>
                  <w:vAlign w:val="center"/>
                </w:tcPr>
                <w:p w14:paraId="37074B07">
                  <w:pPr>
                    <w:pStyle w:val="68"/>
                    <w:rPr>
                      <w:color w:val="auto"/>
                    </w:rPr>
                  </w:pPr>
                  <w:r>
                    <w:rPr>
                      <w:rFonts w:hint="eastAsia"/>
                      <w:color w:val="auto"/>
                    </w:rPr>
                    <w:t>运营期</w:t>
                  </w:r>
                </w:p>
              </w:tc>
              <w:tc>
                <w:tcPr>
                  <w:tcW w:w="289" w:type="pct"/>
                  <w:vMerge w:val="restart"/>
                  <w:tcBorders>
                    <w:tl2br w:val="nil"/>
                    <w:tr2bl w:val="nil"/>
                  </w:tcBorders>
                  <w:noWrap w:val="0"/>
                  <w:vAlign w:val="center"/>
                </w:tcPr>
                <w:p w14:paraId="4E1349C3">
                  <w:pPr>
                    <w:pStyle w:val="68"/>
                    <w:rPr>
                      <w:color w:val="auto"/>
                    </w:rPr>
                  </w:pPr>
                  <w:r>
                    <w:rPr>
                      <w:rFonts w:hint="eastAsia"/>
                      <w:color w:val="auto"/>
                    </w:rPr>
                    <w:t>有组织</w:t>
                  </w:r>
                </w:p>
              </w:tc>
              <w:tc>
                <w:tcPr>
                  <w:tcW w:w="1017" w:type="pct"/>
                  <w:vMerge w:val="restart"/>
                  <w:tcBorders>
                    <w:tl2br w:val="nil"/>
                    <w:tr2bl w:val="nil"/>
                  </w:tcBorders>
                  <w:noWrap w:val="0"/>
                  <w:vAlign w:val="center"/>
                </w:tcPr>
                <w:p w14:paraId="228E2133">
                  <w:pPr>
                    <w:pStyle w:val="68"/>
                    <w:rPr>
                      <w:color w:val="auto"/>
                    </w:rPr>
                  </w:pPr>
                  <w:r>
                    <w:rPr>
                      <w:rFonts w:hint="eastAsia"/>
                      <w:color w:val="auto"/>
                    </w:rPr>
                    <w:t>非甲烷总烃</w:t>
                  </w:r>
                </w:p>
              </w:tc>
              <w:tc>
                <w:tcPr>
                  <w:tcW w:w="840" w:type="pct"/>
                  <w:tcBorders>
                    <w:tl2br w:val="nil"/>
                    <w:tr2bl w:val="nil"/>
                  </w:tcBorders>
                  <w:noWrap w:val="0"/>
                  <w:vAlign w:val="center"/>
                </w:tcPr>
                <w:p w14:paraId="4D085266">
                  <w:pPr>
                    <w:pStyle w:val="68"/>
                    <w:rPr>
                      <w:color w:val="auto"/>
                      <w:highlight w:val="none"/>
                    </w:rPr>
                  </w:pPr>
                  <w:r>
                    <w:rPr>
                      <w:color w:val="auto"/>
                      <w:highlight w:val="none"/>
                    </w:rPr>
                    <w:t>最高允许排放浓度</w:t>
                  </w:r>
                </w:p>
              </w:tc>
              <w:tc>
                <w:tcPr>
                  <w:tcW w:w="580" w:type="pct"/>
                  <w:tcBorders>
                    <w:tl2br w:val="nil"/>
                    <w:tr2bl w:val="nil"/>
                  </w:tcBorders>
                  <w:noWrap w:val="0"/>
                  <w:vAlign w:val="center"/>
                </w:tcPr>
                <w:p w14:paraId="4F94576F">
                  <w:pPr>
                    <w:pStyle w:val="68"/>
                    <w:rPr>
                      <w:rFonts w:hint="default" w:eastAsia="宋体"/>
                      <w:color w:val="auto"/>
                      <w:highlight w:val="none"/>
                      <w:lang w:val="en-US" w:eastAsia="zh-CN"/>
                    </w:rPr>
                  </w:pPr>
                  <w:r>
                    <w:rPr>
                      <w:rFonts w:hint="eastAsia"/>
                      <w:color w:val="auto"/>
                      <w:highlight w:val="none"/>
                      <w:lang w:val="en-US" w:eastAsia="zh-CN"/>
                    </w:rPr>
                    <w:t>120</w:t>
                  </w:r>
                </w:p>
              </w:tc>
              <w:tc>
                <w:tcPr>
                  <w:tcW w:w="1914" w:type="pct"/>
                  <w:vMerge w:val="restart"/>
                  <w:tcBorders>
                    <w:tl2br w:val="nil"/>
                    <w:tr2bl w:val="nil"/>
                  </w:tcBorders>
                  <w:noWrap w:val="0"/>
                  <w:vAlign w:val="center"/>
                </w:tcPr>
                <w:p w14:paraId="09A86E39">
                  <w:pPr>
                    <w:pStyle w:val="68"/>
                    <w:rPr>
                      <w:color w:val="auto"/>
                      <w:kern w:val="24"/>
                      <w:highlight w:val="none"/>
                    </w:rPr>
                  </w:pPr>
                  <w:r>
                    <w:rPr>
                      <w:rFonts w:hint="eastAsia"/>
                      <w:color w:val="auto"/>
                      <w:kern w:val="24"/>
                      <w:highlight w:val="none"/>
                      <w:lang w:val="en-US" w:eastAsia="zh-CN"/>
                    </w:rPr>
                    <w:t>《大气污染物综合排放标准》（GB16297-1996）表2二级标准</w:t>
                  </w:r>
                </w:p>
              </w:tc>
            </w:tr>
            <w:tr w14:paraId="44078D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359" w:type="pct"/>
                  <w:vMerge w:val="continue"/>
                  <w:tcBorders>
                    <w:tl2br w:val="nil"/>
                    <w:tr2bl w:val="nil"/>
                  </w:tcBorders>
                  <w:noWrap w:val="0"/>
                  <w:vAlign w:val="center"/>
                </w:tcPr>
                <w:p w14:paraId="3D519D5C">
                  <w:pPr>
                    <w:pStyle w:val="68"/>
                    <w:rPr>
                      <w:rFonts w:hint="eastAsia"/>
                      <w:color w:val="auto"/>
                    </w:rPr>
                  </w:pPr>
                </w:p>
              </w:tc>
              <w:tc>
                <w:tcPr>
                  <w:tcW w:w="289" w:type="pct"/>
                  <w:vMerge w:val="continue"/>
                  <w:tcBorders>
                    <w:tl2br w:val="nil"/>
                    <w:tr2bl w:val="nil"/>
                  </w:tcBorders>
                  <w:noWrap w:val="0"/>
                  <w:vAlign w:val="center"/>
                </w:tcPr>
                <w:p w14:paraId="61A8CBBD">
                  <w:pPr>
                    <w:pStyle w:val="68"/>
                    <w:rPr>
                      <w:rFonts w:hint="eastAsia"/>
                      <w:color w:val="auto"/>
                    </w:rPr>
                  </w:pPr>
                </w:p>
              </w:tc>
              <w:tc>
                <w:tcPr>
                  <w:tcW w:w="1017" w:type="pct"/>
                  <w:vMerge w:val="continue"/>
                  <w:tcBorders>
                    <w:tl2br w:val="nil"/>
                    <w:tr2bl w:val="nil"/>
                  </w:tcBorders>
                  <w:noWrap w:val="0"/>
                  <w:vAlign w:val="center"/>
                </w:tcPr>
                <w:p w14:paraId="7702934E">
                  <w:pPr>
                    <w:pStyle w:val="68"/>
                    <w:rPr>
                      <w:rFonts w:hint="eastAsia"/>
                      <w:color w:val="auto"/>
                    </w:rPr>
                  </w:pPr>
                </w:p>
              </w:tc>
              <w:tc>
                <w:tcPr>
                  <w:tcW w:w="840" w:type="pct"/>
                  <w:tcBorders>
                    <w:tl2br w:val="nil"/>
                    <w:tr2bl w:val="nil"/>
                  </w:tcBorders>
                  <w:noWrap w:val="0"/>
                  <w:vAlign w:val="center"/>
                </w:tcPr>
                <w:p w14:paraId="7C258B93">
                  <w:pPr>
                    <w:pStyle w:val="68"/>
                    <w:rPr>
                      <w:rFonts w:hint="eastAsia" w:eastAsia="宋体"/>
                      <w:color w:val="auto"/>
                      <w:highlight w:val="none"/>
                      <w:lang w:val="en-US" w:eastAsia="zh-CN"/>
                    </w:rPr>
                  </w:pPr>
                  <w:r>
                    <w:rPr>
                      <w:rFonts w:hint="eastAsia"/>
                      <w:color w:val="auto"/>
                      <w:highlight w:val="none"/>
                      <w:lang w:val="en-US" w:eastAsia="zh-CN"/>
                    </w:rPr>
                    <w:t>排放速率（排气筒高15m）</w:t>
                  </w:r>
                </w:p>
              </w:tc>
              <w:tc>
                <w:tcPr>
                  <w:tcW w:w="580" w:type="pct"/>
                  <w:tcBorders>
                    <w:tl2br w:val="nil"/>
                    <w:tr2bl w:val="nil"/>
                  </w:tcBorders>
                  <w:noWrap w:val="0"/>
                  <w:vAlign w:val="center"/>
                </w:tcPr>
                <w:p w14:paraId="5089A9DA">
                  <w:pPr>
                    <w:pStyle w:val="68"/>
                    <w:rPr>
                      <w:rFonts w:hint="default"/>
                      <w:color w:val="auto"/>
                      <w:highlight w:val="none"/>
                      <w:lang w:val="en-US" w:eastAsia="zh-CN"/>
                    </w:rPr>
                  </w:pPr>
                  <w:r>
                    <w:rPr>
                      <w:rFonts w:hint="eastAsia"/>
                      <w:color w:val="auto"/>
                      <w:highlight w:val="none"/>
                      <w:lang w:val="en-US" w:eastAsia="zh-CN"/>
                    </w:rPr>
                    <w:t>5kg/h</w:t>
                  </w:r>
                </w:p>
              </w:tc>
              <w:tc>
                <w:tcPr>
                  <w:tcW w:w="1914" w:type="pct"/>
                  <w:vMerge w:val="continue"/>
                  <w:tcBorders>
                    <w:tl2br w:val="nil"/>
                    <w:tr2bl w:val="nil"/>
                  </w:tcBorders>
                  <w:noWrap w:val="0"/>
                  <w:vAlign w:val="center"/>
                </w:tcPr>
                <w:p w14:paraId="62D4A3A7">
                  <w:pPr>
                    <w:pStyle w:val="68"/>
                    <w:rPr>
                      <w:rFonts w:hint="eastAsia"/>
                      <w:color w:val="auto"/>
                      <w:kern w:val="24"/>
                      <w:highlight w:val="none"/>
                      <w:lang w:val="en-US" w:eastAsia="zh-CN"/>
                    </w:rPr>
                  </w:pPr>
                </w:p>
              </w:tc>
            </w:tr>
            <w:tr w14:paraId="68DF16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359" w:type="pct"/>
                  <w:vMerge w:val="continue"/>
                  <w:tcBorders>
                    <w:tl2br w:val="nil"/>
                    <w:tr2bl w:val="nil"/>
                  </w:tcBorders>
                  <w:noWrap w:val="0"/>
                  <w:vAlign w:val="center"/>
                </w:tcPr>
                <w:p w14:paraId="266C6DB1">
                  <w:pPr>
                    <w:pStyle w:val="68"/>
                    <w:rPr>
                      <w:rFonts w:hint="eastAsia"/>
                      <w:color w:val="auto"/>
                    </w:rPr>
                  </w:pPr>
                </w:p>
              </w:tc>
              <w:tc>
                <w:tcPr>
                  <w:tcW w:w="289" w:type="pct"/>
                  <w:vMerge w:val="continue"/>
                  <w:tcBorders>
                    <w:tl2br w:val="nil"/>
                    <w:tr2bl w:val="nil"/>
                  </w:tcBorders>
                  <w:noWrap w:val="0"/>
                  <w:vAlign w:val="center"/>
                </w:tcPr>
                <w:p w14:paraId="45DCF5C1">
                  <w:pPr>
                    <w:pStyle w:val="68"/>
                    <w:rPr>
                      <w:rFonts w:hint="eastAsia"/>
                      <w:color w:val="auto"/>
                    </w:rPr>
                  </w:pPr>
                </w:p>
              </w:tc>
              <w:tc>
                <w:tcPr>
                  <w:tcW w:w="1017" w:type="pct"/>
                  <w:vMerge w:val="restart"/>
                  <w:tcBorders>
                    <w:tl2br w:val="nil"/>
                    <w:tr2bl w:val="nil"/>
                  </w:tcBorders>
                  <w:noWrap w:val="0"/>
                  <w:vAlign w:val="center"/>
                </w:tcPr>
                <w:p w14:paraId="6D82369E">
                  <w:pPr>
                    <w:pStyle w:val="68"/>
                    <w:rPr>
                      <w:rFonts w:hint="eastAsia" w:eastAsia="宋体"/>
                      <w:color w:val="auto"/>
                      <w:lang w:val="en-US" w:eastAsia="zh-CN"/>
                    </w:rPr>
                  </w:pPr>
                  <w:r>
                    <w:rPr>
                      <w:rFonts w:hint="eastAsia"/>
                      <w:color w:val="auto"/>
                      <w:lang w:val="en-US" w:eastAsia="zh-CN"/>
                    </w:rPr>
                    <w:t>甲苯</w:t>
                  </w:r>
                </w:p>
              </w:tc>
              <w:tc>
                <w:tcPr>
                  <w:tcW w:w="840" w:type="pct"/>
                  <w:tcBorders>
                    <w:tl2br w:val="nil"/>
                    <w:tr2bl w:val="nil"/>
                  </w:tcBorders>
                  <w:noWrap w:val="0"/>
                  <w:vAlign w:val="center"/>
                </w:tcPr>
                <w:p w14:paraId="0F6B2E07">
                  <w:pPr>
                    <w:pStyle w:val="68"/>
                    <w:rPr>
                      <w:rFonts w:hint="eastAsia"/>
                      <w:color w:val="auto"/>
                      <w:highlight w:val="none"/>
                      <w:lang w:val="en-US" w:eastAsia="zh-CN"/>
                    </w:rPr>
                  </w:pPr>
                  <w:r>
                    <w:rPr>
                      <w:color w:val="auto"/>
                      <w:highlight w:val="none"/>
                    </w:rPr>
                    <w:t>最高允许排放浓度</w:t>
                  </w:r>
                </w:p>
              </w:tc>
              <w:tc>
                <w:tcPr>
                  <w:tcW w:w="580" w:type="pct"/>
                  <w:tcBorders>
                    <w:tl2br w:val="nil"/>
                    <w:tr2bl w:val="nil"/>
                  </w:tcBorders>
                  <w:noWrap w:val="0"/>
                  <w:vAlign w:val="center"/>
                </w:tcPr>
                <w:p w14:paraId="63F2243C">
                  <w:pPr>
                    <w:pStyle w:val="68"/>
                    <w:rPr>
                      <w:rFonts w:hint="default"/>
                      <w:color w:val="auto"/>
                      <w:highlight w:val="none"/>
                      <w:lang w:val="en-US" w:eastAsia="zh-CN"/>
                    </w:rPr>
                  </w:pPr>
                  <w:r>
                    <w:rPr>
                      <w:rFonts w:hint="eastAsia"/>
                      <w:color w:val="auto"/>
                      <w:highlight w:val="none"/>
                      <w:lang w:val="en-US" w:eastAsia="zh-CN"/>
                    </w:rPr>
                    <w:t>40</w:t>
                  </w:r>
                </w:p>
              </w:tc>
              <w:tc>
                <w:tcPr>
                  <w:tcW w:w="1914" w:type="pct"/>
                  <w:vMerge w:val="continue"/>
                  <w:tcBorders>
                    <w:tl2br w:val="nil"/>
                    <w:tr2bl w:val="nil"/>
                  </w:tcBorders>
                  <w:noWrap w:val="0"/>
                  <w:vAlign w:val="center"/>
                </w:tcPr>
                <w:p w14:paraId="16A34671">
                  <w:pPr>
                    <w:pStyle w:val="68"/>
                    <w:rPr>
                      <w:rFonts w:hint="eastAsia"/>
                      <w:color w:val="auto"/>
                      <w:kern w:val="24"/>
                      <w:highlight w:val="none"/>
                      <w:lang w:val="en-US" w:eastAsia="zh-CN"/>
                    </w:rPr>
                  </w:pPr>
                </w:p>
              </w:tc>
            </w:tr>
            <w:tr w14:paraId="06981E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359" w:type="pct"/>
                  <w:vMerge w:val="continue"/>
                  <w:tcBorders>
                    <w:tl2br w:val="nil"/>
                    <w:tr2bl w:val="nil"/>
                  </w:tcBorders>
                  <w:noWrap w:val="0"/>
                  <w:vAlign w:val="center"/>
                </w:tcPr>
                <w:p w14:paraId="7B06ABCC">
                  <w:pPr>
                    <w:pStyle w:val="68"/>
                    <w:rPr>
                      <w:rFonts w:hint="eastAsia"/>
                      <w:color w:val="auto"/>
                    </w:rPr>
                  </w:pPr>
                </w:p>
              </w:tc>
              <w:tc>
                <w:tcPr>
                  <w:tcW w:w="289" w:type="pct"/>
                  <w:vMerge w:val="continue"/>
                  <w:tcBorders>
                    <w:tl2br w:val="nil"/>
                    <w:tr2bl w:val="nil"/>
                  </w:tcBorders>
                  <w:noWrap w:val="0"/>
                  <w:vAlign w:val="center"/>
                </w:tcPr>
                <w:p w14:paraId="21EB83E9">
                  <w:pPr>
                    <w:pStyle w:val="68"/>
                    <w:rPr>
                      <w:rFonts w:hint="eastAsia"/>
                      <w:color w:val="auto"/>
                    </w:rPr>
                  </w:pPr>
                </w:p>
              </w:tc>
              <w:tc>
                <w:tcPr>
                  <w:tcW w:w="1017" w:type="pct"/>
                  <w:vMerge w:val="continue"/>
                  <w:tcBorders>
                    <w:tl2br w:val="nil"/>
                    <w:tr2bl w:val="nil"/>
                  </w:tcBorders>
                  <w:noWrap w:val="0"/>
                  <w:vAlign w:val="center"/>
                </w:tcPr>
                <w:p w14:paraId="0D6C1D46">
                  <w:pPr>
                    <w:pStyle w:val="68"/>
                    <w:rPr>
                      <w:rFonts w:hint="eastAsia"/>
                      <w:color w:val="auto"/>
                    </w:rPr>
                  </w:pPr>
                </w:p>
              </w:tc>
              <w:tc>
                <w:tcPr>
                  <w:tcW w:w="840" w:type="pct"/>
                  <w:tcBorders>
                    <w:tl2br w:val="nil"/>
                    <w:tr2bl w:val="nil"/>
                  </w:tcBorders>
                  <w:noWrap w:val="0"/>
                  <w:vAlign w:val="center"/>
                </w:tcPr>
                <w:p w14:paraId="1974E8E1">
                  <w:pPr>
                    <w:pStyle w:val="68"/>
                    <w:rPr>
                      <w:rFonts w:hint="eastAsia"/>
                      <w:color w:val="auto"/>
                      <w:highlight w:val="none"/>
                      <w:lang w:val="en-US" w:eastAsia="zh-CN"/>
                    </w:rPr>
                  </w:pPr>
                  <w:r>
                    <w:rPr>
                      <w:rFonts w:hint="eastAsia"/>
                      <w:color w:val="auto"/>
                      <w:highlight w:val="none"/>
                      <w:lang w:val="en-US" w:eastAsia="zh-CN"/>
                    </w:rPr>
                    <w:t>排放速率（排气筒高15m）</w:t>
                  </w:r>
                </w:p>
              </w:tc>
              <w:tc>
                <w:tcPr>
                  <w:tcW w:w="580" w:type="pct"/>
                  <w:tcBorders>
                    <w:tl2br w:val="nil"/>
                    <w:tr2bl w:val="nil"/>
                  </w:tcBorders>
                  <w:noWrap w:val="0"/>
                  <w:vAlign w:val="center"/>
                </w:tcPr>
                <w:p w14:paraId="4AF7363C">
                  <w:pPr>
                    <w:pStyle w:val="68"/>
                    <w:rPr>
                      <w:rFonts w:hint="default"/>
                      <w:color w:val="auto"/>
                      <w:highlight w:val="none"/>
                      <w:lang w:val="en-US" w:eastAsia="zh-CN"/>
                    </w:rPr>
                  </w:pPr>
                  <w:r>
                    <w:rPr>
                      <w:rFonts w:hint="eastAsia"/>
                      <w:color w:val="auto"/>
                      <w:highlight w:val="none"/>
                      <w:lang w:val="en-US" w:eastAsia="zh-CN"/>
                    </w:rPr>
                    <w:t>1.55kg/h</w:t>
                  </w:r>
                </w:p>
              </w:tc>
              <w:tc>
                <w:tcPr>
                  <w:tcW w:w="1914" w:type="pct"/>
                  <w:vMerge w:val="continue"/>
                  <w:tcBorders>
                    <w:tl2br w:val="nil"/>
                    <w:tr2bl w:val="nil"/>
                  </w:tcBorders>
                  <w:noWrap w:val="0"/>
                  <w:vAlign w:val="center"/>
                </w:tcPr>
                <w:p w14:paraId="75A77743">
                  <w:pPr>
                    <w:pStyle w:val="68"/>
                    <w:rPr>
                      <w:rFonts w:hint="eastAsia"/>
                      <w:color w:val="auto"/>
                      <w:kern w:val="24"/>
                      <w:highlight w:val="none"/>
                      <w:lang w:val="en-US" w:eastAsia="zh-CN"/>
                    </w:rPr>
                  </w:pPr>
                </w:p>
              </w:tc>
            </w:tr>
            <w:tr w14:paraId="6E047C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359" w:type="pct"/>
                  <w:vMerge w:val="continue"/>
                  <w:tcBorders>
                    <w:tl2br w:val="nil"/>
                    <w:tr2bl w:val="nil"/>
                  </w:tcBorders>
                  <w:noWrap w:val="0"/>
                  <w:vAlign w:val="center"/>
                </w:tcPr>
                <w:p w14:paraId="18A76319">
                  <w:pPr>
                    <w:pStyle w:val="68"/>
                    <w:rPr>
                      <w:rFonts w:hint="eastAsia"/>
                      <w:color w:val="auto"/>
                    </w:rPr>
                  </w:pPr>
                </w:p>
              </w:tc>
              <w:tc>
                <w:tcPr>
                  <w:tcW w:w="289" w:type="pct"/>
                  <w:vMerge w:val="continue"/>
                  <w:tcBorders>
                    <w:tl2br w:val="nil"/>
                    <w:tr2bl w:val="nil"/>
                  </w:tcBorders>
                  <w:noWrap w:val="0"/>
                  <w:vAlign w:val="center"/>
                </w:tcPr>
                <w:p w14:paraId="5DCEA72D">
                  <w:pPr>
                    <w:pStyle w:val="68"/>
                    <w:rPr>
                      <w:rFonts w:hint="eastAsia"/>
                      <w:color w:val="auto"/>
                    </w:rPr>
                  </w:pPr>
                </w:p>
              </w:tc>
              <w:tc>
                <w:tcPr>
                  <w:tcW w:w="1017" w:type="pct"/>
                  <w:vMerge w:val="restart"/>
                  <w:tcBorders>
                    <w:tl2br w:val="nil"/>
                    <w:tr2bl w:val="nil"/>
                  </w:tcBorders>
                  <w:noWrap w:val="0"/>
                  <w:vAlign w:val="center"/>
                </w:tcPr>
                <w:p w14:paraId="38760D9F">
                  <w:pPr>
                    <w:pStyle w:val="68"/>
                    <w:rPr>
                      <w:rFonts w:hint="eastAsia" w:eastAsia="宋体"/>
                      <w:color w:val="auto"/>
                      <w:lang w:val="en-US" w:eastAsia="zh-CN"/>
                    </w:rPr>
                  </w:pPr>
                  <w:r>
                    <w:rPr>
                      <w:rFonts w:hint="eastAsia"/>
                      <w:color w:val="auto"/>
                      <w:lang w:val="en-US" w:eastAsia="zh-CN"/>
                    </w:rPr>
                    <w:t>甲醇</w:t>
                  </w:r>
                </w:p>
              </w:tc>
              <w:tc>
                <w:tcPr>
                  <w:tcW w:w="840" w:type="pct"/>
                  <w:tcBorders>
                    <w:tl2br w:val="nil"/>
                    <w:tr2bl w:val="nil"/>
                  </w:tcBorders>
                  <w:noWrap w:val="0"/>
                  <w:vAlign w:val="center"/>
                </w:tcPr>
                <w:p w14:paraId="52A9523A">
                  <w:pPr>
                    <w:pStyle w:val="68"/>
                    <w:rPr>
                      <w:rFonts w:hint="eastAsia"/>
                      <w:color w:val="auto"/>
                      <w:highlight w:val="none"/>
                      <w:lang w:val="en-US" w:eastAsia="zh-CN"/>
                    </w:rPr>
                  </w:pPr>
                  <w:r>
                    <w:rPr>
                      <w:color w:val="auto"/>
                      <w:highlight w:val="none"/>
                    </w:rPr>
                    <w:t>最高允许排放浓度</w:t>
                  </w:r>
                </w:p>
              </w:tc>
              <w:tc>
                <w:tcPr>
                  <w:tcW w:w="580" w:type="pct"/>
                  <w:tcBorders>
                    <w:tl2br w:val="nil"/>
                    <w:tr2bl w:val="nil"/>
                  </w:tcBorders>
                  <w:noWrap w:val="0"/>
                  <w:vAlign w:val="center"/>
                </w:tcPr>
                <w:p w14:paraId="1961D1FC">
                  <w:pPr>
                    <w:pStyle w:val="68"/>
                    <w:rPr>
                      <w:rFonts w:hint="default"/>
                      <w:color w:val="auto"/>
                      <w:highlight w:val="none"/>
                      <w:lang w:val="en-US" w:eastAsia="zh-CN"/>
                    </w:rPr>
                  </w:pPr>
                  <w:r>
                    <w:rPr>
                      <w:rFonts w:hint="eastAsia"/>
                      <w:color w:val="auto"/>
                      <w:highlight w:val="none"/>
                      <w:lang w:val="en-US" w:eastAsia="zh-CN"/>
                    </w:rPr>
                    <w:t>190</w:t>
                  </w:r>
                </w:p>
              </w:tc>
              <w:tc>
                <w:tcPr>
                  <w:tcW w:w="1914" w:type="pct"/>
                  <w:vMerge w:val="continue"/>
                  <w:tcBorders>
                    <w:tl2br w:val="nil"/>
                    <w:tr2bl w:val="nil"/>
                  </w:tcBorders>
                  <w:noWrap w:val="0"/>
                  <w:vAlign w:val="center"/>
                </w:tcPr>
                <w:p w14:paraId="53EEC124">
                  <w:pPr>
                    <w:pStyle w:val="68"/>
                    <w:rPr>
                      <w:rFonts w:hint="eastAsia"/>
                      <w:color w:val="auto"/>
                      <w:kern w:val="24"/>
                      <w:highlight w:val="none"/>
                      <w:lang w:val="en-US" w:eastAsia="zh-CN"/>
                    </w:rPr>
                  </w:pPr>
                </w:p>
              </w:tc>
            </w:tr>
            <w:tr w14:paraId="69DCDC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359" w:type="pct"/>
                  <w:vMerge w:val="continue"/>
                  <w:tcBorders>
                    <w:tl2br w:val="nil"/>
                    <w:tr2bl w:val="nil"/>
                  </w:tcBorders>
                  <w:noWrap w:val="0"/>
                  <w:vAlign w:val="center"/>
                </w:tcPr>
                <w:p w14:paraId="1E1D2CA3">
                  <w:pPr>
                    <w:pStyle w:val="68"/>
                    <w:rPr>
                      <w:rFonts w:hint="eastAsia"/>
                      <w:color w:val="auto"/>
                    </w:rPr>
                  </w:pPr>
                </w:p>
              </w:tc>
              <w:tc>
                <w:tcPr>
                  <w:tcW w:w="289" w:type="pct"/>
                  <w:vMerge w:val="continue"/>
                  <w:tcBorders>
                    <w:tl2br w:val="nil"/>
                    <w:tr2bl w:val="nil"/>
                  </w:tcBorders>
                  <w:noWrap w:val="0"/>
                  <w:vAlign w:val="center"/>
                </w:tcPr>
                <w:p w14:paraId="373EDD18">
                  <w:pPr>
                    <w:pStyle w:val="68"/>
                    <w:rPr>
                      <w:rFonts w:hint="eastAsia"/>
                      <w:color w:val="auto"/>
                    </w:rPr>
                  </w:pPr>
                </w:p>
              </w:tc>
              <w:tc>
                <w:tcPr>
                  <w:tcW w:w="1017" w:type="pct"/>
                  <w:vMerge w:val="continue"/>
                  <w:tcBorders>
                    <w:tl2br w:val="nil"/>
                    <w:tr2bl w:val="nil"/>
                  </w:tcBorders>
                  <w:noWrap w:val="0"/>
                  <w:vAlign w:val="center"/>
                </w:tcPr>
                <w:p w14:paraId="31FFE5E3">
                  <w:pPr>
                    <w:pStyle w:val="68"/>
                    <w:rPr>
                      <w:rFonts w:hint="eastAsia"/>
                      <w:color w:val="auto"/>
                    </w:rPr>
                  </w:pPr>
                </w:p>
              </w:tc>
              <w:tc>
                <w:tcPr>
                  <w:tcW w:w="840" w:type="pct"/>
                  <w:tcBorders>
                    <w:tl2br w:val="nil"/>
                    <w:tr2bl w:val="nil"/>
                  </w:tcBorders>
                  <w:noWrap w:val="0"/>
                  <w:vAlign w:val="center"/>
                </w:tcPr>
                <w:p w14:paraId="6F90CD83">
                  <w:pPr>
                    <w:pStyle w:val="68"/>
                    <w:rPr>
                      <w:rFonts w:hint="eastAsia"/>
                      <w:color w:val="auto"/>
                      <w:highlight w:val="none"/>
                      <w:lang w:val="en-US" w:eastAsia="zh-CN"/>
                    </w:rPr>
                  </w:pPr>
                  <w:r>
                    <w:rPr>
                      <w:rFonts w:hint="eastAsia"/>
                      <w:color w:val="auto"/>
                      <w:highlight w:val="none"/>
                      <w:lang w:val="en-US" w:eastAsia="zh-CN"/>
                    </w:rPr>
                    <w:t>排放速率（排气筒高15m）</w:t>
                  </w:r>
                </w:p>
              </w:tc>
              <w:tc>
                <w:tcPr>
                  <w:tcW w:w="580" w:type="pct"/>
                  <w:tcBorders>
                    <w:tl2br w:val="nil"/>
                    <w:tr2bl w:val="nil"/>
                  </w:tcBorders>
                  <w:noWrap w:val="0"/>
                  <w:vAlign w:val="center"/>
                </w:tcPr>
                <w:p w14:paraId="35743C73">
                  <w:pPr>
                    <w:pStyle w:val="68"/>
                    <w:rPr>
                      <w:rFonts w:hint="default"/>
                      <w:color w:val="auto"/>
                      <w:highlight w:val="none"/>
                      <w:lang w:val="en-US" w:eastAsia="zh-CN"/>
                    </w:rPr>
                  </w:pPr>
                  <w:r>
                    <w:rPr>
                      <w:rFonts w:hint="eastAsia"/>
                      <w:color w:val="auto"/>
                      <w:highlight w:val="none"/>
                      <w:lang w:val="en-US" w:eastAsia="zh-CN"/>
                    </w:rPr>
                    <w:t>2.55kg/h</w:t>
                  </w:r>
                </w:p>
              </w:tc>
              <w:tc>
                <w:tcPr>
                  <w:tcW w:w="1914" w:type="pct"/>
                  <w:vMerge w:val="continue"/>
                  <w:tcBorders>
                    <w:tl2br w:val="nil"/>
                    <w:tr2bl w:val="nil"/>
                  </w:tcBorders>
                  <w:noWrap w:val="0"/>
                  <w:vAlign w:val="center"/>
                </w:tcPr>
                <w:p w14:paraId="004B065E">
                  <w:pPr>
                    <w:pStyle w:val="68"/>
                    <w:rPr>
                      <w:rFonts w:hint="eastAsia"/>
                      <w:color w:val="auto"/>
                      <w:kern w:val="24"/>
                      <w:highlight w:val="none"/>
                      <w:lang w:val="en-US" w:eastAsia="zh-CN"/>
                    </w:rPr>
                  </w:pPr>
                </w:p>
              </w:tc>
            </w:tr>
            <w:tr w14:paraId="2FBD9A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9" w:type="pct"/>
                  <w:vMerge w:val="continue"/>
                  <w:tcBorders>
                    <w:tl2br w:val="nil"/>
                    <w:tr2bl w:val="nil"/>
                  </w:tcBorders>
                  <w:noWrap w:val="0"/>
                  <w:vAlign w:val="center"/>
                </w:tcPr>
                <w:p w14:paraId="49A8BE83">
                  <w:pPr>
                    <w:pStyle w:val="68"/>
                    <w:rPr>
                      <w:color w:val="auto"/>
                    </w:rPr>
                  </w:pPr>
                </w:p>
              </w:tc>
              <w:tc>
                <w:tcPr>
                  <w:tcW w:w="289" w:type="pct"/>
                  <w:vMerge w:val="restart"/>
                  <w:tcBorders>
                    <w:tl2br w:val="nil"/>
                    <w:tr2bl w:val="nil"/>
                  </w:tcBorders>
                  <w:noWrap w:val="0"/>
                  <w:vAlign w:val="center"/>
                </w:tcPr>
                <w:p w14:paraId="25D4A022">
                  <w:pPr>
                    <w:pStyle w:val="68"/>
                    <w:rPr>
                      <w:color w:val="auto"/>
                    </w:rPr>
                  </w:pPr>
                  <w:r>
                    <w:rPr>
                      <w:rFonts w:hint="eastAsia"/>
                      <w:color w:val="auto"/>
                    </w:rPr>
                    <w:t>无组织</w:t>
                  </w:r>
                </w:p>
              </w:tc>
              <w:tc>
                <w:tcPr>
                  <w:tcW w:w="1017" w:type="pct"/>
                  <w:vMerge w:val="restart"/>
                  <w:tcBorders>
                    <w:tl2br w:val="nil"/>
                    <w:tr2bl w:val="nil"/>
                  </w:tcBorders>
                  <w:noWrap w:val="0"/>
                  <w:vAlign w:val="center"/>
                </w:tcPr>
                <w:p w14:paraId="492EB7D9">
                  <w:pPr>
                    <w:pStyle w:val="68"/>
                    <w:rPr>
                      <w:color w:val="auto"/>
                    </w:rPr>
                  </w:pPr>
                  <w:r>
                    <w:rPr>
                      <w:rFonts w:hint="eastAsia"/>
                      <w:color w:val="auto"/>
                    </w:rPr>
                    <w:t>非甲烷总烃</w:t>
                  </w:r>
                </w:p>
              </w:tc>
              <w:tc>
                <w:tcPr>
                  <w:tcW w:w="840" w:type="pct"/>
                  <w:tcBorders>
                    <w:tl2br w:val="nil"/>
                    <w:tr2bl w:val="nil"/>
                  </w:tcBorders>
                  <w:noWrap w:val="0"/>
                  <w:vAlign w:val="center"/>
                </w:tcPr>
                <w:p w14:paraId="7A57ABB2">
                  <w:pPr>
                    <w:jc w:val="center"/>
                    <w:rPr>
                      <w:color w:val="auto"/>
                      <w:highlight w:val="none"/>
                    </w:rPr>
                  </w:pPr>
                  <w:r>
                    <w:rPr>
                      <w:rFonts w:hint="eastAsia"/>
                      <w:bCs/>
                      <w:color w:val="auto"/>
                      <w:highlight w:val="none"/>
                      <w:lang w:val="en-US" w:eastAsia="zh-CN"/>
                    </w:rPr>
                    <w:t>监控点处1h平均浓度值</w:t>
                  </w:r>
                </w:p>
              </w:tc>
              <w:tc>
                <w:tcPr>
                  <w:tcW w:w="580" w:type="pct"/>
                  <w:tcBorders>
                    <w:tl2br w:val="nil"/>
                    <w:tr2bl w:val="nil"/>
                  </w:tcBorders>
                  <w:noWrap w:val="0"/>
                  <w:vAlign w:val="center"/>
                </w:tcPr>
                <w:p w14:paraId="7B23C6A5">
                  <w:pPr>
                    <w:pStyle w:val="68"/>
                    <w:rPr>
                      <w:rFonts w:hint="eastAsia" w:eastAsia="宋体"/>
                      <w:color w:val="auto"/>
                      <w:highlight w:val="none"/>
                      <w:lang w:eastAsia="zh-CN"/>
                    </w:rPr>
                  </w:pPr>
                  <w:r>
                    <w:rPr>
                      <w:rFonts w:hint="eastAsia"/>
                      <w:color w:val="auto"/>
                      <w:highlight w:val="none"/>
                      <w:lang w:val="en-US" w:eastAsia="zh-CN"/>
                    </w:rPr>
                    <w:t>6</w:t>
                  </w:r>
                </w:p>
              </w:tc>
              <w:tc>
                <w:tcPr>
                  <w:tcW w:w="1914" w:type="pct"/>
                  <w:vMerge w:val="restart"/>
                  <w:tcBorders>
                    <w:tl2br w:val="nil"/>
                    <w:tr2bl w:val="nil"/>
                  </w:tcBorders>
                  <w:noWrap w:val="0"/>
                  <w:vAlign w:val="center"/>
                </w:tcPr>
                <w:p w14:paraId="5159A8C0">
                  <w:pPr>
                    <w:pStyle w:val="68"/>
                    <w:rPr>
                      <w:color w:val="auto"/>
                      <w:kern w:val="24"/>
                      <w:highlight w:val="none"/>
                    </w:rPr>
                  </w:pPr>
                  <w:r>
                    <w:rPr>
                      <w:rFonts w:hint="eastAsia"/>
                      <w:color w:val="auto"/>
                      <w:kern w:val="24"/>
                      <w:highlight w:val="none"/>
                      <w:lang w:val="en-US" w:eastAsia="zh-CN"/>
                    </w:rPr>
                    <w:t>《挥发性有机物无组织排放控制标准》（GB37822-2019）附录A厂区内VOCs特别排放限值</w:t>
                  </w:r>
                </w:p>
              </w:tc>
            </w:tr>
            <w:tr w14:paraId="22D504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9" w:type="pct"/>
                  <w:vMerge w:val="continue"/>
                  <w:tcBorders>
                    <w:tl2br w:val="nil"/>
                    <w:tr2bl w:val="nil"/>
                  </w:tcBorders>
                  <w:noWrap w:val="0"/>
                  <w:vAlign w:val="center"/>
                </w:tcPr>
                <w:p w14:paraId="6B13B218">
                  <w:pPr>
                    <w:pStyle w:val="68"/>
                    <w:rPr>
                      <w:color w:val="auto"/>
                    </w:rPr>
                  </w:pPr>
                </w:p>
              </w:tc>
              <w:tc>
                <w:tcPr>
                  <w:tcW w:w="289" w:type="pct"/>
                  <w:vMerge w:val="continue"/>
                  <w:tcBorders>
                    <w:tl2br w:val="nil"/>
                    <w:tr2bl w:val="nil"/>
                  </w:tcBorders>
                  <w:noWrap w:val="0"/>
                  <w:vAlign w:val="center"/>
                </w:tcPr>
                <w:p w14:paraId="2C788FAA">
                  <w:pPr>
                    <w:pStyle w:val="68"/>
                    <w:rPr>
                      <w:color w:val="auto"/>
                    </w:rPr>
                  </w:pPr>
                </w:p>
              </w:tc>
              <w:tc>
                <w:tcPr>
                  <w:tcW w:w="1017" w:type="pct"/>
                  <w:vMerge w:val="continue"/>
                  <w:tcBorders>
                    <w:tl2br w:val="nil"/>
                    <w:tr2bl w:val="nil"/>
                  </w:tcBorders>
                  <w:noWrap w:val="0"/>
                  <w:vAlign w:val="center"/>
                </w:tcPr>
                <w:p w14:paraId="71189605">
                  <w:pPr>
                    <w:pStyle w:val="68"/>
                    <w:rPr>
                      <w:color w:val="auto"/>
                    </w:rPr>
                  </w:pPr>
                </w:p>
              </w:tc>
              <w:tc>
                <w:tcPr>
                  <w:tcW w:w="840" w:type="pct"/>
                  <w:tcBorders>
                    <w:tl2br w:val="nil"/>
                    <w:tr2bl w:val="nil"/>
                  </w:tcBorders>
                  <w:noWrap w:val="0"/>
                  <w:vAlign w:val="center"/>
                </w:tcPr>
                <w:p w14:paraId="452E40E4">
                  <w:pPr>
                    <w:jc w:val="center"/>
                    <w:rPr>
                      <w:color w:val="auto"/>
                      <w:szCs w:val="21"/>
                      <w:highlight w:val="none"/>
                    </w:rPr>
                  </w:pPr>
                  <w:r>
                    <w:rPr>
                      <w:rFonts w:hint="eastAsia"/>
                      <w:bCs/>
                      <w:color w:val="auto"/>
                      <w:highlight w:val="none"/>
                      <w:lang w:val="en-US" w:eastAsia="zh-CN"/>
                    </w:rPr>
                    <w:t>监控点处任意一次浓度值</w:t>
                  </w:r>
                </w:p>
              </w:tc>
              <w:tc>
                <w:tcPr>
                  <w:tcW w:w="580" w:type="pct"/>
                  <w:tcBorders>
                    <w:tl2br w:val="nil"/>
                    <w:tr2bl w:val="nil"/>
                  </w:tcBorders>
                  <w:noWrap w:val="0"/>
                  <w:vAlign w:val="center"/>
                </w:tcPr>
                <w:p w14:paraId="7497D30C">
                  <w:pPr>
                    <w:pStyle w:val="68"/>
                    <w:rPr>
                      <w:rFonts w:hint="default" w:eastAsia="宋体"/>
                      <w:color w:val="auto"/>
                      <w:highlight w:val="none"/>
                      <w:lang w:val="en-US" w:eastAsia="zh-CN"/>
                    </w:rPr>
                  </w:pPr>
                  <w:r>
                    <w:rPr>
                      <w:rFonts w:hint="eastAsia"/>
                      <w:color w:val="auto"/>
                      <w:highlight w:val="none"/>
                      <w:lang w:val="en-US" w:eastAsia="zh-CN"/>
                    </w:rPr>
                    <w:t>20</w:t>
                  </w:r>
                </w:p>
              </w:tc>
              <w:tc>
                <w:tcPr>
                  <w:tcW w:w="1914" w:type="pct"/>
                  <w:vMerge w:val="continue"/>
                  <w:tcBorders>
                    <w:tl2br w:val="nil"/>
                    <w:tr2bl w:val="nil"/>
                  </w:tcBorders>
                  <w:noWrap w:val="0"/>
                  <w:vAlign w:val="center"/>
                </w:tcPr>
                <w:p w14:paraId="6003D14C">
                  <w:pPr>
                    <w:pStyle w:val="68"/>
                    <w:rPr>
                      <w:color w:val="auto"/>
                      <w:kern w:val="24"/>
                      <w:highlight w:val="none"/>
                    </w:rPr>
                  </w:pPr>
                </w:p>
              </w:tc>
            </w:tr>
            <w:tr w14:paraId="3B2D6B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9" w:type="pct"/>
                  <w:vMerge w:val="continue"/>
                  <w:tcBorders>
                    <w:tl2br w:val="nil"/>
                    <w:tr2bl w:val="nil"/>
                  </w:tcBorders>
                  <w:noWrap w:val="0"/>
                  <w:vAlign w:val="center"/>
                </w:tcPr>
                <w:p w14:paraId="32491B91">
                  <w:pPr>
                    <w:pStyle w:val="68"/>
                    <w:rPr>
                      <w:color w:val="auto"/>
                    </w:rPr>
                  </w:pPr>
                </w:p>
              </w:tc>
              <w:tc>
                <w:tcPr>
                  <w:tcW w:w="289" w:type="pct"/>
                  <w:vMerge w:val="continue"/>
                  <w:tcBorders>
                    <w:tl2br w:val="nil"/>
                    <w:tr2bl w:val="nil"/>
                  </w:tcBorders>
                  <w:noWrap w:val="0"/>
                  <w:vAlign w:val="center"/>
                </w:tcPr>
                <w:p w14:paraId="2CE9D2CF">
                  <w:pPr>
                    <w:pStyle w:val="68"/>
                    <w:rPr>
                      <w:color w:val="auto"/>
                    </w:rPr>
                  </w:pPr>
                </w:p>
              </w:tc>
              <w:tc>
                <w:tcPr>
                  <w:tcW w:w="1017" w:type="pct"/>
                  <w:vMerge w:val="continue"/>
                  <w:tcBorders>
                    <w:tl2br w:val="nil"/>
                    <w:tr2bl w:val="nil"/>
                  </w:tcBorders>
                  <w:noWrap w:val="0"/>
                  <w:vAlign w:val="center"/>
                </w:tcPr>
                <w:p w14:paraId="4CCFB00B">
                  <w:pPr>
                    <w:pStyle w:val="68"/>
                    <w:rPr>
                      <w:color w:val="auto"/>
                    </w:rPr>
                  </w:pPr>
                </w:p>
              </w:tc>
              <w:tc>
                <w:tcPr>
                  <w:tcW w:w="840" w:type="pct"/>
                  <w:tcBorders>
                    <w:tl2br w:val="nil"/>
                    <w:tr2bl w:val="nil"/>
                  </w:tcBorders>
                  <w:noWrap w:val="0"/>
                  <w:vAlign w:val="center"/>
                </w:tcPr>
                <w:p w14:paraId="1950BAE9">
                  <w:pPr>
                    <w:pStyle w:val="68"/>
                    <w:rPr>
                      <w:rFonts w:hint="eastAsia" w:ascii="Times New Roman" w:hAnsi="Times New Roman" w:eastAsia="宋体" w:cs="Times New Roman"/>
                      <w:color w:val="auto"/>
                      <w:sz w:val="21"/>
                      <w:szCs w:val="21"/>
                      <w:highlight w:val="none"/>
                      <w:lang w:val="en-US" w:eastAsia="zh-CN" w:bidi="ar-SA"/>
                    </w:rPr>
                  </w:pPr>
                  <w:r>
                    <w:rPr>
                      <w:rFonts w:hint="eastAsia"/>
                      <w:color w:val="auto"/>
                      <w:szCs w:val="21"/>
                      <w:highlight w:val="none"/>
                      <w:lang w:val="en-US" w:eastAsia="zh-CN"/>
                    </w:rPr>
                    <w:t>周界外浓度最高点浓度限值</w:t>
                  </w:r>
                </w:p>
              </w:tc>
              <w:tc>
                <w:tcPr>
                  <w:tcW w:w="580" w:type="pct"/>
                  <w:tcBorders>
                    <w:tl2br w:val="nil"/>
                    <w:tr2bl w:val="nil"/>
                  </w:tcBorders>
                  <w:noWrap w:val="0"/>
                  <w:vAlign w:val="center"/>
                </w:tcPr>
                <w:p w14:paraId="3CA53EFB">
                  <w:pPr>
                    <w:pStyle w:val="68"/>
                    <w:rPr>
                      <w:rFonts w:hint="eastAsia" w:ascii="Times New Roman" w:hAnsi="Times New Roman" w:eastAsia="宋体" w:cs="Times New Roman"/>
                      <w:color w:val="auto"/>
                      <w:sz w:val="21"/>
                      <w:highlight w:val="none"/>
                      <w:lang w:val="en-US" w:eastAsia="zh-CN" w:bidi="ar-SA"/>
                    </w:rPr>
                  </w:pPr>
                  <w:r>
                    <w:rPr>
                      <w:rFonts w:hint="eastAsia"/>
                      <w:color w:val="auto"/>
                      <w:highlight w:val="none"/>
                      <w:lang w:val="en-US" w:eastAsia="zh-CN"/>
                    </w:rPr>
                    <w:t>4</w:t>
                  </w:r>
                </w:p>
              </w:tc>
              <w:tc>
                <w:tcPr>
                  <w:tcW w:w="1914" w:type="pct"/>
                  <w:tcBorders>
                    <w:tl2br w:val="nil"/>
                    <w:tr2bl w:val="nil"/>
                  </w:tcBorders>
                  <w:noWrap w:val="0"/>
                  <w:vAlign w:val="center"/>
                </w:tcPr>
                <w:p w14:paraId="75FA7284">
                  <w:pPr>
                    <w:pStyle w:val="68"/>
                    <w:rPr>
                      <w:rFonts w:hint="eastAsia" w:ascii="Times New Roman" w:hAnsi="Times New Roman" w:eastAsia="宋体" w:cs="Times New Roman"/>
                      <w:color w:val="auto"/>
                      <w:kern w:val="24"/>
                      <w:sz w:val="21"/>
                      <w:highlight w:val="none"/>
                      <w:lang w:val="en-US" w:eastAsia="zh-CN" w:bidi="ar-SA"/>
                    </w:rPr>
                  </w:pPr>
                  <w:r>
                    <w:rPr>
                      <w:rFonts w:hint="eastAsia"/>
                      <w:color w:val="auto"/>
                      <w:szCs w:val="21"/>
                      <w:highlight w:val="none"/>
                      <w:lang w:val="en-US" w:eastAsia="zh-CN"/>
                    </w:rPr>
                    <w:t>《大气污染物综合排放标准》（GB16297-1996）表2</w:t>
                  </w:r>
                  <w:r>
                    <w:rPr>
                      <w:rFonts w:hint="eastAsia"/>
                      <w:color w:val="auto"/>
                      <w:szCs w:val="21"/>
                      <w:highlight w:val="none"/>
                    </w:rPr>
                    <w:t>排放限值</w:t>
                  </w:r>
                </w:p>
              </w:tc>
            </w:tr>
            <w:tr w14:paraId="3E064D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9" w:type="pct"/>
                  <w:vMerge w:val="continue"/>
                  <w:tcBorders>
                    <w:tl2br w:val="nil"/>
                    <w:tr2bl w:val="nil"/>
                  </w:tcBorders>
                  <w:noWrap w:val="0"/>
                  <w:vAlign w:val="center"/>
                </w:tcPr>
                <w:p w14:paraId="30A0F059">
                  <w:pPr>
                    <w:pStyle w:val="68"/>
                    <w:rPr>
                      <w:color w:val="auto"/>
                    </w:rPr>
                  </w:pPr>
                </w:p>
              </w:tc>
              <w:tc>
                <w:tcPr>
                  <w:tcW w:w="289" w:type="pct"/>
                  <w:vMerge w:val="continue"/>
                  <w:tcBorders>
                    <w:tl2br w:val="nil"/>
                    <w:tr2bl w:val="nil"/>
                  </w:tcBorders>
                  <w:noWrap w:val="0"/>
                  <w:vAlign w:val="center"/>
                </w:tcPr>
                <w:p w14:paraId="6621884F">
                  <w:pPr>
                    <w:pStyle w:val="68"/>
                    <w:rPr>
                      <w:color w:val="auto"/>
                    </w:rPr>
                  </w:pPr>
                </w:p>
              </w:tc>
              <w:tc>
                <w:tcPr>
                  <w:tcW w:w="1017" w:type="pct"/>
                  <w:tcBorders>
                    <w:tl2br w:val="nil"/>
                    <w:tr2bl w:val="nil"/>
                  </w:tcBorders>
                  <w:shd w:val="clear" w:color="auto" w:fill="auto"/>
                  <w:noWrap w:val="0"/>
                  <w:vAlign w:val="center"/>
                </w:tcPr>
                <w:p w14:paraId="63361A5C">
                  <w:pPr>
                    <w:pStyle w:val="68"/>
                    <w:rPr>
                      <w:rFonts w:hint="eastAsia" w:ascii="Times New Roman" w:hAnsi="Times New Roman" w:eastAsia="宋体" w:cs="Times New Roman"/>
                      <w:color w:val="auto"/>
                      <w:sz w:val="21"/>
                      <w:lang w:val="en-US" w:eastAsia="zh-CN" w:bidi="ar-SA"/>
                    </w:rPr>
                  </w:pPr>
                  <w:r>
                    <w:rPr>
                      <w:rFonts w:hint="eastAsia"/>
                      <w:color w:val="auto"/>
                      <w:lang w:val="en-US" w:eastAsia="zh-CN"/>
                    </w:rPr>
                    <w:t>甲苯</w:t>
                  </w:r>
                </w:p>
              </w:tc>
              <w:tc>
                <w:tcPr>
                  <w:tcW w:w="840" w:type="pct"/>
                  <w:tcBorders>
                    <w:tl2br w:val="nil"/>
                    <w:tr2bl w:val="nil"/>
                  </w:tcBorders>
                  <w:shd w:val="clear" w:color="auto" w:fill="auto"/>
                  <w:noWrap w:val="0"/>
                  <w:vAlign w:val="center"/>
                </w:tcPr>
                <w:p w14:paraId="5A3329EA">
                  <w:pPr>
                    <w:pStyle w:val="68"/>
                    <w:rPr>
                      <w:rFonts w:hint="eastAsia" w:ascii="Times New Roman" w:hAnsi="Times New Roman" w:eastAsia="宋体" w:cs="Times New Roman"/>
                      <w:color w:val="auto"/>
                      <w:sz w:val="21"/>
                      <w:szCs w:val="21"/>
                      <w:highlight w:val="none"/>
                      <w:lang w:val="en-US" w:eastAsia="zh-CN" w:bidi="ar-SA"/>
                    </w:rPr>
                  </w:pPr>
                  <w:r>
                    <w:rPr>
                      <w:rFonts w:hint="eastAsia"/>
                      <w:color w:val="auto"/>
                      <w:szCs w:val="21"/>
                      <w:highlight w:val="none"/>
                      <w:lang w:val="en-US" w:eastAsia="zh-CN"/>
                    </w:rPr>
                    <w:t>周界外浓度最高点浓度限值</w:t>
                  </w:r>
                </w:p>
              </w:tc>
              <w:tc>
                <w:tcPr>
                  <w:tcW w:w="580" w:type="pct"/>
                  <w:tcBorders>
                    <w:tl2br w:val="nil"/>
                    <w:tr2bl w:val="nil"/>
                  </w:tcBorders>
                  <w:shd w:val="clear" w:color="auto" w:fill="auto"/>
                  <w:noWrap w:val="0"/>
                  <w:vAlign w:val="center"/>
                </w:tcPr>
                <w:p w14:paraId="6B37DA2D">
                  <w:pPr>
                    <w:pStyle w:val="68"/>
                    <w:rPr>
                      <w:rFonts w:hint="eastAsia" w:ascii="Times New Roman" w:hAnsi="Times New Roman" w:eastAsia="宋体" w:cs="Times New Roman"/>
                      <w:color w:val="auto"/>
                      <w:sz w:val="21"/>
                      <w:highlight w:val="none"/>
                      <w:lang w:val="en-US" w:eastAsia="zh-CN" w:bidi="ar-SA"/>
                    </w:rPr>
                  </w:pPr>
                  <w:r>
                    <w:rPr>
                      <w:rFonts w:hint="eastAsia"/>
                      <w:color w:val="auto"/>
                      <w:highlight w:val="none"/>
                      <w:lang w:val="en-US" w:eastAsia="zh-CN"/>
                    </w:rPr>
                    <w:t>2.4</w:t>
                  </w:r>
                </w:p>
              </w:tc>
              <w:tc>
                <w:tcPr>
                  <w:tcW w:w="1914" w:type="pct"/>
                  <w:tcBorders>
                    <w:tl2br w:val="nil"/>
                    <w:tr2bl w:val="nil"/>
                  </w:tcBorders>
                  <w:shd w:val="clear" w:color="auto" w:fill="auto"/>
                  <w:noWrap w:val="0"/>
                  <w:vAlign w:val="center"/>
                </w:tcPr>
                <w:p w14:paraId="03DAB00F">
                  <w:pPr>
                    <w:pStyle w:val="68"/>
                    <w:rPr>
                      <w:rFonts w:hint="eastAsia" w:ascii="Times New Roman" w:hAnsi="Times New Roman" w:eastAsia="宋体" w:cs="Times New Roman"/>
                      <w:color w:val="auto"/>
                      <w:kern w:val="24"/>
                      <w:sz w:val="21"/>
                      <w:highlight w:val="none"/>
                      <w:lang w:val="en-US" w:eastAsia="zh-CN" w:bidi="ar-SA"/>
                    </w:rPr>
                  </w:pPr>
                  <w:r>
                    <w:rPr>
                      <w:rFonts w:hint="eastAsia"/>
                      <w:color w:val="auto"/>
                      <w:szCs w:val="21"/>
                      <w:highlight w:val="none"/>
                      <w:lang w:val="en-US" w:eastAsia="zh-CN"/>
                    </w:rPr>
                    <w:t>《大气污染物综合排放标准》（GB16297-1996）表2</w:t>
                  </w:r>
                  <w:r>
                    <w:rPr>
                      <w:rFonts w:hint="eastAsia"/>
                      <w:color w:val="auto"/>
                      <w:szCs w:val="21"/>
                      <w:highlight w:val="none"/>
                    </w:rPr>
                    <w:t>排放限值</w:t>
                  </w:r>
                </w:p>
              </w:tc>
            </w:tr>
            <w:tr w14:paraId="3F30FA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9" w:type="pct"/>
                  <w:vMerge w:val="continue"/>
                  <w:tcBorders>
                    <w:tl2br w:val="nil"/>
                    <w:tr2bl w:val="nil"/>
                  </w:tcBorders>
                  <w:noWrap w:val="0"/>
                  <w:vAlign w:val="center"/>
                </w:tcPr>
                <w:p w14:paraId="22858B2F">
                  <w:pPr>
                    <w:pStyle w:val="68"/>
                    <w:rPr>
                      <w:color w:val="auto"/>
                    </w:rPr>
                  </w:pPr>
                </w:p>
              </w:tc>
              <w:tc>
                <w:tcPr>
                  <w:tcW w:w="289" w:type="pct"/>
                  <w:vMerge w:val="continue"/>
                  <w:tcBorders>
                    <w:tl2br w:val="nil"/>
                    <w:tr2bl w:val="nil"/>
                  </w:tcBorders>
                  <w:noWrap w:val="0"/>
                  <w:vAlign w:val="center"/>
                </w:tcPr>
                <w:p w14:paraId="38DF1B6F">
                  <w:pPr>
                    <w:pStyle w:val="68"/>
                    <w:rPr>
                      <w:color w:val="auto"/>
                    </w:rPr>
                  </w:pPr>
                </w:p>
              </w:tc>
              <w:tc>
                <w:tcPr>
                  <w:tcW w:w="1017" w:type="pct"/>
                  <w:tcBorders>
                    <w:tl2br w:val="nil"/>
                    <w:tr2bl w:val="nil"/>
                  </w:tcBorders>
                  <w:noWrap w:val="0"/>
                  <w:vAlign w:val="center"/>
                </w:tcPr>
                <w:p w14:paraId="5A1CF01C">
                  <w:pPr>
                    <w:pStyle w:val="68"/>
                    <w:rPr>
                      <w:color w:val="auto"/>
                    </w:rPr>
                  </w:pPr>
                  <w:r>
                    <w:rPr>
                      <w:rFonts w:hint="eastAsia"/>
                      <w:color w:val="auto"/>
                      <w:lang w:val="en-US" w:eastAsia="zh-CN"/>
                    </w:rPr>
                    <w:t>甲醇</w:t>
                  </w:r>
                </w:p>
              </w:tc>
              <w:tc>
                <w:tcPr>
                  <w:tcW w:w="840" w:type="pct"/>
                  <w:tcBorders>
                    <w:tl2br w:val="nil"/>
                    <w:tr2bl w:val="nil"/>
                  </w:tcBorders>
                  <w:shd w:val="clear" w:color="auto" w:fill="auto"/>
                  <w:noWrap w:val="0"/>
                  <w:vAlign w:val="center"/>
                </w:tcPr>
                <w:p w14:paraId="076A3F2B">
                  <w:pPr>
                    <w:pStyle w:val="68"/>
                    <w:rPr>
                      <w:rFonts w:hint="eastAsia" w:ascii="Times New Roman" w:hAnsi="Times New Roman" w:eastAsia="宋体" w:cs="Times New Roman"/>
                      <w:color w:val="auto"/>
                      <w:sz w:val="21"/>
                      <w:szCs w:val="21"/>
                      <w:highlight w:val="none"/>
                      <w:lang w:val="en-US" w:eastAsia="zh-CN" w:bidi="ar-SA"/>
                    </w:rPr>
                  </w:pPr>
                  <w:r>
                    <w:rPr>
                      <w:rFonts w:hint="eastAsia"/>
                      <w:color w:val="auto"/>
                      <w:szCs w:val="21"/>
                      <w:highlight w:val="none"/>
                      <w:lang w:val="en-US" w:eastAsia="zh-CN"/>
                    </w:rPr>
                    <w:t>周界外浓度最高点浓度限值</w:t>
                  </w:r>
                </w:p>
              </w:tc>
              <w:tc>
                <w:tcPr>
                  <w:tcW w:w="580" w:type="pct"/>
                  <w:tcBorders>
                    <w:tl2br w:val="nil"/>
                    <w:tr2bl w:val="nil"/>
                  </w:tcBorders>
                  <w:shd w:val="clear" w:color="auto" w:fill="auto"/>
                  <w:noWrap w:val="0"/>
                  <w:vAlign w:val="center"/>
                </w:tcPr>
                <w:p w14:paraId="4EF872B2">
                  <w:pPr>
                    <w:pStyle w:val="68"/>
                    <w:rPr>
                      <w:rFonts w:hint="default" w:ascii="Times New Roman" w:hAnsi="Times New Roman" w:eastAsia="宋体" w:cs="Times New Roman"/>
                      <w:color w:val="auto"/>
                      <w:sz w:val="21"/>
                      <w:highlight w:val="none"/>
                      <w:lang w:val="en-US" w:eastAsia="zh-CN" w:bidi="ar-SA"/>
                    </w:rPr>
                  </w:pPr>
                  <w:r>
                    <w:rPr>
                      <w:rFonts w:hint="eastAsia"/>
                      <w:color w:val="auto"/>
                      <w:highlight w:val="none"/>
                      <w:lang w:val="en-US" w:eastAsia="zh-CN"/>
                    </w:rPr>
                    <w:t>12</w:t>
                  </w:r>
                </w:p>
              </w:tc>
              <w:tc>
                <w:tcPr>
                  <w:tcW w:w="1914" w:type="pct"/>
                  <w:tcBorders>
                    <w:tl2br w:val="nil"/>
                    <w:tr2bl w:val="nil"/>
                  </w:tcBorders>
                  <w:shd w:val="clear" w:color="auto" w:fill="auto"/>
                  <w:noWrap w:val="0"/>
                  <w:vAlign w:val="center"/>
                </w:tcPr>
                <w:p w14:paraId="133360B5">
                  <w:pPr>
                    <w:pStyle w:val="68"/>
                    <w:rPr>
                      <w:rFonts w:hint="eastAsia" w:ascii="Times New Roman" w:hAnsi="Times New Roman" w:eastAsia="宋体" w:cs="Times New Roman"/>
                      <w:color w:val="auto"/>
                      <w:kern w:val="24"/>
                      <w:sz w:val="21"/>
                      <w:highlight w:val="none"/>
                      <w:lang w:val="en-US" w:eastAsia="zh-CN" w:bidi="ar-SA"/>
                    </w:rPr>
                  </w:pPr>
                  <w:r>
                    <w:rPr>
                      <w:rFonts w:hint="eastAsia"/>
                      <w:color w:val="auto"/>
                      <w:szCs w:val="21"/>
                      <w:highlight w:val="none"/>
                      <w:lang w:val="en-US" w:eastAsia="zh-CN"/>
                    </w:rPr>
                    <w:t>《大气污染物综合排放标准》（GB16297-1996）表2</w:t>
                  </w:r>
                  <w:r>
                    <w:rPr>
                      <w:rFonts w:hint="eastAsia"/>
                      <w:color w:val="auto"/>
                      <w:szCs w:val="21"/>
                      <w:highlight w:val="none"/>
                    </w:rPr>
                    <w:t>排放限值</w:t>
                  </w:r>
                </w:p>
              </w:tc>
            </w:tr>
            <w:tr w14:paraId="46BDFC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6"/>
                  <w:tcBorders>
                    <w:tl2br w:val="nil"/>
                    <w:tr2bl w:val="nil"/>
                  </w:tcBorders>
                  <w:noWrap w:val="0"/>
                  <w:vAlign w:val="center"/>
                </w:tcPr>
                <w:p w14:paraId="6E23E769">
                  <w:pPr>
                    <w:pStyle w:val="68"/>
                    <w:rPr>
                      <w:rFonts w:hint="eastAsia"/>
                      <w:color w:val="auto"/>
                      <w:szCs w:val="21"/>
                      <w:highlight w:val="none"/>
                      <w:lang w:val="en-US" w:eastAsia="zh-CN"/>
                    </w:rPr>
                  </w:pPr>
                  <w:r>
                    <w:rPr>
                      <w:rFonts w:hint="eastAsia" w:ascii="Times New Roman" w:hAnsi="Times New Roman" w:cs="Times New Roman"/>
                      <w:color w:val="auto"/>
                      <w:sz w:val="21"/>
                      <w:szCs w:val="21"/>
                      <w:lang w:val="en-US" w:eastAsia="zh-CN"/>
                    </w:rPr>
                    <w:t>备注：根据</w:t>
                  </w:r>
                  <w:r>
                    <w:rPr>
                      <w:rFonts w:hint="default" w:ascii="Times New Roman" w:hAnsi="Times New Roman" w:eastAsia="宋体" w:cs="Times New Roman"/>
                      <w:color w:val="auto"/>
                      <w:sz w:val="21"/>
                      <w:szCs w:val="21"/>
                    </w:rPr>
                    <w:t>《大气污染物综合排放标准》（GB16297-1996）</w:t>
                  </w:r>
                  <w:r>
                    <w:rPr>
                      <w:rFonts w:hint="eastAsia" w:cs="Times New Roman"/>
                      <w:color w:val="auto"/>
                      <w:sz w:val="21"/>
                      <w:szCs w:val="21"/>
                      <w:lang w:val="en-US" w:eastAsia="zh-CN"/>
                    </w:rPr>
                    <w:t>第7.1条</w:t>
                  </w:r>
                  <w:r>
                    <w:rPr>
                      <w:rFonts w:hint="eastAsia" w:cs="Times New Roman"/>
                      <w:color w:val="auto"/>
                      <w:sz w:val="21"/>
                      <w:szCs w:val="21"/>
                      <w:lang w:eastAsia="zh-CN"/>
                    </w:rPr>
                    <w:t>：</w:t>
                  </w:r>
                  <w:r>
                    <w:rPr>
                      <w:rFonts w:hint="eastAsia" w:ascii="Times New Roman" w:hAnsi="Times New Roman" w:cs="Times New Roman"/>
                      <w:color w:val="auto"/>
                      <w:sz w:val="21"/>
                      <w:szCs w:val="21"/>
                      <w:lang w:val="en-US" w:eastAsia="zh-CN"/>
                    </w:rPr>
                    <w:t>由于排气筒高度不能达到标准要求，应按其高度对应的表列排放速率标准值严格50％执行。</w:t>
                  </w:r>
                </w:p>
              </w:tc>
            </w:tr>
          </w:tbl>
          <w:p w14:paraId="2673F72D">
            <w:pPr>
              <w:pStyle w:val="5"/>
              <w:numPr>
                <w:ilvl w:val="0"/>
                <w:numId w:val="8"/>
              </w:numPr>
              <w:spacing w:line="360" w:lineRule="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废水</w:t>
            </w:r>
            <w:bookmarkEnd w:id="17"/>
          </w:p>
          <w:p w14:paraId="5A4C946A">
            <w:pPr>
              <w:pStyle w:val="69"/>
              <w:adjustRightInd w:val="0"/>
              <w:snapToGrid w:val="0"/>
              <w:rPr>
                <w:rFonts w:ascii="Times New Roman" w:hAnsi="Times New Roman" w:cs="Times New Roman"/>
                <w:color w:val="auto"/>
              </w:rPr>
            </w:pPr>
            <w:r>
              <w:rPr>
                <w:rFonts w:hint="eastAsia" w:ascii="Times New Roman" w:hAnsi="Times New Roman" w:eastAsia="宋体" w:cs="Times New Roman"/>
                <w:color w:val="auto"/>
                <w:kern w:val="0"/>
                <w:sz w:val="24"/>
                <w:szCs w:val="22"/>
                <w:lang w:val="en-US" w:eastAsia="zh-CN" w:bidi="zh-CN"/>
              </w:rPr>
              <w:t>项目</w:t>
            </w:r>
            <w:r>
              <w:rPr>
                <w:rFonts w:hint="eastAsia" w:ascii="Times New Roman" w:hAnsi="Times New Roman" w:eastAsia="宋体" w:cs="Times New Roman"/>
                <w:color w:val="auto"/>
                <w:kern w:val="0"/>
                <w:sz w:val="24"/>
                <w:szCs w:val="22"/>
                <w:lang w:val="en-US" w:bidi="zh-CN"/>
              </w:rPr>
              <w:t>中器皿清洗废水</w:t>
            </w:r>
            <w:r>
              <w:rPr>
                <w:rFonts w:hint="default" w:ascii="Times New Roman" w:hAnsi="Times New Roman" w:eastAsia="宋体" w:cs="Times New Roman"/>
                <w:color w:val="auto"/>
                <w:kern w:val="0"/>
                <w:sz w:val="24"/>
                <w:szCs w:val="22"/>
                <w:lang w:val="en-US" w:bidi="zh-CN"/>
              </w:rPr>
              <w:t>与生活污水</w:t>
            </w:r>
            <w:r>
              <w:rPr>
                <w:rFonts w:hint="eastAsia" w:ascii="Times New Roman" w:hAnsi="Times New Roman" w:eastAsia="宋体" w:cs="Times New Roman"/>
                <w:color w:val="auto"/>
                <w:kern w:val="0"/>
                <w:sz w:val="24"/>
                <w:szCs w:val="22"/>
                <w:lang w:val="en-US" w:eastAsia="zh-CN" w:bidi="zh-CN"/>
              </w:rPr>
              <w:t>、纯水机浓水</w:t>
            </w:r>
            <w:r>
              <w:rPr>
                <w:rFonts w:hint="default" w:ascii="Times New Roman" w:hAnsi="Times New Roman" w:eastAsia="宋体" w:cs="Times New Roman"/>
                <w:color w:val="auto"/>
                <w:kern w:val="0"/>
                <w:sz w:val="24"/>
                <w:szCs w:val="22"/>
                <w:lang w:val="en-US" w:bidi="zh-CN"/>
              </w:rPr>
              <w:t>一起进入</w:t>
            </w:r>
            <w:r>
              <w:rPr>
                <w:rFonts w:hint="eastAsia" w:ascii="Times New Roman" w:hAnsi="Times New Roman" w:eastAsia="宋体" w:cs="Times New Roman"/>
                <w:color w:val="auto"/>
                <w:kern w:val="0"/>
                <w:sz w:val="24"/>
                <w:szCs w:val="22"/>
                <w:lang w:val="en-US" w:eastAsia="zh-CN" w:bidi="zh-CN"/>
              </w:rPr>
              <w:t>园区</w:t>
            </w:r>
            <w:r>
              <w:rPr>
                <w:rFonts w:hint="default" w:ascii="Times New Roman" w:hAnsi="Times New Roman" w:eastAsia="宋体" w:cs="Times New Roman"/>
                <w:color w:val="auto"/>
                <w:kern w:val="0"/>
                <w:sz w:val="24"/>
                <w:szCs w:val="22"/>
                <w:lang w:val="en-US" w:bidi="zh-CN"/>
              </w:rPr>
              <w:t>化粪池处理达标后排入市政污水管网</w:t>
            </w:r>
            <w:r>
              <w:rPr>
                <w:rFonts w:hint="eastAsia" w:ascii="Times New Roman" w:hAnsi="Times New Roman" w:cs="Times New Roman"/>
                <w:color w:val="auto"/>
              </w:rPr>
              <w:t>，污水</w:t>
            </w:r>
            <w:r>
              <w:rPr>
                <w:rFonts w:ascii="Times New Roman" w:hAnsi="Times New Roman" w:cs="Times New Roman"/>
                <w:color w:val="auto"/>
              </w:rPr>
              <w:t>执行《污水排入城镇下水道水质标准》（GB/T31962-2015）中的</w:t>
            </w:r>
            <w:r>
              <w:rPr>
                <w:rFonts w:hint="eastAsia" w:ascii="Times New Roman" w:hAnsi="Times New Roman" w:cs="Times New Roman"/>
                <w:color w:val="auto"/>
                <w:lang w:val="en-US" w:eastAsia="zh-CN"/>
              </w:rPr>
              <w:t>B</w:t>
            </w:r>
            <w:r>
              <w:rPr>
                <w:rFonts w:hint="eastAsia" w:ascii="Times New Roman" w:hAnsi="Times New Roman" w:cs="Times New Roman"/>
                <w:color w:val="auto"/>
              </w:rPr>
              <w:t>级</w:t>
            </w:r>
            <w:r>
              <w:rPr>
                <w:rFonts w:ascii="Times New Roman" w:hAnsi="Times New Roman" w:cs="Times New Roman"/>
                <w:color w:val="auto"/>
              </w:rPr>
              <w:t>标准</w:t>
            </w:r>
            <w:r>
              <w:rPr>
                <w:rFonts w:hint="eastAsia" w:ascii="Times New Roman" w:hAnsi="Times New Roman" w:cs="Times New Roman"/>
                <w:color w:val="auto"/>
              </w:rPr>
              <w:t>及</w:t>
            </w:r>
            <w:r>
              <w:rPr>
                <w:rFonts w:ascii="Times New Roman" w:hAnsi="Times New Roman" w:cs="Times New Roman"/>
                <w:color w:val="auto"/>
              </w:rPr>
              <w:t>《污水综合排放标准》（GB8978-1996）中的三级标准</w:t>
            </w:r>
            <w:r>
              <w:rPr>
                <w:rFonts w:hint="eastAsia" w:ascii="Times New Roman" w:hAnsi="Times New Roman" w:cs="Times New Roman"/>
                <w:color w:val="auto"/>
              </w:rPr>
              <w:t>。</w:t>
            </w:r>
          </w:p>
          <w:p w14:paraId="39A1DBD8">
            <w:pPr>
              <w:widowControl/>
              <w:jc w:val="center"/>
              <w:rPr>
                <w:b/>
                <w:bCs/>
                <w:color w:val="auto"/>
                <w:kern w:val="21"/>
                <w:sz w:val="24"/>
              </w:rPr>
            </w:pPr>
            <w:r>
              <w:rPr>
                <w:b/>
                <w:bCs/>
                <w:color w:val="auto"/>
                <w:kern w:val="21"/>
                <w:sz w:val="24"/>
              </w:rPr>
              <w:t>表</w:t>
            </w:r>
            <w:r>
              <w:rPr>
                <w:rFonts w:hint="eastAsia"/>
                <w:b/>
                <w:bCs/>
                <w:color w:val="auto"/>
                <w:kern w:val="21"/>
                <w:sz w:val="24"/>
              </w:rPr>
              <w:t>3-</w:t>
            </w:r>
            <w:r>
              <w:rPr>
                <w:rFonts w:hint="eastAsia"/>
                <w:b/>
                <w:bCs/>
                <w:color w:val="auto"/>
                <w:kern w:val="21"/>
                <w:sz w:val="24"/>
                <w:lang w:val="en-US" w:eastAsia="zh-CN"/>
              </w:rPr>
              <w:t>4</w:t>
            </w:r>
            <w:r>
              <w:rPr>
                <w:rFonts w:hint="eastAsia"/>
                <w:b/>
                <w:bCs/>
                <w:color w:val="auto"/>
                <w:kern w:val="21"/>
                <w:sz w:val="24"/>
              </w:rPr>
              <w:t xml:space="preserve">  污水</w:t>
            </w:r>
            <w:r>
              <w:rPr>
                <w:b/>
                <w:bCs/>
                <w:color w:val="auto"/>
                <w:kern w:val="21"/>
                <w:sz w:val="24"/>
              </w:rPr>
              <w:t>排放标准    单位：mg/L</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73"/>
              <w:gridCol w:w="2587"/>
              <w:gridCol w:w="987"/>
              <w:gridCol w:w="1518"/>
              <w:gridCol w:w="999"/>
              <w:gridCol w:w="1243"/>
            </w:tblGrid>
            <w:tr w14:paraId="33A74D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585" w:type="pct"/>
                  <w:tcBorders>
                    <w:tl2br w:val="nil"/>
                    <w:tr2bl w:val="nil"/>
                  </w:tcBorders>
                  <w:noWrap w:val="0"/>
                  <w:vAlign w:val="center"/>
                </w:tcPr>
                <w:p w14:paraId="2BB58E7F">
                  <w:pPr>
                    <w:jc w:val="center"/>
                    <w:rPr>
                      <w:b/>
                      <w:bCs/>
                      <w:color w:val="auto"/>
                    </w:rPr>
                  </w:pPr>
                  <w:r>
                    <w:rPr>
                      <w:b/>
                      <w:bCs/>
                      <w:color w:val="auto"/>
                    </w:rPr>
                    <w:t>排放口</w:t>
                  </w:r>
                </w:p>
                <w:p w14:paraId="72FA335F">
                  <w:pPr>
                    <w:jc w:val="center"/>
                    <w:rPr>
                      <w:b/>
                      <w:bCs/>
                      <w:color w:val="auto"/>
                    </w:rPr>
                  </w:pPr>
                  <w:r>
                    <w:rPr>
                      <w:b/>
                      <w:bCs/>
                      <w:color w:val="auto"/>
                    </w:rPr>
                    <w:t>名称</w:t>
                  </w:r>
                </w:p>
              </w:tc>
              <w:tc>
                <w:tcPr>
                  <w:tcW w:w="1556" w:type="pct"/>
                  <w:tcBorders>
                    <w:tl2br w:val="nil"/>
                    <w:tr2bl w:val="nil"/>
                  </w:tcBorders>
                  <w:noWrap w:val="0"/>
                  <w:vAlign w:val="center"/>
                </w:tcPr>
                <w:p w14:paraId="439F87A8">
                  <w:pPr>
                    <w:jc w:val="center"/>
                    <w:rPr>
                      <w:b/>
                      <w:bCs/>
                      <w:color w:val="auto"/>
                    </w:rPr>
                  </w:pPr>
                  <w:r>
                    <w:rPr>
                      <w:b/>
                      <w:bCs/>
                      <w:color w:val="auto"/>
                    </w:rPr>
                    <w:t>执行标准</w:t>
                  </w:r>
                </w:p>
              </w:tc>
              <w:tc>
                <w:tcPr>
                  <w:tcW w:w="594" w:type="pct"/>
                  <w:tcBorders>
                    <w:tl2br w:val="nil"/>
                    <w:tr2bl w:val="nil"/>
                  </w:tcBorders>
                  <w:noWrap w:val="0"/>
                  <w:vAlign w:val="center"/>
                </w:tcPr>
                <w:p w14:paraId="4D7D4B07">
                  <w:pPr>
                    <w:jc w:val="center"/>
                    <w:rPr>
                      <w:b/>
                      <w:bCs/>
                      <w:color w:val="auto"/>
                    </w:rPr>
                  </w:pPr>
                  <w:r>
                    <w:rPr>
                      <w:b/>
                      <w:bCs/>
                      <w:color w:val="auto"/>
                    </w:rPr>
                    <w:t>类别</w:t>
                  </w:r>
                </w:p>
              </w:tc>
              <w:tc>
                <w:tcPr>
                  <w:tcW w:w="913" w:type="pct"/>
                  <w:tcBorders>
                    <w:tl2br w:val="nil"/>
                    <w:tr2bl w:val="nil"/>
                  </w:tcBorders>
                  <w:noWrap w:val="0"/>
                  <w:vAlign w:val="center"/>
                </w:tcPr>
                <w:p w14:paraId="6EE9D5BD">
                  <w:pPr>
                    <w:jc w:val="center"/>
                    <w:rPr>
                      <w:b/>
                      <w:bCs/>
                      <w:color w:val="auto"/>
                    </w:rPr>
                  </w:pPr>
                  <w:r>
                    <w:rPr>
                      <w:b/>
                      <w:bCs/>
                      <w:color w:val="auto"/>
                    </w:rPr>
                    <w:t>污染物指标</w:t>
                  </w:r>
                </w:p>
              </w:tc>
              <w:tc>
                <w:tcPr>
                  <w:tcW w:w="601" w:type="pct"/>
                  <w:tcBorders>
                    <w:tl2br w:val="nil"/>
                    <w:tr2bl w:val="nil"/>
                  </w:tcBorders>
                  <w:noWrap w:val="0"/>
                  <w:vAlign w:val="center"/>
                </w:tcPr>
                <w:p w14:paraId="67B48CA2">
                  <w:pPr>
                    <w:jc w:val="center"/>
                    <w:rPr>
                      <w:b/>
                      <w:bCs/>
                      <w:color w:val="auto"/>
                    </w:rPr>
                  </w:pPr>
                  <w:r>
                    <w:rPr>
                      <w:b/>
                      <w:bCs/>
                      <w:color w:val="auto"/>
                    </w:rPr>
                    <w:t>单位</w:t>
                  </w:r>
                </w:p>
              </w:tc>
              <w:tc>
                <w:tcPr>
                  <w:tcW w:w="748" w:type="pct"/>
                  <w:tcBorders>
                    <w:tl2br w:val="nil"/>
                    <w:tr2bl w:val="nil"/>
                  </w:tcBorders>
                  <w:noWrap w:val="0"/>
                  <w:vAlign w:val="center"/>
                </w:tcPr>
                <w:p w14:paraId="29EC57C0">
                  <w:pPr>
                    <w:jc w:val="center"/>
                    <w:rPr>
                      <w:b/>
                      <w:bCs/>
                      <w:color w:val="auto"/>
                    </w:rPr>
                  </w:pPr>
                  <w:r>
                    <w:rPr>
                      <w:b/>
                      <w:bCs/>
                      <w:color w:val="auto"/>
                    </w:rPr>
                    <w:t>标准限值</w:t>
                  </w:r>
                </w:p>
              </w:tc>
            </w:tr>
            <w:tr w14:paraId="0FC6D7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585" w:type="pct"/>
                  <w:vMerge w:val="restart"/>
                  <w:tcBorders>
                    <w:tl2br w:val="nil"/>
                    <w:tr2bl w:val="nil"/>
                  </w:tcBorders>
                  <w:noWrap w:val="0"/>
                  <w:vAlign w:val="center"/>
                </w:tcPr>
                <w:p w14:paraId="2CEE3565">
                  <w:pPr>
                    <w:jc w:val="center"/>
                    <w:rPr>
                      <w:color w:val="auto"/>
                    </w:rPr>
                  </w:pPr>
                  <w:r>
                    <w:rPr>
                      <w:color w:val="auto"/>
                    </w:rPr>
                    <w:t>废水排放口</w:t>
                  </w:r>
                </w:p>
              </w:tc>
              <w:tc>
                <w:tcPr>
                  <w:tcW w:w="1556" w:type="pct"/>
                  <w:vMerge w:val="restart"/>
                  <w:tcBorders>
                    <w:tl2br w:val="nil"/>
                    <w:tr2bl w:val="nil"/>
                  </w:tcBorders>
                  <w:noWrap w:val="0"/>
                  <w:vAlign w:val="center"/>
                </w:tcPr>
                <w:p w14:paraId="5DE48708">
                  <w:pPr>
                    <w:jc w:val="center"/>
                    <w:rPr>
                      <w:color w:val="auto"/>
                    </w:rPr>
                  </w:pPr>
                  <w:r>
                    <w:rPr>
                      <w:color w:val="auto"/>
                    </w:rPr>
                    <w:t>《污水综合排放标准》（GB8978-1996）</w:t>
                  </w:r>
                </w:p>
              </w:tc>
              <w:tc>
                <w:tcPr>
                  <w:tcW w:w="594" w:type="pct"/>
                  <w:vMerge w:val="restart"/>
                  <w:tcBorders>
                    <w:tl2br w:val="nil"/>
                    <w:tr2bl w:val="nil"/>
                  </w:tcBorders>
                  <w:noWrap w:val="0"/>
                  <w:vAlign w:val="center"/>
                </w:tcPr>
                <w:p w14:paraId="00A75825">
                  <w:pPr>
                    <w:jc w:val="center"/>
                    <w:rPr>
                      <w:color w:val="auto"/>
                    </w:rPr>
                  </w:pPr>
                  <w:r>
                    <w:rPr>
                      <w:color w:val="auto"/>
                    </w:rPr>
                    <w:t>表4三级标准</w:t>
                  </w:r>
                </w:p>
              </w:tc>
              <w:tc>
                <w:tcPr>
                  <w:tcW w:w="913" w:type="pct"/>
                  <w:tcBorders>
                    <w:tl2br w:val="nil"/>
                    <w:tr2bl w:val="nil"/>
                  </w:tcBorders>
                  <w:noWrap w:val="0"/>
                  <w:vAlign w:val="center"/>
                </w:tcPr>
                <w:p w14:paraId="1EF5FF41">
                  <w:pPr>
                    <w:jc w:val="center"/>
                    <w:rPr>
                      <w:color w:val="auto"/>
                    </w:rPr>
                  </w:pPr>
                  <w:r>
                    <w:rPr>
                      <w:color w:val="auto"/>
                    </w:rPr>
                    <w:t>pH</w:t>
                  </w:r>
                </w:p>
              </w:tc>
              <w:tc>
                <w:tcPr>
                  <w:tcW w:w="601" w:type="pct"/>
                  <w:tcBorders>
                    <w:tl2br w:val="nil"/>
                    <w:tr2bl w:val="nil"/>
                  </w:tcBorders>
                  <w:noWrap w:val="0"/>
                  <w:vAlign w:val="center"/>
                </w:tcPr>
                <w:p w14:paraId="27BBF5A7">
                  <w:pPr>
                    <w:jc w:val="center"/>
                    <w:rPr>
                      <w:color w:val="auto"/>
                    </w:rPr>
                  </w:pPr>
                  <w:r>
                    <w:rPr>
                      <w:color w:val="auto"/>
                    </w:rPr>
                    <w:t>无量纲</w:t>
                  </w:r>
                </w:p>
              </w:tc>
              <w:tc>
                <w:tcPr>
                  <w:tcW w:w="748" w:type="pct"/>
                  <w:tcBorders>
                    <w:tl2br w:val="nil"/>
                    <w:tr2bl w:val="nil"/>
                  </w:tcBorders>
                  <w:noWrap w:val="0"/>
                  <w:vAlign w:val="center"/>
                </w:tcPr>
                <w:p w14:paraId="446293E0">
                  <w:pPr>
                    <w:jc w:val="center"/>
                    <w:rPr>
                      <w:color w:val="auto"/>
                    </w:rPr>
                  </w:pPr>
                  <w:r>
                    <w:rPr>
                      <w:color w:val="auto"/>
                    </w:rPr>
                    <w:t>6-9</w:t>
                  </w:r>
                </w:p>
              </w:tc>
            </w:tr>
            <w:tr w14:paraId="07F64B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585" w:type="pct"/>
                  <w:vMerge w:val="continue"/>
                  <w:tcBorders>
                    <w:tl2br w:val="nil"/>
                    <w:tr2bl w:val="nil"/>
                  </w:tcBorders>
                  <w:noWrap w:val="0"/>
                  <w:vAlign w:val="center"/>
                </w:tcPr>
                <w:p w14:paraId="570FDF0D">
                  <w:pPr>
                    <w:jc w:val="center"/>
                    <w:rPr>
                      <w:color w:val="auto"/>
                    </w:rPr>
                  </w:pPr>
                </w:p>
              </w:tc>
              <w:tc>
                <w:tcPr>
                  <w:tcW w:w="1556" w:type="pct"/>
                  <w:vMerge w:val="continue"/>
                  <w:tcBorders>
                    <w:tl2br w:val="nil"/>
                    <w:tr2bl w:val="nil"/>
                  </w:tcBorders>
                  <w:noWrap w:val="0"/>
                  <w:vAlign w:val="center"/>
                </w:tcPr>
                <w:p w14:paraId="4882FBA8">
                  <w:pPr>
                    <w:jc w:val="center"/>
                    <w:rPr>
                      <w:color w:val="auto"/>
                    </w:rPr>
                  </w:pPr>
                </w:p>
              </w:tc>
              <w:tc>
                <w:tcPr>
                  <w:tcW w:w="594" w:type="pct"/>
                  <w:vMerge w:val="continue"/>
                  <w:tcBorders>
                    <w:tl2br w:val="nil"/>
                    <w:tr2bl w:val="nil"/>
                  </w:tcBorders>
                  <w:noWrap w:val="0"/>
                  <w:vAlign w:val="center"/>
                </w:tcPr>
                <w:p w14:paraId="7C56C257">
                  <w:pPr>
                    <w:jc w:val="center"/>
                    <w:rPr>
                      <w:color w:val="auto"/>
                    </w:rPr>
                  </w:pPr>
                </w:p>
              </w:tc>
              <w:tc>
                <w:tcPr>
                  <w:tcW w:w="913" w:type="pct"/>
                  <w:tcBorders>
                    <w:tl2br w:val="nil"/>
                    <w:tr2bl w:val="nil"/>
                  </w:tcBorders>
                  <w:noWrap w:val="0"/>
                  <w:vAlign w:val="center"/>
                </w:tcPr>
                <w:p w14:paraId="3D460A46">
                  <w:pPr>
                    <w:jc w:val="center"/>
                    <w:rPr>
                      <w:color w:val="auto"/>
                    </w:rPr>
                  </w:pPr>
                  <w:r>
                    <w:rPr>
                      <w:color w:val="auto"/>
                    </w:rPr>
                    <w:t>COD</w:t>
                  </w:r>
                </w:p>
              </w:tc>
              <w:tc>
                <w:tcPr>
                  <w:tcW w:w="601" w:type="pct"/>
                  <w:vMerge w:val="restart"/>
                  <w:tcBorders>
                    <w:tl2br w:val="nil"/>
                    <w:tr2bl w:val="nil"/>
                  </w:tcBorders>
                  <w:noWrap w:val="0"/>
                  <w:vAlign w:val="center"/>
                </w:tcPr>
                <w:p w14:paraId="7FD503D9">
                  <w:pPr>
                    <w:jc w:val="center"/>
                    <w:rPr>
                      <w:color w:val="auto"/>
                    </w:rPr>
                  </w:pPr>
                  <w:r>
                    <w:rPr>
                      <w:color w:val="auto"/>
                    </w:rPr>
                    <w:t>mg/L</w:t>
                  </w:r>
                </w:p>
              </w:tc>
              <w:tc>
                <w:tcPr>
                  <w:tcW w:w="748" w:type="pct"/>
                  <w:tcBorders>
                    <w:tl2br w:val="nil"/>
                    <w:tr2bl w:val="nil"/>
                  </w:tcBorders>
                  <w:noWrap w:val="0"/>
                  <w:vAlign w:val="center"/>
                </w:tcPr>
                <w:p w14:paraId="356B1BF2">
                  <w:pPr>
                    <w:jc w:val="center"/>
                    <w:rPr>
                      <w:color w:val="auto"/>
                    </w:rPr>
                  </w:pPr>
                  <w:r>
                    <w:rPr>
                      <w:color w:val="auto"/>
                    </w:rPr>
                    <w:t>500</w:t>
                  </w:r>
                </w:p>
              </w:tc>
            </w:tr>
            <w:tr w14:paraId="3A49F9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585" w:type="pct"/>
                  <w:vMerge w:val="continue"/>
                  <w:tcBorders>
                    <w:tl2br w:val="nil"/>
                    <w:tr2bl w:val="nil"/>
                  </w:tcBorders>
                  <w:noWrap w:val="0"/>
                  <w:vAlign w:val="center"/>
                </w:tcPr>
                <w:p w14:paraId="1954035A">
                  <w:pPr>
                    <w:jc w:val="center"/>
                    <w:rPr>
                      <w:color w:val="auto"/>
                    </w:rPr>
                  </w:pPr>
                </w:p>
              </w:tc>
              <w:tc>
                <w:tcPr>
                  <w:tcW w:w="1556" w:type="pct"/>
                  <w:vMerge w:val="continue"/>
                  <w:tcBorders>
                    <w:tl2br w:val="nil"/>
                    <w:tr2bl w:val="nil"/>
                  </w:tcBorders>
                  <w:noWrap w:val="0"/>
                  <w:vAlign w:val="center"/>
                </w:tcPr>
                <w:p w14:paraId="2FC742C1">
                  <w:pPr>
                    <w:jc w:val="center"/>
                    <w:rPr>
                      <w:color w:val="auto"/>
                    </w:rPr>
                  </w:pPr>
                </w:p>
              </w:tc>
              <w:tc>
                <w:tcPr>
                  <w:tcW w:w="594" w:type="pct"/>
                  <w:vMerge w:val="continue"/>
                  <w:tcBorders>
                    <w:tl2br w:val="nil"/>
                    <w:tr2bl w:val="nil"/>
                  </w:tcBorders>
                  <w:noWrap w:val="0"/>
                  <w:vAlign w:val="center"/>
                </w:tcPr>
                <w:p w14:paraId="4E5584C2">
                  <w:pPr>
                    <w:jc w:val="center"/>
                    <w:rPr>
                      <w:color w:val="auto"/>
                    </w:rPr>
                  </w:pPr>
                </w:p>
              </w:tc>
              <w:tc>
                <w:tcPr>
                  <w:tcW w:w="913" w:type="pct"/>
                  <w:tcBorders>
                    <w:tl2br w:val="nil"/>
                    <w:tr2bl w:val="nil"/>
                  </w:tcBorders>
                  <w:noWrap w:val="0"/>
                  <w:vAlign w:val="center"/>
                </w:tcPr>
                <w:p w14:paraId="4C87873D">
                  <w:pPr>
                    <w:jc w:val="center"/>
                    <w:rPr>
                      <w:color w:val="auto"/>
                    </w:rPr>
                  </w:pPr>
                  <w:r>
                    <w:rPr>
                      <w:color w:val="auto"/>
                    </w:rPr>
                    <w:t>SS</w:t>
                  </w:r>
                </w:p>
              </w:tc>
              <w:tc>
                <w:tcPr>
                  <w:tcW w:w="601" w:type="pct"/>
                  <w:vMerge w:val="continue"/>
                  <w:tcBorders>
                    <w:tl2br w:val="nil"/>
                    <w:tr2bl w:val="nil"/>
                  </w:tcBorders>
                  <w:noWrap w:val="0"/>
                  <w:vAlign w:val="center"/>
                </w:tcPr>
                <w:p w14:paraId="078028A4">
                  <w:pPr>
                    <w:jc w:val="center"/>
                    <w:rPr>
                      <w:color w:val="auto"/>
                    </w:rPr>
                  </w:pPr>
                </w:p>
              </w:tc>
              <w:tc>
                <w:tcPr>
                  <w:tcW w:w="748" w:type="pct"/>
                  <w:tcBorders>
                    <w:tl2br w:val="nil"/>
                    <w:tr2bl w:val="nil"/>
                  </w:tcBorders>
                  <w:noWrap w:val="0"/>
                  <w:vAlign w:val="center"/>
                </w:tcPr>
                <w:p w14:paraId="4815BBAC">
                  <w:pPr>
                    <w:jc w:val="center"/>
                    <w:rPr>
                      <w:color w:val="auto"/>
                    </w:rPr>
                  </w:pPr>
                  <w:r>
                    <w:rPr>
                      <w:color w:val="auto"/>
                    </w:rPr>
                    <w:t>400</w:t>
                  </w:r>
                </w:p>
              </w:tc>
            </w:tr>
            <w:tr w14:paraId="02984D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585" w:type="pct"/>
                  <w:vMerge w:val="continue"/>
                  <w:tcBorders>
                    <w:tl2br w:val="nil"/>
                    <w:tr2bl w:val="nil"/>
                  </w:tcBorders>
                  <w:noWrap w:val="0"/>
                  <w:vAlign w:val="center"/>
                </w:tcPr>
                <w:p w14:paraId="74455EC5">
                  <w:pPr>
                    <w:jc w:val="center"/>
                    <w:rPr>
                      <w:color w:val="auto"/>
                    </w:rPr>
                  </w:pPr>
                </w:p>
              </w:tc>
              <w:tc>
                <w:tcPr>
                  <w:tcW w:w="1556" w:type="pct"/>
                  <w:vMerge w:val="continue"/>
                  <w:tcBorders>
                    <w:tl2br w:val="nil"/>
                    <w:tr2bl w:val="nil"/>
                  </w:tcBorders>
                  <w:noWrap w:val="0"/>
                  <w:vAlign w:val="center"/>
                </w:tcPr>
                <w:p w14:paraId="4D08A95A">
                  <w:pPr>
                    <w:jc w:val="center"/>
                    <w:rPr>
                      <w:color w:val="auto"/>
                    </w:rPr>
                  </w:pPr>
                </w:p>
              </w:tc>
              <w:tc>
                <w:tcPr>
                  <w:tcW w:w="594" w:type="pct"/>
                  <w:vMerge w:val="continue"/>
                  <w:tcBorders>
                    <w:tl2br w:val="nil"/>
                    <w:tr2bl w:val="nil"/>
                  </w:tcBorders>
                  <w:noWrap w:val="0"/>
                  <w:vAlign w:val="center"/>
                </w:tcPr>
                <w:p w14:paraId="100EB699">
                  <w:pPr>
                    <w:jc w:val="center"/>
                    <w:rPr>
                      <w:color w:val="auto"/>
                    </w:rPr>
                  </w:pPr>
                </w:p>
              </w:tc>
              <w:tc>
                <w:tcPr>
                  <w:tcW w:w="913" w:type="pct"/>
                  <w:tcBorders>
                    <w:tl2br w:val="nil"/>
                    <w:tr2bl w:val="nil"/>
                  </w:tcBorders>
                  <w:noWrap w:val="0"/>
                  <w:vAlign w:val="center"/>
                </w:tcPr>
                <w:p w14:paraId="2E5FE33B">
                  <w:pPr>
                    <w:jc w:val="center"/>
                    <w:rPr>
                      <w:color w:val="auto"/>
                    </w:rPr>
                  </w:pPr>
                  <w:r>
                    <w:rPr>
                      <w:color w:val="auto"/>
                    </w:rPr>
                    <w:t>BOD</w:t>
                  </w:r>
                  <w:r>
                    <w:rPr>
                      <w:color w:val="auto"/>
                      <w:vertAlign w:val="subscript"/>
                    </w:rPr>
                    <w:t>5</w:t>
                  </w:r>
                </w:p>
              </w:tc>
              <w:tc>
                <w:tcPr>
                  <w:tcW w:w="601" w:type="pct"/>
                  <w:vMerge w:val="continue"/>
                  <w:tcBorders>
                    <w:tl2br w:val="nil"/>
                    <w:tr2bl w:val="nil"/>
                  </w:tcBorders>
                  <w:noWrap w:val="0"/>
                  <w:vAlign w:val="center"/>
                </w:tcPr>
                <w:p w14:paraId="48E0A337">
                  <w:pPr>
                    <w:jc w:val="center"/>
                    <w:rPr>
                      <w:color w:val="auto"/>
                    </w:rPr>
                  </w:pPr>
                </w:p>
              </w:tc>
              <w:tc>
                <w:tcPr>
                  <w:tcW w:w="748" w:type="pct"/>
                  <w:tcBorders>
                    <w:tl2br w:val="nil"/>
                    <w:tr2bl w:val="nil"/>
                  </w:tcBorders>
                  <w:noWrap w:val="0"/>
                  <w:vAlign w:val="center"/>
                </w:tcPr>
                <w:p w14:paraId="199DB831">
                  <w:pPr>
                    <w:jc w:val="center"/>
                    <w:rPr>
                      <w:color w:val="auto"/>
                    </w:rPr>
                  </w:pPr>
                  <w:r>
                    <w:rPr>
                      <w:color w:val="auto"/>
                    </w:rPr>
                    <w:t>300</w:t>
                  </w:r>
                </w:p>
              </w:tc>
            </w:tr>
            <w:tr w14:paraId="0A872C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85" w:type="pct"/>
                  <w:vMerge w:val="continue"/>
                  <w:tcBorders>
                    <w:tl2br w:val="nil"/>
                    <w:tr2bl w:val="nil"/>
                  </w:tcBorders>
                  <w:noWrap w:val="0"/>
                  <w:vAlign w:val="center"/>
                </w:tcPr>
                <w:p w14:paraId="5DDF7FA9">
                  <w:pPr>
                    <w:jc w:val="center"/>
                    <w:rPr>
                      <w:color w:val="auto"/>
                    </w:rPr>
                  </w:pPr>
                </w:p>
              </w:tc>
              <w:tc>
                <w:tcPr>
                  <w:tcW w:w="1556" w:type="pct"/>
                  <w:vMerge w:val="restart"/>
                  <w:tcBorders>
                    <w:tl2br w:val="nil"/>
                    <w:tr2bl w:val="nil"/>
                  </w:tcBorders>
                  <w:noWrap w:val="0"/>
                  <w:vAlign w:val="center"/>
                </w:tcPr>
                <w:p w14:paraId="3D69BB0D">
                  <w:pPr>
                    <w:jc w:val="center"/>
                    <w:rPr>
                      <w:color w:val="auto"/>
                    </w:rPr>
                  </w:pPr>
                  <w:r>
                    <w:rPr>
                      <w:color w:val="auto"/>
                    </w:rPr>
                    <w:t>《污水排入城镇下水道水质标准》（GB/T 31962-2015）</w:t>
                  </w:r>
                </w:p>
              </w:tc>
              <w:tc>
                <w:tcPr>
                  <w:tcW w:w="594" w:type="pct"/>
                  <w:vMerge w:val="restart"/>
                  <w:tcBorders>
                    <w:tl2br w:val="nil"/>
                    <w:tr2bl w:val="nil"/>
                  </w:tcBorders>
                  <w:noWrap w:val="0"/>
                  <w:vAlign w:val="center"/>
                </w:tcPr>
                <w:p w14:paraId="585E988F">
                  <w:pPr>
                    <w:jc w:val="center"/>
                    <w:rPr>
                      <w:color w:val="auto"/>
                    </w:rPr>
                  </w:pPr>
                  <w:r>
                    <w:rPr>
                      <w:color w:val="auto"/>
                    </w:rPr>
                    <w:t>表</w:t>
                  </w:r>
                  <w:r>
                    <w:rPr>
                      <w:rFonts w:hint="eastAsia"/>
                      <w:color w:val="auto"/>
                      <w:lang w:eastAsia="zh-CN"/>
                    </w:rPr>
                    <w:t>1B</w:t>
                  </w:r>
                  <w:r>
                    <w:rPr>
                      <w:color w:val="auto"/>
                    </w:rPr>
                    <w:t>级标准</w:t>
                  </w:r>
                </w:p>
              </w:tc>
              <w:tc>
                <w:tcPr>
                  <w:tcW w:w="913" w:type="pct"/>
                  <w:tcBorders>
                    <w:tl2br w:val="nil"/>
                    <w:tr2bl w:val="nil"/>
                  </w:tcBorders>
                  <w:noWrap w:val="0"/>
                  <w:vAlign w:val="center"/>
                </w:tcPr>
                <w:p w14:paraId="7F08E520">
                  <w:pPr>
                    <w:jc w:val="center"/>
                    <w:rPr>
                      <w:color w:val="auto"/>
                    </w:rPr>
                  </w:pPr>
                  <w:r>
                    <w:rPr>
                      <w:color w:val="auto"/>
                    </w:rPr>
                    <w:t>氨氮</w:t>
                  </w:r>
                </w:p>
              </w:tc>
              <w:tc>
                <w:tcPr>
                  <w:tcW w:w="601" w:type="pct"/>
                  <w:vMerge w:val="continue"/>
                  <w:tcBorders>
                    <w:tl2br w:val="nil"/>
                    <w:tr2bl w:val="nil"/>
                  </w:tcBorders>
                  <w:noWrap w:val="0"/>
                  <w:vAlign w:val="center"/>
                </w:tcPr>
                <w:p w14:paraId="0C1486DD">
                  <w:pPr>
                    <w:jc w:val="center"/>
                    <w:rPr>
                      <w:color w:val="auto"/>
                    </w:rPr>
                  </w:pPr>
                </w:p>
              </w:tc>
              <w:tc>
                <w:tcPr>
                  <w:tcW w:w="748" w:type="pct"/>
                  <w:tcBorders>
                    <w:tl2br w:val="nil"/>
                    <w:tr2bl w:val="nil"/>
                  </w:tcBorders>
                  <w:noWrap w:val="0"/>
                  <w:vAlign w:val="center"/>
                </w:tcPr>
                <w:p w14:paraId="25B5D185">
                  <w:pPr>
                    <w:jc w:val="center"/>
                    <w:rPr>
                      <w:color w:val="auto"/>
                    </w:rPr>
                  </w:pPr>
                  <w:r>
                    <w:rPr>
                      <w:color w:val="auto"/>
                    </w:rPr>
                    <w:t>45</w:t>
                  </w:r>
                </w:p>
              </w:tc>
            </w:tr>
            <w:tr w14:paraId="7004D7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85" w:type="pct"/>
                  <w:vMerge w:val="continue"/>
                  <w:tcBorders>
                    <w:tl2br w:val="nil"/>
                    <w:tr2bl w:val="nil"/>
                  </w:tcBorders>
                  <w:noWrap w:val="0"/>
                  <w:vAlign w:val="center"/>
                </w:tcPr>
                <w:p w14:paraId="1D5E6B75">
                  <w:pPr>
                    <w:jc w:val="center"/>
                    <w:rPr>
                      <w:color w:val="auto"/>
                    </w:rPr>
                  </w:pPr>
                </w:p>
              </w:tc>
              <w:tc>
                <w:tcPr>
                  <w:tcW w:w="1556" w:type="pct"/>
                  <w:vMerge w:val="continue"/>
                  <w:tcBorders>
                    <w:tl2br w:val="nil"/>
                    <w:tr2bl w:val="nil"/>
                  </w:tcBorders>
                  <w:noWrap w:val="0"/>
                  <w:vAlign w:val="center"/>
                </w:tcPr>
                <w:p w14:paraId="77D2CAF3">
                  <w:pPr>
                    <w:jc w:val="center"/>
                    <w:rPr>
                      <w:color w:val="auto"/>
                    </w:rPr>
                  </w:pPr>
                </w:p>
              </w:tc>
              <w:tc>
                <w:tcPr>
                  <w:tcW w:w="594" w:type="pct"/>
                  <w:vMerge w:val="continue"/>
                  <w:tcBorders>
                    <w:tl2br w:val="nil"/>
                    <w:tr2bl w:val="nil"/>
                  </w:tcBorders>
                  <w:noWrap w:val="0"/>
                  <w:vAlign w:val="center"/>
                </w:tcPr>
                <w:p w14:paraId="63042E8F">
                  <w:pPr>
                    <w:jc w:val="center"/>
                    <w:rPr>
                      <w:color w:val="auto"/>
                    </w:rPr>
                  </w:pPr>
                </w:p>
              </w:tc>
              <w:tc>
                <w:tcPr>
                  <w:tcW w:w="913" w:type="pct"/>
                  <w:tcBorders>
                    <w:tl2br w:val="nil"/>
                    <w:tr2bl w:val="nil"/>
                  </w:tcBorders>
                  <w:noWrap w:val="0"/>
                  <w:vAlign w:val="center"/>
                </w:tcPr>
                <w:p w14:paraId="00DA4AF2">
                  <w:pPr>
                    <w:pStyle w:val="68"/>
                    <w:rPr>
                      <w:color w:val="auto"/>
                      <w:szCs w:val="21"/>
                    </w:rPr>
                  </w:pPr>
                  <w:r>
                    <w:rPr>
                      <w:rFonts w:hint="eastAsia"/>
                      <w:color w:val="auto"/>
                      <w:szCs w:val="21"/>
                    </w:rPr>
                    <w:t>TN</w:t>
                  </w:r>
                </w:p>
              </w:tc>
              <w:tc>
                <w:tcPr>
                  <w:tcW w:w="601" w:type="pct"/>
                  <w:vMerge w:val="continue"/>
                  <w:tcBorders>
                    <w:tl2br w:val="nil"/>
                    <w:tr2bl w:val="nil"/>
                  </w:tcBorders>
                  <w:noWrap w:val="0"/>
                  <w:vAlign w:val="center"/>
                </w:tcPr>
                <w:p w14:paraId="29A01982">
                  <w:pPr>
                    <w:jc w:val="center"/>
                    <w:rPr>
                      <w:color w:val="auto"/>
                    </w:rPr>
                  </w:pPr>
                </w:p>
              </w:tc>
              <w:tc>
                <w:tcPr>
                  <w:tcW w:w="748" w:type="pct"/>
                  <w:tcBorders>
                    <w:tl2br w:val="nil"/>
                    <w:tr2bl w:val="nil"/>
                  </w:tcBorders>
                  <w:noWrap w:val="0"/>
                  <w:vAlign w:val="center"/>
                </w:tcPr>
                <w:p w14:paraId="0885F5C3">
                  <w:pPr>
                    <w:pStyle w:val="68"/>
                    <w:rPr>
                      <w:color w:val="auto"/>
                    </w:rPr>
                  </w:pPr>
                  <w:r>
                    <w:rPr>
                      <w:rFonts w:hint="eastAsia"/>
                      <w:color w:val="auto"/>
                    </w:rPr>
                    <w:t>70</w:t>
                  </w:r>
                </w:p>
              </w:tc>
            </w:tr>
            <w:tr w14:paraId="7C5A04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85" w:type="pct"/>
                  <w:vMerge w:val="continue"/>
                  <w:tcBorders>
                    <w:tl2br w:val="nil"/>
                    <w:tr2bl w:val="nil"/>
                  </w:tcBorders>
                  <w:noWrap w:val="0"/>
                  <w:vAlign w:val="center"/>
                </w:tcPr>
                <w:p w14:paraId="05AEDE84">
                  <w:pPr>
                    <w:jc w:val="center"/>
                    <w:rPr>
                      <w:color w:val="auto"/>
                    </w:rPr>
                  </w:pPr>
                </w:p>
              </w:tc>
              <w:tc>
                <w:tcPr>
                  <w:tcW w:w="1556" w:type="pct"/>
                  <w:vMerge w:val="continue"/>
                  <w:tcBorders>
                    <w:tl2br w:val="nil"/>
                    <w:tr2bl w:val="nil"/>
                  </w:tcBorders>
                  <w:noWrap w:val="0"/>
                  <w:vAlign w:val="center"/>
                </w:tcPr>
                <w:p w14:paraId="3EC399FF">
                  <w:pPr>
                    <w:jc w:val="center"/>
                    <w:rPr>
                      <w:color w:val="auto"/>
                    </w:rPr>
                  </w:pPr>
                </w:p>
              </w:tc>
              <w:tc>
                <w:tcPr>
                  <w:tcW w:w="594" w:type="pct"/>
                  <w:vMerge w:val="continue"/>
                  <w:tcBorders>
                    <w:tl2br w:val="nil"/>
                    <w:tr2bl w:val="nil"/>
                  </w:tcBorders>
                  <w:noWrap w:val="0"/>
                  <w:vAlign w:val="center"/>
                </w:tcPr>
                <w:p w14:paraId="5A48C21C">
                  <w:pPr>
                    <w:jc w:val="center"/>
                    <w:rPr>
                      <w:color w:val="auto"/>
                    </w:rPr>
                  </w:pPr>
                </w:p>
              </w:tc>
              <w:tc>
                <w:tcPr>
                  <w:tcW w:w="913" w:type="pct"/>
                  <w:tcBorders>
                    <w:tl2br w:val="nil"/>
                    <w:tr2bl w:val="nil"/>
                  </w:tcBorders>
                  <w:noWrap w:val="0"/>
                  <w:vAlign w:val="center"/>
                </w:tcPr>
                <w:p w14:paraId="5E213449">
                  <w:pPr>
                    <w:pStyle w:val="68"/>
                    <w:rPr>
                      <w:color w:val="auto"/>
                      <w:szCs w:val="21"/>
                    </w:rPr>
                  </w:pPr>
                  <w:r>
                    <w:rPr>
                      <w:rFonts w:hint="eastAsia"/>
                      <w:color w:val="auto"/>
                      <w:szCs w:val="21"/>
                    </w:rPr>
                    <w:t>TP</w:t>
                  </w:r>
                </w:p>
              </w:tc>
              <w:tc>
                <w:tcPr>
                  <w:tcW w:w="601" w:type="pct"/>
                  <w:vMerge w:val="continue"/>
                  <w:tcBorders>
                    <w:tl2br w:val="nil"/>
                    <w:tr2bl w:val="nil"/>
                  </w:tcBorders>
                  <w:noWrap w:val="0"/>
                  <w:vAlign w:val="center"/>
                </w:tcPr>
                <w:p w14:paraId="214688E5">
                  <w:pPr>
                    <w:jc w:val="center"/>
                    <w:rPr>
                      <w:color w:val="auto"/>
                    </w:rPr>
                  </w:pPr>
                </w:p>
              </w:tc>
              <w:tc>
                <w:tcPr>
                  <w:tcW w:w="748" w:type="pct"/>
                  <w:tcBorders>
                    <w:tl2br w:val="nil"/>
                    <w:tr2bl w:val="nil"/>
                  </w:tcBorders>
                  <w:noWrap w:val="0"/>
                  <w:vAlign w:val="center"/>
                </w:tcPr>
                <w:p w14:paraId="170761B7">
                  <w:pPr>
                    <w:pStyle w:val="68"/>
                    <w:rPr>
                      <w:color w:val="auto"/>
                    </w:rPr>
                  </w:pPr>
                  <w:r>
                    <w:rPr>
                      <w:rFonts w:hint="eastAsia"/>
                      <w:color w:val="auto"/>
                    </w:rPr>
                    <w:t>8</w:t>
                  </w:r>
                </w:p>
              </w:tc>
            </w:tr>
          </w:tbl>
          <w:p w14:paraId="4A729F27">
            <w:pPr>
              <w:numPr>
                <w:ilvl w:val="0"/>
                <w:numId w:val="8"/>
              </w:numPr>
              <w:spacing w:line="360" w:lineRule="auto"/>
              <w:ind w:left="0" w:leftChars="0" w:firstLine="0" w:firstLineChars="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噪声</w:t>
            </w:r>
          </w:p>
          <w:p w14:paraId="6A83C619">
            <w:pPr>
              <w:spacing w:line="360" w:lineRule="auto"/>
              <w:ind w:firstLine="480" w:firstLineChars="200"/>
              <w:rPr>
                <w:color w:val="auto"/>
                <w:sz w:val="24"/>
              </w:rPr>
            </w:pPr>
            <w:bookmarkStart w:id="18" w:name="_Toc1711"/>
            <w:r>
              <w:rPr>
                <w:color w:val="auto"/>
                <w:sz w:val="24"/>
              </w:rPr>
              <w:t>施工期噪声执行《建筑施工场界环境噪声排放标准》（GB 12523</w:t>
            </w:r>
            <w:r>
              <w:rPr>
                <w:rFonts w:hint="eastAsia"/>
                <w:color w:val="auto"/>
                <w:sz w:val="24"/>
              </w:rPr>
              <w:t>-</w:t>
            </w:r>
            <w:r>
              <w:rPr>
                <w:color w:val="auto"/>
                <w:sz w:val="24"/>
              </w:rPr>
              <w:t>2025）中的相关要求；</w:t>
            </w:r>
            <w:r>
              <w:rPr>
                <w:rFonts w:hint="eastAsia"/>
                <w:color w:val="auto"/>
                <w:sz w:val="24"/>
                <w:highlight w:val="none"/>
                <w:lang w:eastAsia="zh-CN"/>
              </w:rPr>
              <w:t>根据</w:t>
            </w:r>
            <w:r>
              <w:rPr>
                <w:rFonts w:hint="eastAsia"/>
                <w:color w:val="auto"/>
                <w:sz w:val="24"/>
                <w:highlight w:val="none"/>
                <w:lang w:val="en-US" w:eastAsia="zh-CN"/>
              </w:rPr>
              <w:t>《西安市声环境功能区划方案（2025年修订）》（市政办函〔2025〕67号）</w:t>
            </w:r>
            <w:r>
              <w:rPr>
                <w:rFonts w:hint="eastAsia"/>
                <w:color w:val="auto"/>
                <w:sz w:val="24"/>
                <w:highlight w:val="none"/>
                <w:lang w:eastAsia="zh-CN"/>
              </w:rPr>
              <w:t>，本项目所在地为3类声环境功能区，项目运营期厂界噪声排放执行《工业企业厂界环境噪声排放标准》（GB12348-2008）3类标准限值</w:t>
            </w:r>
            <w:r>
              <w:rPr>
                <w:color w:val="auto"/>
                <w:sz w:val="24"/>
              </w:rPr>
              <w:t>。</w:t>
            </w:r>
          </w:p>
          <w:p w14:paraId="5293BF64">
            <w:pPr>
              <w:pStyle w:val="8"/>
              <w:jc w:val="center"/>
              <w:rPr>
                <w:rFonts w:ascii="Times New Roman" w:hAnsi="Times New Roman" w:eastAsia="宋体"/>
                <w:b/>
                <w:color w:val="auto"/>
                <w:sz w:val="24"/>
              </w:rPr>
            </w:pPr>
            <w:r>
              <w:rPr>
                <w:rFonts w:ascii="Times New Roman" w:hAnsi="Times New Roman" w:eastAsia="宋体"/>
                <w:b/>
                <w:color w:val="auto"/>
                <w:sz w:val="24"/>
              </w:rPr>
              <w:t>表3-</w:t>
            </w:r>
            <w:r>
              <w:rPr>
                <w:rFonts w:hint="eastAsia" w:ascii="Times New Roman" w:hAnsi="Times New Roman" w:eastAsia="宋体"/>
                <w:b/>
                <w:color w:val="auto"/>
                <w:sz w:val="24"/>
                <w:lang w:val="en-US" w:eastAsia="zh-CN"/>
              </w:rPr>
              <w:t xml:space="preserve">5  </w:t>
            </w:r>
            <w:r>
              <w:rPr>
                <w:rFonts w:ascii="Times New Roman" w:hAnsi="Times New Roman" w:eastAsia="宋体"/>
                <w:b/>
                <w:color w:val="auto"/>
                <w:sz w:val="24"/>
              </w:rPr>
              <w:t>噪声排放标准</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10"/>
              <w:gridCol w:w="1391"/>
              <w:gridCol w:w="1359"/>
              <w:gridCol w:w="1343"/>
              <w:gridCol w:w="2704"/>
            </w:tblGrid>
            <w:tr w14:paraId="41A061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09" w:type="pct"/>
                  <w:vMerge w:val="restart"/>
                  <w:tcBorders>
                    <w:tl2br w:val="nil"/>
                    <w:tr2bl w:val="nil"/>
                  </w:tcBorders>
                  <w:noWrap w:val="0"/>
                  <w:tcMar>
                    <w:top w:w="0" w:type="dxa"/>
                    <w:left w:w="57" w:type="dxa"/>
                    <w:bottom w:w="0" w:type="dxa"/>
                    <w:right w:w="57" w:type="dxa"/>
                  </w:tcMar>
                  <w:vAlign w:val="center"/>
                </w:tcPr>
                <w:p w14:paraId="1F05471F">
                  <w:pPr>
                    <w:adjustRightInd w:val="0"/>
                    <w:snapToGrid w:val="0"/>
                    <w:jc w:val="center"/>
                    <w:rPr>
                      <w:b/>
                      <w:color w:val="auto"/>
                      <w:kern w:val="0"/>
                      <w:szCs w:val="21"/>
                    </w:rPr>
                  </w:pPr>
                  <w:r>
                    <w:rPr>
                      <w:b/>
                      <w:color w:val="auto"/>
                      <w:kern w:val="0"/>
                      <w:szCs w:val="21"/>
                    </w:rPr>
                    <w:t>项目阶段</w:t>
                  </w:r>
                </w:p>
              </w:tc>
              <w:tc>
                <w:tcPr>
                  <w:tcW w:w="837" w:type="pct"/>
                  <w:vMerge w:val="restart"/>
                  <w:tcBorders>
                    <w:tl2br w:val="nil"/>
                    <w:tr2bl w:val="nil"/>
                  </w:tcBorders>
                  <w:noWrap w:val="0"/>
                  <w:vAlign w:val="center"/>
                </w:tcPr>
                <w:p w14:paraId="1E9D118C">
                  <w:pPr>
                    <w:adjustRightInd w:val="0"/>
                    <w:snapToGrid w:val="0"/>
                    <w:jc w:val="center"/>
                    <w:rPr>
                      <w:b/>
                      <w:color w:val="auto"/>
                      <w:kern w:val="0"/>
                      <w:szCs w:val="21"/>
                    </w:rPr>
                  </w:pPr>
                  <w:r>
                    <w:rPr>
                      <w:b/>
                      <w:color w:val="auto"/>
                      <w:kern w:val="0"/>
                      <w:szCs w:val="21"/>
                    </w:rPr>
                    <w:t>功能类别</w:t>
                  </w:r>
                </w:p>
              </w:tc>
              <w:tc>
                <w:tcPr>
                  <w:tcW w:w="1626" w:type="pct"/>
                  <w:gridSpan w:val="2"/>
                  <w:tcBorders>
                    <w:tl2br w:val="nil"/>
                    <w:tr2bl w:val="nil"/>
                  </w:tcBorders>
                  <w:noWrap w:val="0"/>
                  <w:vAlign w:val="center"/>
                </w:tcPr>
                <w:p w14:paraId="1E5FA789">
                  <w:pPr>
                    <w:adjustRightInd w:val="0"/>
                    <w:snapToGrid w:val="0"/>
                    <w:jc w:val="center"/>
                    <w:rPr>
                      <w:b/>
                      <w:color w:val="auto"/>
                      <w:kern w:val="0"/>
                      <w:szCs w:val="21"/>
                    </w:rPr>
                  </w:pPr>
                  <w:r>
                    <w:rPr>
                      <w:b/>
                      <w:color w:val="auto"/>
                      <w:kern w:val="0"/>
                      <w:szCs w:val="21"/>
                    </w:rPr>
                    <w:t>限值</w:t>
                  </w:r>
                  <w:r>
                    <w:rPr>
                      <w:b/>
                      <w:bCs/>
                      <w:color w:val="auto"/>
                      <w:kern w:val="0"/>
                      <w:szCs w:val="21"/>
                    </w:rPr>
                    <w:t>dB(A)</w:t>
                  </w:r>
                </w:p>
              </w:tc>
              <w:tc>
                <w:tcPr>
                  <w:tcW w:w="1627" w:type="pct"/>
                  <w:vMerge w:val="restart"/>
                  <w:tcBorders>
                    <w:tl2br w:val="nil"/>
                    <w:tr2bl w:val="nil"/>
                  </w:tcBorders>
                  <w:noWrap w:val="0"/>
                  <w:vAlign w:val="center"/>
                </w:tcPr>
                <w:p w14:paraId="1466F439">
                  <w:pPr>
                    <w:adjustRightInd w:val="0"/>
                    <w:snapToGrid w:val="0"/>
                    <w:jc w:val="center"/>
                    <w:rPr>
                      <w:b/>
                      <w:color w:val="auto"/>
                      <w:kern w:val="0"/>
                      <w:szCs w:val="21"/>
                    </w:rPr>
                  </w:pPr>
                  <w:r>
                    <w:rPr>
                      <w:rFonts w:hint="eastAsia"/>
                      <w:b/>
                      <w:color w:val="auto"/>
                      <w:kern w:val="0"/>
                      <w:szCs w:val="21"/>
                    </w:rPr>
                    <w:t>位置</w:t>
                  </w:r>
                </w:p>
              </w:tc>
            </w:tr>
            <w:tr w14:paraId="34B514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09" w:type="pct"/>
                  <w:vMerge w:val="continue"/>
                  <w:tcBorders>
                    <w:tl2br w:val="nil"/>
                    <w:tr2bl w:val="nil"/>
                  </w:tcBorders>
                  <w:noWrap w:val="0"/>
                  <w:tcMar>
                    <w:top w:w="0" w:type="dxa"/>
                    <w:left w:w="57" w:type="dxa"/>
                    <w:bottom w:w="0" w:type="dxa"/>
                    <w:right w:w="57" w:type="dxa"/>
                  </w:tcMar>
                  <w:vAlign w:val="center"/>
                </w:tcPr>
                <w:p w14:paraId="3B63F906">
                  <w:pPr>
                    <w:adjustRightInd w:val="0"/>
                    <w:snapToGrid w:val="0"/>
                    <w:jc w:val="center"/>
                    <w:rPr>
                      <w:b/>
                      <w:color w:val="auto"/>
                      <w:kern w:val="0"/>
                      <w:szCs w:val="21"/>
                    </w:rPr>
                  </w:pPr>
                </w:p>
              </w:tc>
              <w:tc>
                <w:tcPr>
                  <w:tcW w:w="837" w:type="pct"/>
                  <w:vMerge w:val="continue"/>
                  <w:tcBorders>
                    <w:tl2br w:val="nil"/>
                    <w:tr2bl w:val="nil"/>
                  </w:tcBorders>
                  <w:noWrap w:val="0"/>
                  <w:vAlign w:val="center"/>
                </w:tcPr>
                <w:p w14:paraId="24500B5E">
                  <w:pPr>
                    <w:adjustRightInd w:val="0"/>
                    <w:snapToGrid w:val="0"/>
                    <w:jc w:val="center"/>
                    <w:rPr>
                      <w:b/>
                      <w:color w:val="auto"/>
                      <w:kern w:val="0"/>
                      <w:szCs w:val="21"/>
                    </w:rPr>
                  </w:pPr>
                </w:p>
              </w:tc>
              <w:tc>
                <w:tcPr>
                  <w:tcW w:w="818" w:type="pct"/>
                  <w:tcBorders>
                    <w:tl2br w:val="nil"/>
                    <w:tr2bl w:val="nil"/>
                  </w:tcBorders>
                  <w:noWrap w:val="0"/>
                  <w:vAlign w:val="center"/>
                </w:tcPr>
                <w:p w14:paraId="7531080A">
                  <w:pPr>
                    <w:adjustRightInd w:val="0"/>
                    <w:snapToGrid w:val="0"/>
                    <w:jc w:val="center"/>
                    <w:rPr>
                      <w:b/>
                      <w:bCs/>
                      <w:color w:val="auto"/>
                      <w:kern w:val="0"/>
                      <w:szCs w:val="21"/>
                    </w:rPr>
                  </w:pPr>
                  <w:r>
                    <w:rPr>
                      <w:b/>
                      <w:bCs/>
                      <w:color w:val="auto"/>
                      <w:kern w:val="0"/>
                      <w:szCs w:val="21"/>
                    </w:rPr>
                    <w:t>昼间</w:t>
                  </w:r>
                </w:p>
              </w:tc>
              <w:tc>
                <w:tcPr>
                  <w:tcW w:w="808" w:type="pct"/>
                  <w:tcBorders>
                    <w:tl2br w:val="nil"/>
                    <w:tr2bl w:val="nil"/>
                  </w:tcBorders>
                  <w:noWrap w:val="0"/>
                  <w:vAlign w:val="center"/>
                </w:tcPr>
                <w:p w14:paraId="6F08DEAD">
                  <w:pPr>
                    <w:adjustRightInd w:val="0"/>
                    <w:snapToGrid w:val="0"/>
                    <w:jc w:val="center"/>
                    <w:rPr>
                      <w:b/>
                      <w:bCs/>
                      <w:color w:val="auto"/>
                      <w:kern w:val="0"/>
                      <w:szCs w:val="21"/>
                    </w:rPr>
                  </w:pPr>
                  <w:r>
                    <w:rPr>
                      <w:b/>
                      <w:bCs/>
                      <w:color w:val="auto"/>
                      <w:kern w:val="0"/>
                      <w:szCs w:val="21"/>
                    </w:rPr>
                    <w:t>夜间</w:t>
                  </w:r>
                </w:p>
              </w:tc>
              <w:tc>
                <w:tcPr>
                  <w:tcW w:w="1627" w:type="pct"/>
                  <w:vMerge w:val="continue"/>
                  <w:tcBorders>
                    <w:tl2br w:val="nil"/>
                    <w:tr2bl w:val="nil"/>
                  </w:tcBorders>
                  <w:noWrap w:val="0"/>
                  <w:vAlign w:val="center"/>
                </w:tcPr>
                <w:p w14:paraId="24AE692C">
                  <w:pPr>
                    <w:adjustRightInd w:val="0"/>
                    <w:snapToGrid w:val="0"/>
                    <w:jc w:val="center"/>
                    <w:rPr>
                      <w:b/>
                      <w:bCs/>
                      <w:color w:val="auto"/>
                      <w:kern w:val="0"/>
                      <w:szCs w:val="21"/>
                    </w:rPr>
                  </w:pPr>
                </w:p>
              </w:tc>
            </w:tr>
            <w:tr w14:paraId="285F66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09" w:type="pct"/>
                  <w:tcBorders>
                    <w:tl2br w:val="nil"/>
                    <w:tr2bl w:val="nil"/>
                  </w:tcBorders>
                  <w:noWrap w:val="0"/>
                  <w:tcMar>
                    <w:top w:w="0" w:type="dxa"/>
                    <w:left w:w="57" w:type="dxa"/>
                    <w:bottom w:w="0" w:type="dxa"/>
                    <w:right w:w="57" w:type="dxa"/>
                  </w:tcMar>
                  <w:vAlign w:val="center"/>
                </w:tcPr>
                <w:p w14:paraId="48FF58C5">
                  <w:pPr>
                    <w:adjustRightInd w:val="0"/>
                    <w:snapToGrid w:val="0"/>
                    <w:jc w:val="center"/>
                    <w:rPr>
                      <w:bCs/>
                      <w:color w:val="auto"/>
                      <w:kern w:val="0"/>
                      <w:szCs w:val="21"/>
                    </w:rPr>
                  </w:pPr>
                  <w:r>
                    <w:rPr>
                      <w:bCs/>
                      <w:color w:val="auto"/>
                      <w:kern w:val="0"/>
                      <w:szCs w:val="21"/>
                    </w:rPr>
                    <w:t>施工期</w:t>
                  </w:r>
                </w:p>
              </w:tc>
              <w:tc>
                <w:tcPr>
                  <w:tcW w:w="837" w:type="pct"/>
                  <w:tcBorders>
                    <w:tl2br w:val="nil"/>
                    <w:tr2bl w:val="nil"/>
                  </w:tcBorders>
                  <w:noWrap w:val="0"/>
                  <w:vAlign w:val="center"/>
                </w:tcPr>
                <w:p w14:paraId="0CFE6350">
                  <w:pPr>
                    <w:adjustRightInd w:val="0"/>
                    <w:snapToGrid w:val="0"/>
                    <w:jc w:val="center"/>
                    <w:rPr>
                      <w:bCs/>
                      <w:color w:val="auto"/>
                      <w:kern w:val="0"/>
                      <w:szCs w:val="21"/>
                    </w:rPr>
                  </w:pPr>
                  <w:r>
                    <w:rPr>
                      <w:bCs/>
                      <w:color w:val="auto"/>
                      <w:kern w:val="0"/>
                      <w:szCs w:val="21"/>
                    </w:rPr>
                    <w:t>/</w:t>
                  </w:r>
                </w:p>
              </w:tc>
              <w:tc>
                <w:tcPr>
                  <w:tcW w:w="818" w:type="pct"/>
                  <w:tcBorders>
                    <w:tl2br w:val="nil"/>
                    <w:tr2bl w:val="nil"/>
                  </w:tcBorders>
                  <w:noWrap w:val="0"/>
                  <w:vAlign w:val="center"/>
                </w:tcPr>
                <w:p w14:paraId="1D4DDF45">
                  <w:pPr>
                    <w:adjustRightInd w:val="0"/>
                    <w:snapToGrid w:val="0"/>
                    <w:jc w:val="center"/>
                    <w:rPr>
                      <w:bCs/>
                      <w:color w:val="auto"/>
                      <w:kern w:val="0"/>
                      <w:szCs w:val="21"/>
                    </w:rPr>
                  </w:pPr>
                  <w:r>
                    <w:rPr>
                      <w:bCs/>
                      <w:color w:val="auto"/>
                      <w:kern w:val="0"/>
                      <w:szCs w:val="21"/>
                    </w:rPr>
                    <w:t>70</w:t>
                  </w:r>
                </w:p>
              </w:tc>
              <w:tc>
                <w:tcPr>
                  <w:tcW w:w="808" w:type="pct"/>
                  <w:tcBorders>
                    <w:tl2br w:val="nil"/>
                    <w:tr2bl w:val="nil"/>
                  </w:tcBorders>
                  <w:noWrap w:val="0"/>
                  <w:vAlign w:val="center"/>
                </w:tcPr>
                <w:p w14:paraId="6F6B9AAB">
                  <w:pPr>
                    <w:adjustRightInd w:val="0"/>
                    <w:snapToGrid w:val="0"/>
                    <w:jc w:val="center"/>
                    <w:rPr>
                      <w:bCs/>
                      <w:color w:val="auto"/>
                      <w:kern w:val="0"/>
                      <w:szCs w:val="21"/>
                    </w:rPr>
                  </w:pPr>
                  <w:r>
                    <w:rPr>
                      <w:bCs/>
                      <w:color w:val="auto"/>
                      <w:kern w:val="0"/>
                      <w:szCs w:val="21"/>
                    </w:rPr>
                    <w:t>55</w:t>
                  </w:r>
                </w:p>
              </w:tc>
              <w:tc>
                <w:tcPr>
                  <w:tcW w:w="1627" w:type="pct"/>
                  <w:tcBorders>
                    <w:tl2br w:val="nil"/>
                    <w:tr2bl w:val="nil"/>
                  </w:tcBorders>
                  <w:noWrap w:val="0"/>
                  <w:vAlign w:val="center"/>
                </w:tcPr>
                <w:p w14:paraId="5819E366">
                  <w:pPr>
                    <w:adjustRightInd w:val="0"/>
                    <w:snapToGrid w:val="0"/>
                    <w:jc w:val="center"/>
                    <w:rPr>
                      <w:bCs/>
                      <w:color w:val="auto"/>
                      <w:kern w:val="0"/>
                      <w:szCs w:val="21"/>
                    </w:rPr>
                  </w:pPr>
                  <w:r>
                    <w:rPr>
                      <w:rFonts w:hint="eastAsia"/>
                      <w:bCs/>
                      <w:color w:val="auto"/>
                      <w:kern w:val="0"/>
                      <w:szCs w:val="21"/>
                      <w:lang w:val="en-US" w:eastAsia="zh-CN"/>
                    </w:rPr>
                    <w:t>厂</w:t>
                  </w:r>
                  <w:r>
                    <w:rPr>
                      <w:rFonts w:hint="eastAsia"/>
                      <w:bCs/>
                      <w:color w:val="auto"/>
                      <w:kern w:val="0"/>
                      <w:szCs w:val="21"/>
                    </w:rPr>
                    <w:t>界四周</w:t>
                  </w:r>
                </w:p>
              </w:tc>
            </w:tr>
            <w:tr w14:paraId="5644B0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9" w:type="pct"/>
                  <w:tcBorders>
                    <w:tl2br w:val="nil"/>
                    <w:tr2bl w:val="nil"/>
                  </w:tcBorders>
                  <w:noWrap w:val="0"/>
                  <w:tcMar>
                    <w:top w:w="0" w:type="dxa"/>
                    <w:left w:w="57" w:type="dxa"/>
                    <w:bottom w:w="0" w:type="dxa"/>
                    <w:right w:w="57" w:type="dxa"/>
                  </w:tcMar>
                  <w:vAlign w:val="center"/>
                </w:tcPr>
                <w:p w14:paraId="19F9230B">
                  <w:pPr>
                    <w:adjustRightInd w:val="0"/>
                    <w:snapToGrid w:val="0"/>
                    <w:jc w:val="center"/>
                    <w:rPr>
                      <w:color w:val="auto"/>
                      <w:kern w:val="0"/>
                      <w:szCs w:val="21"/>
                    </w:rPr>
                  </w:pPr>
                  <w:r>
                    <w:rPr>
                      <w:color w:val="auto"/>
                      <w:kern w:val="0"/>
                      <w:szCs w:val="21"/>
                    </w:rPr>
                    <w:t>运营期</w:t>
                  </w:r>
                </w:p>
              </w:tc>
              <w:tc>
                <w:tcPr>
                  <w:tcW w:w="837" w:type="pct"/>
                  <w:tcBorders>
                    <w:tl2br w:val="nil"/>
                    <w:tr2bl w:val="nil"/>
                  </w:tcBorders>
                  <w:noWrap w:val="0"/>
                  <w:vAlign w:val="center"/>
                </w:tcPr>
                <w:p w14:paraId="1BB83989">
                  <w:pPr>
                    <w:adjustRightInd w:val="0"/>
                    <w:snapToGrid w:val="0"/>
                    <w:jc w:val="center"/>
                    <w:rPr>
                      <w:color w:val="auto"/>
                      <w:kern w:val="0"/>
                      <w:szCs w:val="21"/>
                    </w:rPr>
                  </w:pPr>
                  <w:r>
                    <w:rPr>
                      <w:rFonts w:hint="eastAsia"/>
                      <w:color w:val="auto"/>
                      <w:kern w:val="0"/>
                      <w:szCs w:val="21"/>
                      <w:lang w:val="en-US" w:eastAsia="zh-CN"/>
                    </w:rPr>
                    <w:t>3</w:t>
                  </w:r>
                  <w:r>
                    <w:rPr>
                      <w:color w:val="auto"/>
                      <w:kern w:val="0"/>
                      <w:szCs w:val="21"/>
                    </w:rPr>
                    <w:t>类</w:t>
                  </w:r>
                </w:p>
              </w:tc>
              <w:tc>
                <w:tcPr>
                  <w:tcW w:w="818" w:type="pct"/>
                  <w:tcBorders>
                    <w:tl2br w:val="nil"/>
                    <w:tr2bl w:val="nil"/>
                  </w:tcBorders>
                  <w:noWrap w:val="0"/>
                  <w:vAlign w:val="center"/>
                </w:tcPr>
                <w:p w14:paraId="0D9820B4">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65</w:t>
                  </w:r>
                </w:p>
              </w:tc>
              <w:tc>
                <w:tcPr>
                  <w:tcW w:w="808" w:type="pct"/>
                  <w:tcBorders>
                    <w:tl2br w:val="nil"/>
                    <w:tr2bl w:val="nil"/>
                  </w:tcBorders>
                  <w:noWrap w:val="0"/>
                  <w:vAlign w:val="center"/>
                </w:tcPr>
                <w:p w14:paraId="72829523">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55</w:t>
                  </w:r>
                </w:p>
              </w:tc>
              <w:tc>
                <w:tcPr>
                  <w:tcW w:w="1627" w:type="pct"/>
                  <w:tcBorders>
                    <w:tl2br w:val="nil"/>
                    <w:tr2bl w:val="nil"/>
                  </w:tcBorders>
                  <w:noWrap w:val="0"/>
                  <w:vAlign w:val="center"/>
                </w:tcPr>
                <w:p w14:paraId="48939366">
                  <w:pPr>
                    <w:adjustRightInd w:val="0"/>
                    <w:snapToGrid w:val="0"/>
                    <w:jc w:val="center"/>
                    <w:rPr>
                      <w:color w:val="auto"/>
                      <w:kern w:val="0"/>
                      <w:szCs w:val="21"/>
                    </w:rPr>
                  </w:pPr>
                  <w:r>
                    <w:rPr>
                      <w:rFonts w:hint="eastAsia"/>
                      <w:bCs/>
                      <w:color w:val="auto"/>
                      <w:kern w:val="0"/>
                      <w:szCs w:val="21"/>
                      <w:lang w:val="en-US" w:eastAsia="zh-CN"/>
                    </w:rPr>
                    <w:t>厂</w:t>
                  </w:r>
                  <w:r>
                    <w:rPr>
                      <w:rFonts w:hint="eastAsia"/>
                      <w:bCs/>
                      <w:color w:val="auto"/>
                      <w:kern w:val="0"/>
                      <w:szCs w:val="21"/>
                    </w:rPr>
                    <w:t>界四周</w:t>
                  </w:r>
                </w:p>
              </w:tc>
            </w:tr>
          </w:tbl>
          <w:p w14:paraId="40E4A405">
            <w:pPr>
              <w:pStyle w:val="5"/>
              <w:numPr>
                <w:ilvl w:val="0"/>
                <w:numId w:val="8"/>
              </w:numPr>
              <w:spacing w:line="360" w:lineRule="auto"/>
              <w:ind w:left="0" w:leftChars="0" w:firstLine="0" w:firstLineChars="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固废</w:t>
            </w:r>
            <w:bookmarkEnd w:id="18"/>
          </w:p>
          <w:p w14:paraId="6A8419F6">
            <w:pPr>
              <w:spacing w:line="360" w:lineRule="auto"/>
              <w:ind w:firstLine="480" w:firstLineChars="200"/>
              <w:rPr>
                <w:rFonts w:hint="default" w:ascii="Times New Roman" w:hAnsi="Times New Roman" w:cs="Times New Roman"/>
                <w:color w:val="auto"/>
                <w:lang w:val="en-US" w:eastAsia="zh-CN"/>
              </w:rPr>
            </w:pPr>
            <w:r>
              <w:rPr>
                <w:rFonts w:hint="eastAsia"/>
                <w:color w:val="auto"/>
                <w:sz w:val="24"/>
              </w:rPr>
              <w:t>一般固废执行</w:t>
            </w:r>
            <w:r>
              <w:rPr>
                <w:rFonts w:hint="eastAsia" w:cs="宋体"/>
                <w:color w:val="auto"/>
                <w:kern w:val="0"/>
                <w:sz w:val="24"/>
                <w:lang w:eastAsia="zh-CN"/>
              </w:rPr>
              <w:t>《中华人民共和国固体废物污染环境防治法》（</w:t>
            </w:r>
            <w:r>
              <w:rPr>
                <w:rFonts w:hint="eastAsia" w:cs="宋体"/>
                <w:color w:val="auto"/>
                <w:kern w:val="0"/>
                <w:sz w:val="24"/>
                <w:lang w:val="en-US" w:eastAsia="zh-CN"/>
              </w:rPr>
              <w:t>2020年修订</w:t>
            </w:r>
            <w:r>
              <w:rPr>
                <w:rFonts w:hint="eastAsia" w:cs="宋体"/>
                <w:color w:val="auto"/>
                <w:kern w:val="0"/>
                <w:sz w:val="24"/>
                <w:lang w:eastAsia="zh-CN"/>
              </w:rPr>
              <w:t>）</w:t>
            </w:r>
            <w:r>
              <w:rPr>
                <w:rFonts w:hint="eastAsia" w:cs="宋体"/>
                <w:color w:val="auto"/>
                <w:kern w:val="0"/>
                <w:sz w:val="24"/>
                <w:lang w:val="en-US" w:eastAsia="zh-CN"/>
              </w:rPr>
              <w:t>相关要求</w:t>
            </w:r>
            <w:r>
              <w:rPr>
                <w:rFonts w:hint="eastAsia"/>
                <w:color w:val="auto"/>
                <w:sz w:val="24"/>
                <w:lang w:eastAsia="zh-CN"/>
              </w:rPr>
              <w:t>，</w:t>
            </w:r>
            <w:r>
              <w:rPr>
                <w:color w:val="auto"/>
                <w:sz w:val="24"/>
              </w:rPr>
              <w:t>危险废物执行《危险废物贮存污染控制标准》（GB18597-2023）中相关规定。</w:t>
            </w:r>
          </w:p>
        </w:tc>
      </w:tr>
      <w:tr w14:paraId="502B98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0" w:hRule="atLeast"/>
          <w:jc w:val="center"/>
        </w:trPr>
        <w:tc>
          <w:tcPr>
            <w:tcW w:w="464" w:type="dxa"/>
            <w:noWrap w:val="0"/>
            <w:vAlign w:val="center"/>
          </w:tcPr>
          <w:p w14:paraId="39228B82">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总量</w:t>
            </w:r>
          </w:p>
          <w:p w14:paraId="5B0F7CB1">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控制</w:t>
            </w:r>
          </w:p>
          <w:p w14:paraId="074DD0B6">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指标</w:t>
            </w:r>
          </w:p>
        </w:tc>
        <w:tc>
          <w:tcPr>
            <w:tcW w:w="8526" w:type="dxa"/>
            <w:noWrap w:val="0"/>
            <w:vAlign w:val="center"/>
          </w:tcPr>
          <w:p w14:paraId="501A674F">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32"/>
                <w:highlight w:val="none"/>
                <w:lang w:val="en-US" w:eastAsia="zh-CN"/>
              </w:rPr>
            </w:pPr>
            <w:r>
              <w:rPr>
                <w:rFonts w:hint="default"/>
                <w:color w:val="auto"/>
                <w:sz w:val="24"/>
                <w:szCs w:val="32"/>
                <w:lang w:val="en-US" w:eastAsia="zh-CN"/>
              </w:rPr>
              <w:t>根据《“十四五”节能减排综合工作方案》，我国“十四五”期间对COD、氨氮</w:t>
            </w:r>
            <w:r>
              <w:rPr>
                <w:rFonts w:hint="default"/>
                <w:color w:val="auto"/>
                <w:sz w:val="24"/>
                <w:szCs w:val="32"/>
                <w:highlight w:val="none"/>
                <w:lang w:val="en-US" w:eastAsia="zh-CN"/>
              </w:rPr>
              <w:t>、VOC</w:t>
            </w:r>
            <w:r>
              <w:rPr>
                <w:rFonts w:hint="default"/>
                <w:color w:val="auto"/>
                <w:sz w:val="24"/>
                <w:szCs w:val="32"/>
                <w:highlight w:val="none"/>
                <w:vertAlign w:val="subscript"/>
                <w:lang w:val="en-US" w:eastAsia="zh-CN"/>
              </w:rPr>
              <w:t>S</w:t>
            </w:r>
            <w:r>
              <w:rPr>
                <w:rFonts w:hint="default"/>
                <w:color w:val="auto"/>
                <w:sz w:val="24"/>
                <w:szCs w:val="32"/>
                <w:highlight w:val="none"/>
                <w:lang w:val="en-US" w:eastAsia="zh-CN"/>
              </w:rPr>
              <w:t>、NO</w:t>
            </w:r>
            <w:r>
              <w:rPr>
                <w:rFonts w:hint="default"/>
                <w:color w:val="auto"/>
                <w:sz w:val="24"/>
                <w:szCs w:val="32"/>
                <w:highlight w:val="none"/>
                <w:vertAlign w:val="subscript"/>
                <w:lang w:val="en-US" w:eastAsia="zh-CN"/>
              </w:rPr>
              <w:t>X</w:t>
            </w:r>
            <w:r>
              <w:rPr>
                <w:rFonts w:hint="default"/>
                <w:color w:val="auto"/>
                <w:sz w:val="24"/>
                <w:szCs w:val="32"/>
                <w:highlight w:val="none"/>
                <w:lang w:val="en-US" w:eastAsia="zh-CN"/>
              </w:rPr>
              <w:t>这4种污染物实行排放总量控制。建议本项目总量控制指标为：</w:t>
            </w:r>
          </w:p>
          <w:p w14:paraId="60A1C882">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32"/>
                <w:highlight w:val="none"/>
                <w:lang w:val="en-US" w:eastAsia="zh-CN"/>
              </w:rPr>
            </w:pPr>
            <w:r>
              <w:rPr>
                <w:rFonts w:hint="default"/>
                <w:color w:val="auto"/>
                <w:sz w:val="24"/>
                <w:szCs w:val="32"/>
                <w:highlight w:val="none"/>
                <w:lang w:val="en-US" w:eastAsia="zh-CN"/>
              </w:rPr>
              <w:t>非甲烷总烃为</w:t>
            </w:r>
            <w:r>
              <w:rPr>
                <w:rFonts w:hint="eastAsia"/>
                <w:color w:val="auto"/>
                <w:sz w:val="24"/>
                <w:szCs w:val="32"/>
                <w:highlight w:val="none"/>
                <w:lang w:val="en-US" w:eastAsia="zh-CN"/>
              </w:rPr>
              <w:t>0.11833</w:t>
            </w:r>
            <w:r>
              <w:rPr>
                <w:rFonts w:hint="default"/>
                <w:color w:val="auto"/>
                <w:sz w:val="24"/>
                <w:szCs w:val="32"/>
                <w:highlight w:val="none"/>
                <w:lang w:val="en-US" w:eastAsia="zh-CN"/>
              </w:rPr>
              <w:t>t/a</w:t>
            </w:r>
            <w:r>
              <w:rPr>
                <w:rFonts w:hint="eastAsia"/>
                <w:color w:val="auto"/>
                <w:sz w:val="24"/>
                <w:szCs w:val="32"/>
                <w:highlight w:val="none"/>
                <w:lang w:val="en-US" w:eastAsia="zh-CN"/>
              </w:rPr>
              <w:t>；</w:t>
            </w:r>
          </w:p>
          <w:p w14:paraId="2B311733">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32"/>
                <w:lang w:val="en-US" w:eastAsia="zh-CN"/>
              </w:rPr>
            </w:pPr>
            <w:r>
              <w:rPr>
                <w:rFonts w:hint="default"/>
                <w:color w:val="auto"/>
                <w:sz w:val="24"/>
                <w:szCs w:val="32"/>
                <w:highlight w:val="none"/>
                <w:lang w:val="en-US" w:eastAsia="zh-CN"/>
              </w:rPr>
              <w:t>COD为0.0</w:t>
            </w:r>
            <w:r>
              <w:rPr>
                <w:rFonts w:hint="eastAsia"/>
                <w:color w:val="auto"/>
                <w:sz w:val="24"/>
                <w:szCs w:val="32"/>
                <w:highlight w:val="none"/>
                <w:lang w:val="en-US" w:eastAsia="zh-CN"/>
              </w:rPr>
              <w:t>71</w:t>
            </w:r>
            <w:r>
              <w:rPr>
                <w:rFonts w:hint="default"/>
                <w:color w:val="auto"/>
                <w:sz w:val="24"/>
                <w:szCs w:val="32"/>
                <w:highlight w:val="none"/>
                <w:lang w:val="en-US" w:eastAsia="zh-CN"/>
              </w:rPr>
              <w:t>t/a</w:t>
            </w:r>
            <w:r>
              <w:rPr>
                <w:rFonts w:hint="eastAsia"/>
                <w:color w:val="auto"/>
                <w:sz w:val="24"/>
                <w:szCs w:val="32"/>
                <w:highlight w:val="none"/>
                <w:lang w:val="en-US" w:eastAsia="zh-CN"/>
              </w:rPr>
              <w:t>、</w:t>
            </w:r>
            <w:r>
              <w:rPr>
                <w:rFonts w:hint="default"/>
                <w:color w:val="auto"/>
                <w:sz w:val="24"/>
                <w:szCs w:val="32"/>
                <w:highlight w:val="none"/>
                <w:lang w:val="en-US" w:eastAsia="zh-CN"/>
              </w:rPr>
              <w:t>氨氮为0.00</w:t>
            </w:r>
            <w:r>
              <w:rPr>
                <w:rFonts w:hint="eastAsia"/>
                <w:color w:val="auto"/>
                <w:sz w:val="24"/>
                <w:szCs w:val="32"/>
                <w:highlight w:val="none"/>
                <w:lang w:val="en-US" w:eastAsia="zh-CN"/>
              </w:rPr>
              <w:t>4</w:t>
            </w:r>
            <w:r>
              <w:rPr>
                <w:rFonts w:hint="default"/>
                <w:color w:val="auto"/>
                <w:sz w:val="24"/>
                <w:szCs w:val="32"/>
                <w:highlight w:val="none"/>
                <w:lang w:val="en-US" w:eastAsia="zh-CN"/>
              </w:rPr>
              <w:t>t/a</w:t>
            </w:r>
            <w:r>
              <w:rPr>
                <w:rFonts w:hint="eastAsia"/>
                <w:color w:val="auto"/>
                <w:sz w:val="24"/>
                <w:szCs w:val="32"/>
                <w:highlight w:val="none"/>
                <w:lang w:val="en-US" w:eastAsia="zh-CN"/>
              </w:rPr>
              <w:t>，</w:t>
            </w:r>
            <w:r>
              <w:rPr>
                <w:rFonts w:hint="eastAsia" w:ascii="Times New Roman" w:hAnsi="Times New Roman" w:eastAsia="宋体" w:cs="Times New Roman"/>
                <w:color w:val="auto"/>
                <w:sz w:val="24"/>
                <w:highlight w:val="none"/>
                <w:lang w:val="en-US" w:eastAsia="zh-CN"/>
              </w:rPr>
              <w:t>纳入泾河新城第二污水处理厂总量指标。</w:t>
            </w:r>
          </w:p>
        </w:tc>
      </w:tr>
    </w:tbl>
    <w:p w14:paraId="79F5A92A">
      <w:pPr>
        <w:pStyle w:val="23"/>
        <w:jc w:val="center"/>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6"/>
          <w:szCs w:val="36"/>
        </w:rPr>
        <w:br w:type="page"/>
      </w:r>
      <w:bookmarkStart w:id="19" w:name="_Toc6502"/>
      <w:r>
        <w:rPr>
          <w:rFonts w:hint="default" w:ascii="Times New Roman" w:hAnsi="Times New Roman" w:eastAsia="黑体" w:cs="Times New Roman"/>
          <w:snapToGrid w:val="0"/>
          <w:sz w:val="30"/>
          <w:szCs w:val="30"/>
        </w:rPr>
        <w:t>四、主要环境影响和保护措施</w:t>
      </w:r>
      <w:bookmarkEnd w:id="19"/>
    </w:p>
    <w:tbl>
      <w:tblPr>
        <w:tblStyle w:val="26"/>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8"/>
        <w:gridCol w:w="8440"/>
      </w:tblGrid>
      <w:tr w14:paraId="0C5707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51" w:hRule="atLeast"/>
          <w:jc w:val="center"/>
        </w:trPr>
        <w:tc>
          <w:tcPr>
            <w:tcW w:w="468" w:type="dxa"/>
            <w:noWrap w:val="0"/>
            <w:tcMar>
              <w:left w:w="28" w:type="dxa"/>
              <w:right w:w="28" w:type="dxa"/>
            </w:tcMar>
            <w:vAlign w:val="center"/>
          </w:tcPr>
          <w:p w14:paraId="46C3582F">
            <w:pPr>
              <w:pStyle w:val="23"/>
              <w:adjustRightInd w:val="0"/>
              <w:snapToGrid w:val="0"/>
              <w:spacing w:before="0" w:beforeAutospacing="0" w:after="0" w:afterAutospacing="0"/>
              <w:jc w:val="center"/>
              <w:rPr>
                <w:rFonts w:hint="default" w:ascii="Times New Roman" w:hAnsi="Times New Roman" w:cs="Times New Roman"/>
                <w:kern w:val="2"/>
                <w:sz w:val="24"/>
                <w:szCs w:val="24"/>
              </w:rPr>
            </w:pPr>
            <w:r>
              <w:rPr>
                <w:rFonts w:hint="default" w:ascii="Times New Roman" w:hAnsi="Times New Roman" w:cs="Times New Roman"/>
                <w:kern w:val="2"/>
                <w:sz w:val="24"/>
                <w:szCs w:val="24"/>
              </w:rPr>
              <w:t>施工</w:t>
            </w:r>
          </w:p>
          <w:p w14:paraId="1D0470AE">
            <w:pPr>
              <w:pStyle w:val="23"/>
              <w:adjustRightInd w:val="0"/>
              <w:snapToGrid w:val="0"/>
              <w:spacing w:before="0" w:beforeAutospacing="0" w:after="0" w:afterAutospacing="0"/>
              <w:jc w:val="center"/>
              <w:rPr>
                <w:rFonts w:hint="default" w:ascii="Times New Roman" w:hAnsi="Times New Roman" w:cs="Times New Roman"/>
                <w:kern w:val="2"/>
                <w:sz w:val="24"/>
                <w:szCs w:val="24"/>
              </w:rPr>
            </w:pPr>
            <w:r>
              <w:rPr>
                <w:rFonts w:hint="default" w:ascii="Times New Roman" w:hAnsi="Times New Roman" w:cs="Times New Roman"/>
                <w:kern w:val="2"/>
                <w:sz w:val="24"/>
                <w:szCs w:val="24"/>
              </w:rPr>
              <w:t>期环</w:t>
            </w:r>
          </w:p>
          <w:p w14:paraId="6ED6A3EA">
            <w:pPr>
              <w:pStyle w:val="23"/>
              <w:adjustRightInd w:val="0"/>
              <w:snapToGrid w:val="0"/>
              <w:spacing w:before="0" w:beforeAutospacing="0" w:after="0" w:afterAutospacing="0"/>
              <w:jc w:val="center"/>
              <w:rPr>
                <w:rFonts w:hint="default" w:ascii="Times New Roman" w:hAnsi="Times New Roman" w:cs="Times New Roman"/>
                <w:kern w:val="2"/>
                <w:sz w:val="24"/>
                <w:szCs w:val="24"/>
              </w:rPr>
            </w:pPr>
            <w:r>
              <w:rPr>
                <w:rFonts w:hint="default" w:ascii="Times New Roman" w:hAnsi="Times New Roman" w:cs="Times New Roman"/>
                <w:kern w:val="2"/>
                <w:sz w:val="24"/>
                <w:szCs w:val="24"/>
              </w:rPr>
              <w:t>境保</w:t>
            </w:r>
          </w:p>
          <w:p w14:paraId="1B04C4D8">
            <w:pPr>
              <w:pStyle w:val="23"/>
              <w:adjustRightInd w:val="0"/>
              <w:snapToGrid w:val="0"/>
              <w:spacing w:before="0" w:beforeAutospacing="0" w:after="0" w:afterAutospacing="0"/>
              <w:jc w:val="center"/>
              <w:rPr>
                <w:rFonts w:hint="default" w:ascii="Times New Roman" w:hAnsi="Times New Roman" w:cs="Times New Roman"/>
                <w:kern w:val="2"/>
                <w:sz w:val="24"/>
                <w:szCs w:val="24"/>
              </w:rPr>
            </w:pPr>
            <w:r>
              <w:rPr>
                <w:rFonts w:hint="default" w:ascii="Times New Roman" w:hAnsi="Times New Roman" w:cs="Times New Roman"/>
                <w:kern w:val="2"/>
                <w:sz w:val="24"/>
                <w:szCs w:val="24"/>
              </w:rPr>
              <w:t>护措</w:t>
            </w:r>
          </w:p>
          <w:p w14:paraId="16B3872D">
            <w:pPr>
              <w:pStyle w:val="23"/>
              <w:adjustRightInd w:val="0"/>
              <w:snapToGrid w:val="0"/>
              <w:spacing w:before="0" w:beforeAutospacing="0" w:after="0" w:afterAutospacing="0"/>
              <w:jc w:val="center"/>
              <w:rPr>
                <w:rFonts w:hint="default" w:ascii="Times New Roman" w:hAnsi="Times New Roman" w:cs="Times New Roman"/>
                <w:bCs/>
                <w:kern w:val="2"/>
                <w:sz w:val="24"/>
                <w:szCs w:val="24"/>
              </w:rPr>
            </w:pPr>
            <w:r>
              <w:rPr>
                <w:rFonts w:hint="default" w:ascii="Times New Roman" w:hAnsi="Times New Roman" w:cs="Times New Roman"/>
                <w:kern w:val="2"/>
                <w:sz w:val="24"/>
                <w:szCs w:val="24"/>
              </w:rPr>
              <w:t>施</w:t>
            </w:r>
          </w:p>
        </w:tc>
        <w:tc>
          <w:tcPr>
            <w:tcW w:w="8440" w:type="dxa"/>
            <w:noWrap w:val="0"/>
            <w:vAlign w:val="top"/>
          </w:tcPr>
          <w:p w14:paraId="26D74320">
            <w:pPr>
              <w:numPr>
                <w:ilvl w:val="0"/>
                <w:numId w:val="0"/>
              </w:numPr>
              <w:adjustRightInd w:val="0"/>
              <w:snapToGrid w:val="0"/>
              <w:spacing w:line="360" w:lineRule="auto"/>
              <w:ind w:firstLine="480" w:firstLineChars="200"/>
              <w:jc w:val="both"/>
              <w:rPr>
                <w:rFonts w:hint="default" w:ascii="Times New Roman" w:hAnsi="Times New Roman" w:eastAsia="宋体" w:cs="Times New Roman"/>
                <w:bCs/>
                <w:sz w:val="24"/>
                <w:szCs w:val="24"/>
                <w:lang w:val="en-US" w:eastAsia="zh-CN"/>
              </w:rPr>
            </w:pPr>
            <w:r>
              <w:rPr>
                <w:rFonts w:hint="default" w:ascii="Times New Roman" w:hAnsi="Times New Roman" w:eastAsia="宋体" w:cs="Times New Roman"/>
                <w:bCs/>
                <w:sz w:val="24"/>
                <w:szCs w:val="24"/>
                <w:lang w:val="en-US" w:eastAsia="zh-CN"/>
              </w:rPr>
              <w:t>本项目位于</w:t>
            </w:r>
            <w:r>
              <w:rPr>
                <w:rFonts w:hint="eastAsia" w:ascii="Times New Roman" w:hAnsi="Times New Roman" w:eastAsia="宋体" w:cs="Times New Roman"/>
                <w:bCs/>
                <w:sz w:val="24"/>
                <w:szCs w:val="24"/>
                <w:lang w:val="en-US" w:eastAsia="zh-CN"/>
              </w:rPr>
              <w:t>陕西省西咸新区泾河新城永乐镇泾河智造创新产业园18#3层</w:t>
            </w:r>
            <w:r>
              <w:rPr>
                <w:rFonts w:hint="default" w:ascii="Times New Roman" w:hAnsi="Times New Roman" w:eastAsia="宋体" w:cs="Times New Roman"/>
                <w:bCs/>
                <w:sz w:val="24"/>
                <w:szCs w:val="24"/>
                <w:lang w:val="en-US" w:eastAsia="zh-CN"/>
              </w:rPr>
              <w:t>，租用已建成厂房，厂房已进行地面硬化，施工期只进行生产设备和环保设施的安装及调试。</w:t>
            </w:r>
          </w:p>
          <w:p w14:paraId="69D67D54">
            <w:pPr>
              <w:numPr>
                <w:ilvl w:val="0"/>
                <w:numId w:val="0"/>
              </w:numPr>
              <w:adjustRightInd w:val="0"/>
              <w:snapToGrid w:val="0"/>
              <w:spacing w:line="360" w:lineRule="auto"/>
              <w:ind w:firstLine="480" w:firstLineChars="200"/>
              <w:jc w:val="both"/>
              <w:rPr>
                <w:rFonts w:hint="default" w:ascii="Times New Roman" w:hAnsi="Times New Roman" w:cs="Times New Roman"/>
                <w:b w:val="0"/>
                <w:bCs/>
                <w:spacing w:val="0"/>
                <w:sz w:val="24"/>
                <w:szCs w:val="24"/>
                <w:lang w:val="en-US" w:eastAsia="zh-CN"/>
              </w:rPr>
            </w:pPr>
            <w:r>
              <w:rPr>
                <w:rFonts w:hint="default" w:ascii="Times New Roman" w:hAnsi="Times New Roman" w:eastAsia="宋体" w:cs="Times New Roman"/>
                <w:bCs/>
                <w:sz w:val="24"/>
                <w:szCs w:val="24"/>
                <w:lang w:val="en-US" w:eastAsia="zh-CN"/>
              </w:rPr>
              <w:t>项目施工期较短，工程量不大，且不涉及土建工程，施工结束后污染也随之消失，对环境影响较小。</w:t>
            </w:r>
          </w:p>
          <w:p w14:paraId="0A58EC0F">
            <w:pPr>
              <w:numPr>
                <w:ilvl w:val="0"/>
                <w:numId w:val="9"/>
              </w:numPr>
              <w:adjustRightInd w:val="0"/>
              <w:snapToGrid w:val="0"/>
              <w:spacing w:line="360" w:lineRule="auto"/>
              <w:rPr>
                <w:rFonts w:hint="default" w:ascii="Times New Roman" w:hAnsi="Times New Roman" w:cs="Times New Roman"/>
                <w:b/>
                <w:bCs w:val="0"/>
                <w:spacing w:val="0"/>
                <w:sz w:val="24"/>
                <w:szCs w:val="24"/>
                <w:lang w:val="en-US" w:eastAsia="zh-CN"/>
              </w:rPr>
            </w:pPr>
            <w:r>
              <w:rPr>
                <w:rFonts w:hint="default" w:ascii="Times New Roman" w:hAnsi="Times New Roman" w:cs="Times New Roman"/>
                <w:b/>
                <w:bCs w:val="0"/>
                <w:spacing w:val="0"/>
                <w:sz w:val="24"/>
                <w:szCs w:val="24"/>
                <w:lang w:val="en-US" w:eastAsia="zh-CN"/>
              </w:rPr>
              <w:t>施工期废气污染防治措施</w:t>
            </w:r>
          </w:p>
          <w:p w14:paraId="5289B06A">
            <w:pPr>
              <w:adjustRightInd w:val="0"/>
              <w:snapToGrid w:val="0"/>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施工过程中产生的废气主要为</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设备安装过程中</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钻孔、焊接等工序产生的粉尘。</w:t>
            </w:r>
          </w:p>
          <w:p w14:paraId="1F757CC7">
            <w:pPr>
              <w:adjustRightInd w:val="0"/>
              <w:snapToGrid w:val="0"/>
              <w:spacing w:line="360" w:lineRule="auto"/>
              <w:ind w:firstLine="480" w:firstLineChars="200"/>
              <w:rPr>
                <w:rFonts w:hint="default" w:ascii="Times New Roman" w:hAnsi="Times New Roman" w:cs="Times New Roman"/>
                <w:b/>
                <w:bCs w:val="0"/>
                <w:color w:val="000000" w:themeColor="text1"/>
                <w:spacing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本项目施工场地位于现有已建成的厂房内，项目施工期短，产生的扬尘经过施工现场的自然沉降和厂房的阻隔，不会对项目周边产生较大的影响。</w:t>
            </w:r>
          </w:p>
          <w:p w14:paraId="26C42AFA">
            <w:pPr>
              <w:numPr>
                <w:ilvl w:val="0"/>
                <w:numId w:val="9"/>
              </w:numPr>
              <w:adjustRightInd w:val="0"/>
              <w:snapToGrid w:val="0"/>
              <w:spacing w:line="360" w:lineRule="auto"/>
              <w:rPr>
                <w:rFonts w:hint="default" w:ascii="Times New Roman" w:hAnsi="Times New Roman" w:cs="Times New Roman"/>
                <w:b/>
                <w:bCs w:val="0"/>
                <w:color w:val="000000" w:themeColor="text1"/>
                <w:spacing w:val="0"/>
                <w:sz w:val="24"/>
                <w:szCs w:val="24"/>
                <w:lang w:val="en-US" w:eastAsia="zh-CN"/>
                <w14:textFill>
                  <w14:solidFill>
                    <w14:schemeClr w14:val="tx1"/>
                  </w14:solidFill>
                </w14:textFill>
              </w:rPr>
            </w:pPr>
            <w:r>
              <w:rPr>
                <w:rFonts w:hint="default" w:ascii="Times New Roman" w:hAnsi="Times New Roman" w:cs="Times New Roman"/>
                <w:b/>
                <w:bCs w:val="0"/>
                <w:color w:val="000000" w:themeColor="text1"/>
                <w:spacing w:val="0"/>
                <w:sz w:val="24"/>
                <w:szCs w:val="24"/>
                <w:lang w:val="en-US" w:eastAsia="zh-CN"/>
                <w14:textFill>
                  <w14:solidFill>
                    <w14:schemeClr w14:val="tx1"/>
                  </w14:solidFill>
                </w14:textFill>
              </w:rPr>
              <w:t>施工期废水污染防治措施</w:t>
            </w:r>
          </w:p>
          <w:p w14:paraId="4853477E">
            <w:pPr>
              <w:numPr>
                <w:ilvl w:val="0"/>
                <w:numId w:val="0"/>
              </w:numPr>
              <w:adjustRightInd w:val="0"/>
              <w:snapToGrid w:val="0"/>
              <w:spacing w:line="360" w:lineRule="auto"/>
              <w:ind w:firstLine="480" w:firstLineChars="200"/>
              <w:rPr>
                <w:rFonts w:hint="default" w:ascii="Times New Roman" w:hAnsi="Times New Roman" w:cs="Times New Roman"/>
                <w:b/>
                <w:bCs w:val="0"/>
                <w:color w:val="000000" w:themeColor="text1"/>
                <w:spacing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项目施工期废水主要为施工人员的生活废水，生活废水依托园区现有化粪池处理后经市政污水管网排入泾河新城第二污水处理厂进一步处理。</w:t>
            </w:r>
          </w:p>
          <w:p w14:paraId="0EB6862A">
            <w:pPr>
              <w:numPr>
                <w:ilvl w:val="0"/>
                <w:numId w:val="9"/>
              </w:numPr>
              <w:adjustRightInd w:val="0"/>
              <w:snapToGrid w:val="0"/>
              <w:spacing w:line="360" w:lineRule="auto"/>
              <w:rPr>
                <w:rFonts w:hint="default" w:ascii="Times New Roman" w:hAnsi="Times New Roman" w:cs="Times New Roman"/>
                <w:b/>
                <w:bCs w:val="0"/>
                <w:color w:val="000000" w:themeColor="text1"/>
                <w:spacing w:val="0"/>
                <w:sz w:val="24"/>
                <w:szCs w:val="24"/>
                <w:lang w:val="en-US" w:eastAsia="zh-CN"/>
                <w14:textFill>
                  <w14:solidFill>
                    <w14:schemeClr w14:val="tx1"/>
                  </w14:solidFill>
                </w14:textFill>
              </w:rPr>
            </w:pPr>
            <w:r>
              <w:rPr>
                <w:rFonts w:hint="default" w:ascii="Times New Roman" w:hAnsi="Times New Roman" w:cs="Times New Roman"/>
                <w:b/>
                <w:bCs w:val="0"/>
                <w:color w:val="000000" w:themeColor="text1"/>
                <w:spacing w:val="0"/>
                <w:sz w:val="24"/>
                <w:szCs w:val="24"/>
                <w:lang w:val="en-US" w:eastAsia="zh-CN"/>
                <w14:textFill>
                  <w14:solidFill>
                    <w14:schemeClr w14:val="tx1"/>
                  </w14:solidFill>
                </w14:textFill>
              </w:rPr>
              <w:t>施工期噪声污染防治措施</w:t>
            </w:r>
          </w:p>
          <w:p w14:paraId="4FAF2FF3">
            <w:pPr>
              <w:adjustRightInd w:val="0"/>
              <w:snapToGrid w:val="0"/>
              <w:spacing w:line="360" w:lineRule="auto"/>
              <w:ind w:firstLine="480" w:firstLineChars="200"/>
              <w:rPr>
                <w:rFonts w:hint="default" w:ascii="Times New Roman" w:hAnsi="Times New Roman" w:cs="Times New Roman"/>
                <w:b/>
                <w:bCs w:val="0"/>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项目施工期噪声主要为</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设备安装时产生的噪声</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等。为减少施工噪声对环境的影响，要求施工期间合理安排施工时间，均安排在白天进行施工，夜间不进行施工；严格安排施工方式，控制噪声环境污染；严格操作规程，加强施工机械管理，降低人为噪声影响；尽量选用噪声较低的施工设备，并加强维护保养，采取有效的隔声、减振、消声等措施，降低噪声排放。</w:t>
            </w:r>
          </w:p>
          <w:p w14:paraId="3730A3EA">
            <w:pPr>
              <w:numPr>
                <w:ilvl w:val="0"/>
                <w:numId w:val="9"/>
              </w:numPr>
              <w:adjustRightInd w:val="0"/>
              <w:snapToGrid w:val="0"/>
              <w:spacing w:line="360" w:lineRule="auto"/>
              <w:rPr>
                <w:rFonts w:hint="default" w:ascii="Times New Roman" w:hAnsi="Times New Roman" w:cs="Times New Roman"/>
                <w:bCs/>
                <w:color w:val="000000" w:themeColor="text1"/>
                <w:spacing w:val="0"/>
                <w:sz w:val="24"/>
                <w:szCs w:val="24"/>
                <w:lang w:val="en-US" w:eastAsia="zh-CN"/>
                <w14:textFill>
                  <w14:solidFill>
                    <w14:schemeClr w14:val="tx1"/>
                  </w14:solidFill>
                </w14:textFill>
              </w:rPr>
            </w:pPr>
            <w:r>
              <w:rPr>
                <w:rFonts w:hint="default" w:ascii="Times New Roman" w:hAnsi="Times New Roman" w:cs="Times New Roman"/>
                <w:b/>
                <w:bCs w:val="0"/>
                <w:color w:val="000000" w:themeColor="text1"/>
                <w:spacing w:val="0"/>
                <w:sz w:val="24"/>
                <w:szCs w:val="24"/>
                <w:lang w:val="en-US" w:eastAsia="zh-CN"/>
                <w14:textFill>
                  <w14:solidFill>
                    <w14:schemeClr w14:val="tx1"/>
                  </w14:solidFill>
                </w14:textFill>
              </w:rPr>
              <w:t>施工期固体废物污染防治措施</w:t>
            </w:r>
          </w:p>
          <w:p w14:paraId="7912548A">
            <w:pPr>
              <w:numPr>
                <w:ilvl w:val="0"/>
                <w:numId w:val="0"/>
              </w:numPr>
              <w:adjustRightInd w:val="0"/>
              <w:snapToGrid w:val="0"/>
              <w:spacing w:line="360" w:lineRule="auto"/>
              <w:ind w:firstLine="480" w:firstLineChars="200"/>
              <w:rPr>
                <w:rFonts w:hint="default" w:ascii="Times New Roman" w:hAnsi="Times New Roman" w:cs="Times New Roman"/>
                <w:bCs/>
                <w:spacing w:val="-10"/>
                <w:sz w:val="24"/>
                <w:szCs w:val="24"/>
                <w:lang w:val="en-US" w:eastAsia="zh-CN"/>
              </w:rPr>
            </w:pPr>
            <w:r>
              <w:rPr>
                <w:rFonts w:hint="default" w:ascii="Times New Roman" w:hAnsi="Times New Roman" w:eastAsia="宋体" w:cs="Times New Roman"/>
                <w:color w:val="000000"/>
                <w:kern w:val="0"/>
                <w:sz w:val="24"/>
                <w:szCs w:val="24"/>
                <w:lang w:val="en-US" w:eastAsia="zh-CN" w:bidi="ar-SA"/>
              </w:rPr>
              <w:t>项目施工期固体废物主要为施工人员生活垃圾、设备废包装材料等，设备废包装材料，</w:t>
            </w:r>
            <w:r>
              <w:rPr>
                <w:rFonts w:hint="default" w:ascii="Times New Roman" w:hAnsi="Times New Roman" w:eastAsia="宋体" w:cs="Times New Roman"/>
                <w:color w:val="auto"/>
                <w:sz w:val="24"/>
                <w:szCs w:val="24"/>
              </w:rPr>
              <w:t>收集后运往城建部门指定地点；施工人员生活垃圾分类收集后，交由环卫部门统一清运处理。</w:t>
            </w:r>
          </w:p>
        </w:tc>
      </w:tr>
    </w:tbl>
    <w:p w14:paraId="4EFA099E">
      <w:pPr>
        <w:adjustRightInd w:val="0"/>
        <w:snapToGrid w:val="0"/>
        <w:jc w:val="center"/>
        <w:rPr>
          <w:rFonts w:hint="default" w:ascii="Times New Roman" w:hAnsi="Times New Roman" w:cs="Times New Roman"/>
          <w:bCs/>
          <w:sz w:val="24"/>
          <w:szCs w:val="24"/>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2480"/>
      </w:tblGrid>
      <w:tr w14:paraId="79544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1" w:hRule="atLeast"/>
        </w:trPr>
        <w:tc>
          <w:tcPr>
            <w:tcW w:w="281" w:type="pct"/>
            <w:noWrap w:val="0"/>
            <w:vAlign w:val="top"/>
          </w:tcPr>
          <w:p w14:paraId="12EFEB29">
            <w:pPr>
              <w:adjustRightInd w:val="0"/>
              <w:snapToGrid w:val="0"/>
              <w:jc w:val="center"/>
              <w:rPr>
                <w:bCs/>
                <w:color w:val="auto"/>
                <w:kern w:val="21"/>
                <w:szCs w:val="21"/>
              </w:rPr>
            </w:pPr>
            <w:r>
              <w:rPr>
                <w:bCs/>
                <w:color w:val="auto"/>
                <w:kern w:val="21"/>
                <w:szCs w:val="21"/>
              </w:rPr>
              <w:t>运营期环</w:t>
            </w:r>
          </w:p>
          <w:p w14:paraId="646DD470">
            <w:pPr>
              <w:adjustRightInd w:val="0"/>
              <w:snapToGrid w:val="0"/>
              <w:jc w:val="center"/>
              <w:rPr>
                <w:bCs/>
                <w:color w:val="auto"/>
                <w:kern w:val="21"/>
                <w:szCs w:val="21"/>
              </w:rPr>
            </w:pPr>
            <w:r>
              <w:rPr>
                <w:bCs/>
                <w:color w:val="auto"/>
                <w:kern w:val="21"/>
                <w:szCs w:val="21"/>
              </w:rPr>
              <w:t>境影响和</w:t>
            </w:r>
          </w:p>
          <w:p w14:paraId="6CA47AEB">
            <w:pPr>
              <w:adjustRightInd w:val="0"/>
              <w:snapToGrid w:val="0"/>
              <w:jc w:val="center"/>
              <w:rPr>
                <w:color w:val="auto"/>
              </w:rPr>
            </w:pPr>
            <w:r>
              <w:rPr>
                <w:bCs/>
                <w:color w:val="auto"/>
                <w:kern w:val="21"/>
                <w:szCs w:val="21"/>
              </w:rPr>
              <w:t>保护措施</w:t>
            </w:r>
          </w:p>
        </w:tc>
        <w:tc>
          <w:tcPr>
            <w:tcW w:w="4718" w:type="pct"/>
            <w:noWrap w:val="0"/>
            <w:vAlign w:val="top"/>
          </w:tcPr>
          <w:p w14:paraId="026222C3">
            <w:pPr>
              <w:adjustRightInd w:val="0"/>
              <w:snapToGrid w:val="0"/>
              <w:spacing w:line="360" w:lineRule="auto"/>
              <w:ind w:firstLine="482" w:firstLineChars="200"/>
              <w:rPr>
                <w:b/>
                <w:color w:val="auto"/>
                <w:sz w:val="24"/>
              </w:rPr>
            </w:pPr>
            <w:r>
              <w:rPr>
                <w:rFonts w:hint="eastAsia"/>
                <w:b/>
                <w:color w:val="auto"/>
                <w:sz w:val="24"/>
              </w:rPr>
              <w:t>1、废气</w:t>
            </w:r>
          </w:p>
          <w:p w14:paraId="253ABC9E">
            <w:pPr>
              <w:adjustRightInd w:val="0"/>
              <w:snapToGrid w:val="0"/>
              <w:spacing w:line="360" w:lineRule="auto"/>
              <w:ind w:firstLine="480" w:firstLineChars="200"/>
              <w:rPr>
                <w:b/>
                <w:color w:val="auto"/>
                <w:sz w:val="24"/>
              </w:rPr>
            </w:pPr>
            <w:r>
              <w:rPr>
                <w:bCs/>
                <w:color w:val="auto"/>
                <w:sz w:val="24"/>
              </w:rPr>
              <w:t>本项目产生废气的主要污染物为</w:t>
            </w:r>
            <w:r>
              <w:rPr>
                <w:rFonts w:hint="default" w:ascii="Times New Roman" w:hAnsi="Times New Roman" w:cs="Times New Roman"/>
                <w:b w:val="0"/>
                <w:bCs/>
                <w:color w:val="auto"/>
                <w:spacing w:val="0"/>
                <w:sz w:val="24"/>
                <w:szCs w:val="24"/>
                <w:lang w:val="en-US" w:eastAsia="zh-CN"/>
              </w:rPr>
              <w:t>催化浆料配制工序</w:t>
            </w:r>
            <w:r>
              <w:rPr>
                <w:rFonts w:hint="eastAsia" w:ascii="Times New Roman" w:hAnsi="Times New Roman" w:cs="Times New Roman"/>
                <w:b w:val="0"/>
                <w:bCs/>
                <w:color w:val="auto"/>
                <w:spacing w:val="0"/>
                <w:sz w:val="24"/>
                <w:szCs w:val="24"/>
                <w:lang w:val="en-US" w:eastAsia="zh-CN"/>
              </w:rPr>
              <w:t>、催化剂涂覆膜制备工序</w:t>
            </w:r>
            <w:r>
              <w:rPr>
                <w:rFonts w:hint="eastAsia" w:cs="Times New Roman"/>
                <w:b w:val="0"/>
                <w:bCs/>
                <w:color w:val="auto"/>
                <w:spacing w:val="0"/>
                <w:sz w:val="24"/>
                <w:szCs w:val="24"/>
                <w:lang w:val="en-US" w:eastAsia="zh-CN"/>
              </w:rPr>
              <w:t>产生的</w:t>
            </w:r>
            <w:r>
              <w:rPr>
                <w:rFonts w:hint="default" w:ascii="Times New Roman" w:hAnsi="Times New Roman" w:cs="Times New Roman"/>
                <w:b w:val="0"/>
                <w:bCs/>
                <w:color w:val="auto"/>
                <w:spacing w:val="0"/>
                <w:sz w:val="24"/>
                <w:szCs w:val="24"/>
                <w:lang w:val="en-US" w:eastAsia="zh-CN"/>
              </w:rPr>
              <w:t>非甲烷总烃</w:t>
            </w:r>
            <w:r>
              <w:rPr>
                <w:rFonts w:hint="eastAsia" w:ascii="Times New Roman" w:hAnsi="Times New Roman" w:cs="Times New Roman"/>
                <w:b w:val="0"/>
                <w:bCs/>
                <w:color w:val="auto"/>
                <w:spacing w:val="0"/>
                <w:sz w:val="24"/>
                <w:szCs w:val="24"/>
                <w:lang w:val="en-US" w:eastAsia="zh-CN"/>
              </w:rPr>
              <w:t>、变色材料制备工序</w:t>
            </w:r>
            <w:r>
              <w:rPr>
                <w:rFonts w:hint="eastAsia" w:cs="Times New Roman"/>
                <w:b w:val="0"/>
                <w:bCs/>
                <w:color w:val="auto"/>
                <w:spacing w:val="0"/>
                <w:sz w:val="24"/>
                <w:szCs w:val="24"/>
                <w:lang w:val="en-US" w:eastAsia="zh-CN"/>
              </w:rPr>
              <w:t>产生的甲醇和非甲烷总烃</w:t>
            </w:r>
            <w:r>
              <w:rPr>
                <w:rFonts w:hint="eastAsia" w:ascii="Times New Roman" w:hAnsi="Times New Roman" w:cs="Times New Roman"/>
                <w:b w:val="0"/>
                <w:bCs/>
                <w:color w:val="auto"/>
                <w:spacing w:val="0"/>
                <w:sz w:val="24"/>
                <w:szCs w:val="24"/>
                <w:lang w:val="en-US" w:eastAsia="zh-CN"/>
              </w:rPr>
              <w:t>、敏感层制备工序</w:t>
            </w:r>
            <w:r>
              <w:rPr>
                <w:rFonts w:hint="default" w:ascii="Times New Roman" w:hAnsi="Times New Roman" w:cs="Times New Roman"/>
                <w:b w:val="0"/>
                <w:bCs/>
                <w:color w:val="auto"/>
                <w:spacing w:val="0"/>
                <w:sz w:val="24"/>
                <w:szCs w:val="24"/>
                <w:lang w:val="en-US" w:eastAsia="zh-CN"/>
              </w:rPr>
              <w:t>产生的</w:t>
            </w:r>
            <w:r>
              <w:rPr>
                <w:rFonts w:hint="eastAsia" w:cs="Times New Roman"/>
                <w:b w:val="0"/>
                <w:bCs/>
                <w:color w:val="auto"/>
                <w:spacing w:val="0"/>
                <w:sz w:val="24"/>
                <w:szCs w:val="24"/>
                <w:lang w:val="en-US" w:eastAsia="zh-CN"/>
              </w:rPr>
              <w:t>甲苯</w:t>
            </w:r>
            <w:r>
              <w:rPr>
                <w:bCs/>
                <w:color w:val="auto"/>
                <w:sz w:val="24"/>
              </w:rPr>
              <w:t>。产排污环节</w:t>
            </w:r>
            <w:r>
              <w:rPr>
                <w:rFonts w:hint="eastAsia"/>
                <w:bCs/>
                <w:color w:val="auto"/>
                <w:sz w:val="24"/>
              </w:rPr>
              <w:t>等情况</w:t>
            </w:r>
            <w:r>
              <w:rPr>
                <w:bCs/>
                <w:color w:val="auto"/>
                <w:sz w:val="24"/>
              </w:rPr>
              <w:t>见</w:t>
            </w:r>
            <w:r>
              <w:rPr>
                <w:rFonts w:hint="eastAsia"/>
                <w:bCs/>
                <w:color w:val="auto"/>
                <w:sz w:val="24"/>
              </w:rPr>
              <w:t>下表</w:t>
            </w:r>
            <w:r>
              <w:rPr>
                <w:bCs/>
                <w:color w:val="auto"/>
                <w:sz w:val="24"/>
              </w:rPr>
              <w:t>。</w:t>
            </w:r>
          </w:p>
          <w:p w14:paraId="061CC9BA">
            <w:pPr>
              <w:adjustRightInd w:val="0"/>
              <w:snapToGrid w:val="0"/>
              <w:jc w:val="center"/>
              <w:rPr>
                <w:b/>
                <w:bCs/>
                <w:color w:val="auto"/>
                <w:sz w:val="24"/>
              </w:rPr>
            </w:pPr>
            <w:r>
              <w:rPr>
                <w:b/>
                <w:color w:val="auto"/>
                <w:sz w:val="24"/>
              </w:rPr>
              <w:t>表4-1</w:t>
            </w:r>
            <w:r>
              <w:rPr>
                <w:b/>
                <w:bCs/>
                <w:color w:val="auto"/>
                <w:sz w:val="24"/>
              </w:rPr>
              <w:t xml:space="preserve">  废气污染源源强核算结果及相关参数一览表</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6"/>
              <w:gridCol w:w="1095"/>
              <w:gridCol w:w="870"/>
              <w:gridCol w:w="390"/>
              <w:gridCol w:w="690"/>
              <w:gridCol w:w="750"/>
              <w:gridCol w:w="810"/>
              <w:gridCol w:w="870"/>
              <w:gridCol w:w="660"/>
              <w:gridCol w:w="780"/>
              <w:gridCol w:w="720"/>
              <w:gridCol w:w="840"/>
              <w:gridCol w:w="720"/>
              <w:gridCol w:w="885"/>
              <w:gridCol w:w="930"/>
              <w:gridCol w:w="681"/>
            </w:tblGrid>
            <w:tr w14:paraId="386B08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230" w:type="pct"/>
                  <w:vMerge w:val="restart"/>
                  <w:tcBorders>
                    <w:tl2br w:val="nil"/>
                    <w:tr2bl w:val="nil"/>
                  </w:tcBorders>
                  <w:noWrap w:val="0"/>
                  <w:vAlign w:val="center"/>
                </w:tcPr>
                <w:p w14:paraId="28B75DCC">
                  <w:pPr>
                    <w:adjustRightInd w:val="0"/>
                    <w:snapToGrid w:val="0"/>
                    <w:jc w:val="center"/>
                    <w:rPr>
                      <w:b/>
                      <w:bCs/>
                      <w:color w:val="auto"/>
                    </w:rPr>
                  </w:pPr>
                  <w:r>
                    <w:rPr>
                      <w:rFonts w:hint="eastAsia"/>
                      <w:b/>
                      <w:bCs/>
                      <w:color w:val="auto"/>
                    </w:rPr>
                    <w:t>排放源</w:t>
                  </w:r>
                </w:p>
              </w:tc>
              <w:tc>
                <w:tcPr>
                  <w:tcW w:w="446" w:type="pct"/>
                  <w:vMerge w:val="restart"/>
                  <w:tcBorders>
                    <w:tl2br w:val="nil"/>
                    <w:tr2bl w:val="nil"/>
                  </w:tcBorders>
                  <w:noWrap w:val="0"/>
                  <w:vAlign w:val="center"/>
                </w:tcPr>
                <w:p w14:paraId="51FD81E9">
                  <w:pPr>
                    <w:adjustRightInd w:val="0"/>
                    <w:snapToGrid w:val="0"/>
                    <w:jc w:val="center"/>
                    <w:rPr>
                      <w:b/>
                      <w:bCs/>
                      <w:color w:val="auto"/>
                    </w:rPr>
                  </w:pPr>
                  <w:r>
                    <w:rPr>
                      <w:rFonts w:hint="eastAsia"/>
                      <w:b/>
                      <w:bCs/>
                      <w:color w:val="auto"/>
                    </w:rPr>
                    <w:t>产污环节</w:t>
                  </w:r>
                </w:p>
              </w:tc>
              <w:tc>
                <w:tcPr>
                  <w:tcW w:w="354" w:type="pct"/>
                  <w:vMerge w:val="restart"/>
                  <w:tcBorders>
                    <w:tl2br w:val="nil"/>
                    <w:tr2bl w:val="nil"/>
                  </w:tcBorders>
                  <w:noWrap w:val="0"/>
                  <w:vAlign w:val="center"/>
                </w:tcPr>
                <w:p w14:paraId="3F57F1B6">
                  <w:pPr>
                    <w:adjustRightInd w:val="0"/>
                    <w:snapToGrid w:val="0"/>
                    <w:jc w:val="center"/>
                    <w:rPr>
                      <w:b/>
                      <w:bCs/>
                      <w:color w:val="auto"/>
                    </w:rPr>
                  </w:pPr>
                  <w:r>
                    <w:rPr>
                      <w:b/>
                      <w:bCs/>
                      <w:color w:val="auto"/>
                    </w:rPr>
                    <w:t>污染物种类</w:t>
                  </w:r>
                </w:p>
              </w:tc>
              <w:tc>
                <w:tcPr>
                  <w:tcW w:w="1076" w:type="pct"/>
                  <w:gridSpan w:val="4"/>
                  <w:tcBorders>
                    <w:tl2br w:val="nil"/>
                    <w:tr2bl w:val="nil"/>
                  </w:tcBorders>
                  <w:noWrap w:val="0"/>
                  <w:vAlign w:val="center"/>
                </w:tcPr>
                <w:p w14:paraId="776C884F">
                  <w:pPr>
                    <w:adjustRightInd w:val="0"/>
                    <w:snapToGrid w:val="0"/>
                    <w:jc w:val="center"/>
                    <w:rPr>
                      <w:b/>
                      <w:bCs/>
                      <w:color w:val="auto"/>
                    </w:rPr>
                  </w:pPr>
                  <w:r>
                    <w:rPr>
                      <w:b/>
                      <w:bCs/>
                      <w:color w:val="auto"/>
                    </w:rPr>
                    <w:t>污染物产生</w:t>
                  </w:r>
                </w:p>
              </w:tc>
              <w:tc>
                <w:tcPr>
                  <w:tcW w:w="624" w:type="pct"/>
                  <w:gridSpan w:val="2"/>
                  <w:tcBorders>
                    <w:tl2br w:val="nil"/>
                    <w:tr2bl w:val="nil"/>
                  </w:tcBorders>
                  <w:noWrap w:val="0"/>
                  <w:vAlign w:val="center"/>
                </w:tcPr>
                <w:p w14:paraId="4EBEDC0D">
                  <w:pPr>
                    <w:adjustRightInd w:val="0"/>
                    <w:snapToGrid w:val="0"/>
                    <w:jc w:val="center"/>
                    <w:rPr>
                      <w:b/>
                      <w:bCs/>
                      <w:color w:val="auto"/>
                    </w:rPr>
                  </w:pPr>
                  <w:r>
                    <w:rPr>
                      <w:b/>
                      <w:bCs/>
                      <w:color w:val="auto"/>
                    </w:rPr>
                    <w:t>治理措施</w:t>
                  </w:r>
                </w:p>
              </w:tc>
              <w:tc>
                <w:tcPr>
                  <w:tcW w:w="954" w:type="pct"/>
                  <w:gridSpan w:val="3"/>
                  <w:tcBorders>
                    <w:tl2br w:val="nil"/>
                    <w:tr2bl w:val="nil"/>
                  </w:tcBorders>
                  <w:noWrap w:val="0"/>
                  <w:vAlign w:val="center"/>
                </w:tcPr>
                <w:p w14:paraId="141BD4F9">
                  <w:pPr>
                    <w:adjustRightInd w:val="0"/>
                    <w:snapToGrid w:val="0"/>
                    <w:jc w:val="center"/>
                    <w:rPr>
                      <w:b/>
                      <w:bCs/>
                      <w:color w:val="auto"/>
                    </w:rPr>
                  </w:pPr>
                  <w:r>
                    <w:rPr>
                      <w:b/>
                      <w:bCs/>
                      <w:color w:val="auto"/>
                    </w:rPr>
                    <w:t>污染物排放</w:t>
                  </w:r>
                </w:p>
              </w:tc>
              <w:tc>
                <w:tcPr>
                  <w:tcW w:w="293" w:type="pct"/>
                  <w:vMerge w:val="restart"/>
                  <w:tcBorders>
                    <w:tl2br w:val="nil"/>
                    <w:tr2bl w:val="nil"/>
                  </w:tcBorders>
                  <w:noWrap w:val="0"/>
                  <w:vAlign w:val="center"/>
                </w:tcPr>
                <w:p w14:paraId="0FF5939E">
                  <w:pPr>
                    <w:adjustRightInd w:val="0"/>
                    <w:snapToGrid w:val="0"/>
                    <w:jc w:val="center"/>
                    <w:rPr>
                      <w:b/>
                      <w:bCs/>
                      <w:color w:val="auto"/>
                    </w:rPr>
                  </w:pPr>
                  <w:r>
                    <w:rPr>
                      <w:b/>
                      <w:bCs/>
                      <w:color w:val="auto"/>
                    </w:rPr>
                    <w:t>排放时间/h/a</w:t>
                  </w:r>
                </w:p>
              </w:tc>
              <w:tc>
                <w:tcPr>
                  <w:tcW w:w="361" w:type="pct"/>
                  <w:vMerge w:val="restart"/>
                  <w:tcBorders>
                    <w:tl2br w:val="nil"/>
                    <w:tr2bl w:val="nil"/>
                  </w:tcBorders>
                  <w:noWrap w:val="0"/>
                  <w:vAlign w:val="center"/>
                </w:tcPr>
                <w:p w14:paraId="515932CD">
                  <w:pPr>
                    <w:adjustRightInd w:val="0"/>
                    <w:snapToGrid w:val="0"/>
                    <w:jc w:val="center"/>
                    <w:rPr>
                      <w:rFonts w:hint="default" w:eastAsia="宋体"/>
                      <w:b/>
                      <w:bCs/>
                      <w:color w:val="auto"/>
                      <w:lang w:val="en-US" w:eastAsia="zh-CN"/>
                    </w:rPr>
                  </w:pPr>
                  <w:r>
                    <w:rPr>
                      <w:rFonts w:hint="eastAsia"/>
                      <w:b/>
                      <w:bCs/>
                      <w:color w:val="auto"/>
                      <w:lang w:val="en-US" w:eastAsia="zh-CN"/>
                    </w:rPr>
                    <w:t>折标排放速率标准值</w:t>
                  </w:r>
                  <w:r>
                    <w:rPr>
                      <w:b/>
                      <w:bCs/>
                      <w:color w:val="auto"/>
                      <w:szCs w:val="21"/>
                    </w:rPr>
                    <w:t>kg/h</w:t>
                  </w:r>
                </w:p>
              </w:tc>
              <w:tc>
                <w:tcPr>
                  <w:tcW w:w="379" w:type="pct"/>
                  <w:vMerge w:val="restart"/>
                  <w:tcBorders>
                    <w:tl2br w:val="nil"/>
                    <w:tr2bl w:val="nil"/>
                  </w:tcBorders>
                  <w:noWrap w:val="0"/>
                  <w:vAlign w:val="center"/>
                </w:tcPr>
                <w:p w14:paraId="4B4742D8">
                  <w:pPr>
                    <w:adjustRightInd w:val="0"/>
                    <w:snapToGrid w:val="0"/>
                    <w:jc w:val="center"/>
                    <w:rPr>
                      <w:b/>
                      <w:bCs/>
                      <w:color w:val="auto"/>
                    </w:rPr>
                  </w:pPr>
                  <w:r>
                    <w:rPr>
                      <w:b/>
                      <w:bCs/>
                      <w:color w:val="auto"/>
                    </w:rPr>
                    <w:t>排放</w:t>
                  </w:r>
                  <w:r>
                    <w:rPr>
                      <w:rFonts w:hint="eastAsia"/>
                      <w:b/>
                      <w:bCs/>
                      <w:color w:val="auto"/>
                      <w:lang w:val="en-US" w:eastAsia="zh-CN"/>
                    </w:rPr>
                    <w:t>浓度</w:t>
                  </w:r>
                  <w:r>
                    <w:rPr>
                      <w:b/>
                      <w:bCs/>
                      <w:color w:val="auto"/>
                    </w:rPr>
                    <w:t>标准值mg/m</w:t>
                  </w:r>
                  <w:r>
                    <w:rPr>
                      <w:b/>
                      <w:bCs/>
                      <w:color w:val="auto"/>
                      <w:vertAlign w:val="superscript"/>
                    </w:rPr>
                    <w:t>3</w:t>
                  </w:r>
                </w:p>
              </w:tc>
              <w:tc>
                <w:tcPr>
                  <w:tcW w:w="277" w:type="pct"/>
                  <w:vMerge w:val="restart"/>
                  <w:tcBorders>
                    <w:tl2br w:val="nil"/>
                    <w:tr2bl w:val="nil"/>
                  </w:tcBorders>
                  <w:noWrap w:val="0"/>
                  <w:vAlign w:val="center"/>
                </w:tcPr>
                <w:p w14:paraId="1469D4B7">
                  <w:pPr>
                    <w:adjustRightInd w:val="0"/>
                    <w:snapToGrid w:val="0"/>
                    <w:jc w:val="center"/>
                    <w:rPr>
                      <w:rFonts w:hint="default" w:eastAsia="宋体"/>
                      <w:b/>
                      <w:bCs/>
                      <w:color w:val="auto"/>
                      <w:lang w:val="en-US" w:eastAsia="zh-CN"/>
                    </w:rPr>
                  </w:pPr>
                  <w:r>
                    <w:rPr>
                      <w:rFonts w:hint="eastAsia"/>
                      <w:b/>
                      <w:bCs/>
                      <w:color w:val="auto"/>
                      <w:lang w:val="en-US" w:eastAsia="zh-CN"/>
                    </w:rPr>
                    <w:t>是否达标排放</w:t>
                  </w:r>
                </w:p>
              </w:tc>
            </w:tr>
            <w:tr w14:paraId="2BF7E4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230" w:type="pct"/>
                  <w:vMerge w:val="continue"/>
                  <w:tcBorders>
                    <w:tl2br w:val="nil"/>
                    <w:tr2bl w:val="nil"/>
                  </w:tcBorders>
                  <w:noWrap w:val="0"/>
                  <w:vAlign w:val="center"/>
                </w:tcPr>
                <w:p w14:paraId="669C0EAD">
                  <w:pPr>
                    <w:adjustRightInd w:val="0"/>
                    <w:snapToGrid w:val="0"/>
                    <w:jc w:val="center"/>
                    <w:rPr>
                      <w:color w:val="auto"/>
                    </w:rPr>
                  </w:pPr>
                </w:p>
              </w:tc>
              <w:tc>
                <w:tcPr>
                  <w:tcW w:w="446" w:type="pct"/>
                  <w:vMerge w:val="continue"/>
                  <w:tcBorders>
                    <w:tl2br w:val="nil"/>
                    <w:tr2bl w:val="nil"/>
                  </w:tcBorders>
                  <w:noWrap w:val="0"/>
                  <w:vAlign w:val="center"/>
                </w:tcPr>
                <w:p w14:paraId="4FD9A165">
                  <w:pPr>
                    <w:adjustRightInd w:val="0"/>
                    <w:snapToGrid w:val="0"/>
                    <w:jc w:val="center"/>
                    <w:rPr>
                      <w:color w:val="auto"/>
                    </w:rPr>
                  </w:pPr>
                </w:p>
              </w:tc>
              <w:tc>
                <w:tcPr>
                  <w:tcW w:w="354" w:type="pct"/>
                  <w:vMerge w:val="continue"/>
                  <w:tcBorders>
                    <w:tl2br w:val="nil"/>
                    <w:tr2bl w:val="nil"/>
                  </w:tcBorders>
                  <w:noWrap w:val="0"/>
                  <w:vAlign w:val="center"/>
                </w:tcPr>
                <w:p w14:paraId="7A5BC4AD">
                  <w:pPr>
                    <w:adjustRightInd w:val="0"/>
                    <w:snapToGrid w:val="0"/>
                    <w:jc w:val="center"/>
                    <w:rPr>
                      <w:color w:val="auto"/>
                    </w:rPr>
                  </w:pPr>
                </w:p>
              </w:tc>
              <w:tc>
                <w:tcPr>
                  <w:tcW w:w="159" w:type="pct"/>
                  <w:tcBorders>
                    <w:tl2br w:val="nil"/>
                    <w:tr2bl w:val="nil"/>
                  </w:tcBorders>
                  <w:noWrap w:val="0"/>
                  <w:vAlign w:val="center"/>
                </w:tcPr>
                <w:p w14:paraId="70ABBF52">
                  <w:pPr>
                    <w:adjustRightInd w:val="0"/>
                    <w:snapToGrid w:val="0"/>
                    <w:jc w:val="center"/>
                    <w:rPr>
                      <w:b/>
                      <w:bCs/>
                      <w:color w:val="auto"/>
                    </w:rPr>
                  </w:pPr>
                  <w:r>
                    <w:rPr>
                      <w:b/>
                      <w:bCs/>
                      <w:color w:val="auto"/>
                    </w:rPr>
                    <w:t>排放方式</w:t>
                  </w:r>
                </w:p>
              </w:tc>
              <w:tc>
                <w:tcPr>
                  <w:tcW w:w="281" w:type="pct"/>
                  <w:tcBorders>
                    <w:tl2br w:val="nil"/>
                    <w:tr2bl w:val="nil"/>
                  </w:tcBorders>
                  <w:noWrap w:val="0"/>
                  <w:vAlign w:val="center"/>
                </w:tcPr>
                <w:p w14:paraId="4A2E9051">
                  <w:pPr>
                    <w:pStyle w:val="70"/>
                    <w:adjustRightInd w:val="0"/>
                    <w:snapToGrid w:val="0"/>
                    <w:spacing w:line="240" w:lineRule="auto"/>
                    <w:ind w:firstLine="0"/>
                    <w:jc w:val="center"/>
                    <w:rPr>
                      <w:b/>
                      <w:bCs/>
                      <w:color w:val="auto"/>
                      <w:szCs w:val="21"/>
                    </w:rPr>
                  </w:pPr>
                  <w:r>
                    <w:rPr>
                      <w:b/>
                      <w:bCs/>
                      <w:color w:val="auto"/>
                      <w:szCs w:val="21"/>
                    </w:rPr>
                    <w:t>产生量t/a</w:t>
                  </w:r>
                </w:p>
              </w:tc>
              <w:tc>
                <w:tcPr>
                  <w:tcW w:w="305" w:type="pct"/>
                  <w:tcBorders>
                    <w:tl2br w:val="nil"/>
                    <w:tr2bl w:val="nil"/>
                  </w:tcBorders>
                  <w:noWrap w:val="0"/>
                  <w:vAlign w:val="center"/>
                </w:tcPr>
                <w:p w14:paraId="267140A6">
                  <w:pPr>
                    <w:pStyle w:val="70"/>
                    <w:adjustRightInd w:val="0"/>
                    <w:snapToGrid w:val="0"/>
                    <w:spacing w:line="240" w:lineRule="auto"/>
                    <w:ind w:firstLine="0"/>
                    <w:jc w:val="center"/>
                    <w:rPr>
                      <w:b/>
                      <w:bCs/>
                      <w:color w:val="auto"/>
                      <w:szCs w:val="21"/>
                    </w:rPr>
                  </w:pPr>
                  <w:r>
                    <w:rPr>
                      <w:rFonts w:hint="eastAsia"/>
                      <w:b/>
                      <w:bCs/>
                      <w:color w:val="auto"/>
                      <w:szCs w:val="21"/>
                    </w:rPr>
                    <w:t>产生</w:t>
                  </w:r>
                  <w:r>
                    <w:rPr>
                      <w:b/>
                      <w:bCs/>
                      <w:color w:val="auto"/>
                      <w:szCs w:val="21"/>
                    </w:rPr>
                    <w:t>速率kg/h</w:t>
                  </w:r>
                </w:p>
              </w:tc>
              <w:tc>
                <w:tcPr>
                  <w:tcW w:w="330" w:type="pct"/>
                  <w:tcBorders>
                    <w:tl2br w:val="nil"/>
                    <w:tr2bl w:val="nil"/>
                  </w:tcBorders>
                  <w:noWrap w:val="0"/>
                  <w:vAlign w:val="center"/>
                </w:tcPr>
                <w:p w14:paraId="288DC5A5">
                  <w:pPr>
                    <w:pStyle w:val="70"/>
                    <w:adjustRightInd w:val="0"/>
                    <w:snapToGrid w:val="0"/>
                    <w:spacing w:line="240" w:lineRule="auto"/>
                    <w:ind w:firstLine="0"/>
                    <w:jc w:val="center"/>
                    <w:rPr>
                      <w:b/>
                      <w:bCs/>
                      <w:color w:val="auto"/>
                      <w:szCs w:val="21"/>
                    </w:rPr>
                  </w:pPr>
                  <w:r>
                    <w:rPr>
                      <w:b/>
                      <w:bCs/>
                      <w:color w:val="auto"/>
                      <w:szCs w:val="21"/>
                    </w:rPr>
                    <w:t>产生浓度mg/m</w:t>
                  </w:r>
                  <w:r>
                    <w:rPr>
                      <w:b/>
                      <w:bCs/>
                      <w:color w:val="auto"/>
                      <w:szCs w:val="21"/>
                      <w:vertAlign w:val="superscript"/>
                    </w:rPr>
                    <w:t>3</w:t>
                  </w:r>
                </w:p>
              </w:tc>
              <w:tc>
                <w:tcPr>
                  <w:tcW w:w="354" w:type="pct"/>
                  <w:tcBorders>
                    <w:tl2br w:val="nil"/>
                    <w:tr2bl w:val="nil"/>
                  </w:tcBorders>
                  <w:noWrap w:val="0"/>
                  <w:vAlign w:val="center"/>
                </w:tcPr>
                <w:p w14:paraId="6A1B7E4C">
                  <w:pPr>
                    <w:adjustRightInd w:val="0"/>
                    <w:snapToGrid w:val="0"/>
                    <w:jc w:val="center"/>
                    <w:rPr>
                      <w:b/>
                      <w:bCs/>
                      <w:color w:val="auto"/>
                    </w:rPr>
                  </w:pPr>
                  <w:r>
                    <w:rPr>
                      <w:b/>
                      <w:bCs/>
                      <w:color w:val="auto"/>
                    </w:rPr>
                    <w:t>工艺</w:t>
                  </w:r>
                </w:p>
              </w:tc>
              <w:tc>
                <w:tcPr>
                  <w:tcW w:w="269" w:type="pct"/>
                  <w:tcBorders>
                    <w:tl2br w:val="nil"/>
                    <w:tr2bl w:val="nil"/>
                  </w:tcBorders>
                  <w:noWrap w:val="0"/>
                  <w:vAlign w:val="center"/>
                </w:tcPr>
                <w:p w14:paraId="1F9D5BBD">
                  <w:pPr>
                    <w:adjustRightInd w:val="0"/>
                    <w:snapToGrid w:val="0"/>
                    <w:jc w:val="center"/>
                    <w:rPr>
                      <w:b/>
                      <w:bCs/>
                      <w:color w:val="auto"/>
                    </w:rPr>
                  </w:pPr>
                  <w:r>
                    <w:rPr>
                      <w:b/>
                      <w:bCs/>
                      <w:color w:val="auto"/>
                    </w:rPr>
                    <w:t>效率/%</w:t>
                  </w:r>
                </w:p>
              </w:tc>
              <w:tc>
                <w:tcPr>
                  <w:tcW w:w="318" w:type="pct"/>
                  <w:tcBorders>
                    <w:tl2br w:val="nil"/>
                    <w:tr2bl w:val="nil"/>
                  </w:tcBorders>
                  <w:noWrap w:val="0"/>
                  <w:vAlign w:val="center"/>
                </w:tcPr>
                <w:p w14:paraId="35C77F26">
                  <w:pPr>
                    <w:pStyle w:val="70"/>
                    <w:adjustRightInd w:val="0"/>
                    <w:snapToGrid w:val="0"/>
                    <w:spacing w:line="240" w:lineRule="auto"/>
                    <w:ind w:firstLine="0"/>
                    <w:jc w:val="center"/>
                    <w:rPr>
                      <w:b/>
                      <w:bCs/>
                      <w:color w:val="auto"/>
                      <w:szCs w:val="21"/>
                    </w:rPr>
                  </w:pPr>
                  <w:r>
                    <w:rPr>
                      <w:b/>
                      <w:bCs/>
                      <w:color w:val="auto"/>
                      <w:szCs w:val="21"/>
                    </w:rPr>
                    <w:t>排放量t/a</w:t>
                  </w:r>
                </w:p>
              </w:tc>
              <w:tc>
                <w:tcPr>
                  <w:tcW w:w="293" w:type="pct"/>
                  <w:tcBorders>
                    <w:tl2br w:val="nil"/>
                    <w:tr2bl w:val="nil"/>
                  </w:tcBorders>
                  <w:noWrap w:val="0"/>
                  <w:vAlign w:val="center"/>
                </w:tcPr>
                <w:p w14:paraId="4697D4B5">
                  <w:pPr>
                    <w:pStyle w:val="70"/>
                    <w:adjustRightInd w:val="0"/>
                    <w:snapToGrid w:val="0"/>
                    <w:spacing w:line="240" w:lineRule="auto"/>
                    <w:ind w:firstLine="0"/>
                    <w:jc w:val="center"/>
                    <w:rPr>
                      <w:b/>
                      <w:bCs/>
                      <w:color w:val="auto"/>
                      <w:szCs w:val="21"/>
                    </w:rPr>
                  </w:pPr>
                  <w:r>
                    <w:rPr>
                      <w:rFonts w:hint="eastAsia"/>
                      <w:b/>
                      <w:bCs/>
                      <w:color w:val="auto"/>
                      <w:szCs w:val="21"/>
                    </w:rPr>
                    <w:t>排放</w:t>
                  </w:r>
                  <w:r>
                    <w:rPr>
                      <w:b/>
                      <w:bCs/>
                      <w:color w:val="auto"/>
                      <w:szCs w:val="21"/>
                    </w:rPr>
                    <w:t>速率kg/h</w:t>
                  </w:r>
                </w:p>
              </w:tc>
              <w:tc>
                <w:tcPr>
                  <w:tcW w:w="342" w:type="pct"/>
                  <w:tcBorders>
                    <w:tl2br w:val="nil"/>
                    <w:tr2bl w:val="nil"/>
                  </w:tcBorders>
                  <w:noWrap w:val="0"/>
                  <w:vAlign w:val="center"/>
                </w:tcPr>
                <w:p w14:paraId="06D0B37D">
                  <w:pPr>
                    <w:pStyle w:val="70"/>
                    <w:adjustRightInd w:val="0"/>
                    <w:snapToGrid w:val="0"/>
                    <w:spacing w:line="240" w:lineRule="auto"/>
                    <w:ind w:firstLine="0"/>
                    <w:jc w:val="center"/>
                    <w:rPr>
                      <w:b/>
                      <w:bCs/>
                      <w:color w:val="auto"/>
                      <w:szCs w:val="21"/>
                    </w:rPr>
                  </w:pPr>
                  <w:r>
                    <w:rPr>
                      <w:b/>
                      <w:bCs/>
                      <w:color w:val="auto"/>
                      <w:szCs w:val="21"/>
                    </w:rPr>
                    <w:t>排放浓度mg/m</w:t>
                  </w:r>
                  <w:r>
                    <w:rPr>
                      <w:b/>
                      <w:bCs/>
                      <w:color w:val="auto"/>
                      <w:szCs w:val="21"/>
                      <w:vertAlign w:val="superscript"/>
                    </w:rPr>
                    <w:t>3</w:t>
                  </w:r>
                </w:p>
              </w:tc>
              <w:tc>
                <w:tcPr>
                  <w:tcW w:w="293" w:type="pct"/>
                  <w:vMerge w:val="continue"/>
                  <w:tcBorders>
                    <w:tl2br w:val="nil"/>
                    <w:tr2bl w:val="nil"/>
                  </w:tcBorders>
                  <w:noWrap w:val="0"/>
                  <w:vAlign w:val="center"/>
                </w:tcPr>
                <w:p w14:paraId="0A4577EA">
                  <w:pPr>
                    <w:adjustRightInd w:val="0"/>
                    <w:snapToGrid w:val="0"/>
                    <w:jc w:val="center"/>
                    <w:rPr>
                      <w:b/>
                      <w:bCs/>
                      <w:color w:val="auto"/>
                    </w:rPr>
                  </w:pPr>
                </w:p>
              </w:tc>
              <w:tc>
                <w:tcPr>
                  <w:tcW w:w="361" w:type="pct"/>
                  <w:vMerge w:val="continue"/>
                  <w:tcBorders>
                    <w:tl2br w:val="nil"/>
                    <w:tr2bl w:val="nil"/>
                  </w:tcBorders>
                  <w:noWrap w:val="0"/>
                  <w:vAlign w:val="center"/>
                </w:tcPr>
                <w:p w14:paraId="729E2BCD">
                  <w:pPr>
                    <w:adjustRightInd w:val="0"/>
                    <w:snapToGrid w:val="0"/>
                    <w:jc w:val="center"/>
                    <w:rPr>
                      <w:b/>
                      <w:bCs/>
                      <w:color w:val="auto"/>
                    </w:rPr>
                  </w:pPr>
                </w:p>
              </w:tc>
              <w:tc>
                <w:tcPr>
                  <w:tcW w:w="379" w:type="pct"/>
                  <w:vMerge w:val="continue"/>
                  <w:tcBorders>
                    <w:tl2br w:val="nil"/>
                    <w:tr2bl w:val="nil"/>
                  </w:tcBorders>
                  <w:noWrap w:val="0"/>
                  <w:vAlign w:val="center"/>
                </w:tcPr>
                <w:p w14:paraId="30DFFA82">
                  <w:pPr>
                    <w:adjustRightInd w:val="0"/>
                    <w:snapToGrid w:val="0"/>
                    <w:jc w:val="center"/>
                    <w:rPr>
                      <w:b/>
                      <w:bCs/>
                      <w:color w:val="auto"/>
                    </w:rPr>
                  </w:pPr>
                </w:p>
              </w:tc>
              <w:tc>
                <w:tcPr>
                  <w:tcW w:w="277" w:type="pct"/>
                  <w:vMerge w:val="continue"/>
                  <w:tcBorders>
                    <w:tl2br w:val="nil"/>
                    <w:tr2bl w:val="nil"/>
                  </w:tcBorders>
                  <w:noWrap w:val="0"/>
                  <w:vAlign w:val="center"/>
                </w:tcPr>
                <w:p w14:paraId="4627E7B9">
                  <w:pPr>
                    <w:adjustRightInd w:val="0"/>
                    <w:snapToGrid w:val="0"/>
                    <w:jc w:val="center"/>
                    <w:rPr>
                      <w:b/>
                      <w:bCs/>
                      <w:color w:val="auto"/>
                    </w:rPr>
                  </w:pPr>
                </w:p>
              </w:tc>
            </w:tr>
            <w:tr w14:paraId="406AC6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30" w:type="pct"/>
                  <w:vMerge w:val="restart"/>
                  <w:tcBorders>
                    <w:tl2br w:val="nil"/>
                    <w:tr2bl w:val="nil"/>
                  </w:tcBorders>
                  <w:noWrap w:val="0"/>
                  <w:vAlign w:val="center"/>
                </w:tcPr>
                <w:p w14:paraId="69AACA0D">
                  <w:pPr>
                    <w:adjustRightInd w:val="0"/>
                    <w:snapToGrid w:val="0"/>
                    <w:jc w:val="center"/>
                    <w:rPr>
                      <w:color w:val="auto"/>
                    </w:rPr>
                  </w:pPr>
                  <w:r>
                    <w:rPr>
                      <w:rFonts w:hint="eastAsia"/>
                      <w:color w:val="auto"/>
                    </w:rPr>
                    <w:t>DA001</w:t>
                  </w:r>
                </w:p>
              </w:tc>
              <w:tc>
                <w:tcPr>
                  <w:tcW w:w="446" w:type="pct"/>
                  <w:tcBorders>
                    <w:tl2br w:val="nil"/>
                    <w:tr2bl w:val="nil"/>
                  </w:tcBorders>
                  <w:noWrap w:val="0"/>
                  <w:vAlign w:val="center"/>
                </w:tcPr>
                <w:p w14:paraId="13196686">
                  <w:pPr>
                    <w:adjustRightInd w:val="0"/>
                    <w:snapToGrid w:val="0"/>
                    <w:jc w:val="center"/>
                    <w:rPr>
                      <w:color w:val="auto"/>
                    </w:rPr>
                  </w:pPr>
                  <w:r>
                    <w:rPr>
                      <w:rFonts w:hint="default"/>
                      <w:color w:val="auto"/>
                      <w:lang w:val="en-US" w:eastAsia="zh-CN"/>
                    </w:rPr>
                    <w:t>催化浆料配制工序</w:t>
                  </w:r>
                </w:p>
              </w:tc>
              <w:tc>
                <w:tcPr>
                  <w:tcW w:w="354" w:type="pct"/>
                  <w:tcBorders>
                    <w:tl2br w:val="nil"/>
                    <w:tr2bl w:val="nil"/>
                  </w:tcBorders>
                  <w:noWrap w:val="0"/>
                  <w:vAlign w:val="center"/>
                </w:tcPr>
                <w:p w14:paraId="386FE7FA">
                  <w:pPr>
                    <w:adjustRightInd w:val="0"/>
                    <w:snapToGrid w:val="0"/>
                    <w:jc w:val="center"/>
                    <w:rPr>
                      <w:color w:val="auto"/>
                    </w:rPr>
                  </w:pPr>
                  <w:r>
                    <w:rPr>
                      <w:rFonts w:hint="eastAsia"/>
                      <w:color w:val="auto"/>
                    </w:rPr>
                    <w:t>非甲烷总烃</w:t>
                  </w:r>
                </w:p>
              </w:tc>
              <w:tc>
                <w:tcPr>
                  <w:tcW w:w="159" w:type="pct"/>
                  <w:vMerge w:val="restart"/>
                  <w:tcBorders>
                    <w:tl2br w:val="nil"/>
                    <w:tr2bl w:val="nil"/>
                  </w:tcBorders>
                  <w:noWrap w:val="0"/>
                  <w:vAlign w:val="center"/>
                </w:tcPr>
                <w:p w14:paraId="099DA251">
                  <w:pPr>
                    <w:adjustRightInd w:val="0"/>
                    <w:snapToGrid w:val="0"/>
                    <w:jc w:val="center"/>
                    <w:rPr>
                      <w:color w:val="auto"/>
                    </w:rPr>
                  </w:pPr>
                  <w:r>
                    <w:rPr>
                      <w:rFonts w:hint="eastAsia"/>
                      <w:color w:val="auto"/>
                    </w:rPr>
                    <w:t>有组织</w:t>
                  </w:r>
                </w:p>
              </w:tc>
              <w:tc>
                <w:tcPr>
                  <w:tcW w:w="690" w:type="dxa"/>
                  <w:tcBorders>
                    <w:tl2br w:val="nil"/>
                    <w:tr2bl w:val="nil"/>
                  </w:tcBorders>
                  <w:noWrap w:val="0"/>
                  <w:vAlign w:val="center"/>
                </w:tcPr>
                <w:p w14:paraId="111C2E11">
                  <w:pPr>
                    <w:adjustRightInd w:val="0"/>
                    <w:snapToGrid w:val="0"/>
                    <w:jc w:val="center"/>
                    <w:rPr>
                      <w:color w:val="auto"/>
                    </w:rPr>
                  </w:pPr>
                  <w:r>
                    <w:rPr>
                      <w:rFonts w:hint="eastAsia"/>
                      <w:color w:val="auto"/>
                      <w:lang w:val="en-US" w:eastAsia="zh-CN"/>
                    </w:rPr>
                    <w:t>0.002</w:t>
                  </w:r>
                </w:p>
              </w:tc>
              <w:tc>
                <w:tcPr>
                  <w:tcW w:w="750" w:type="dxa"/>
                  <w:vMerge w:val="restart"/>
                  <w:tcBorders>
                    <w:tl2br w:val="nil"/>
                    <w:tr2bl w:val="nil"/>
                  </w:tcBorders>
                  <w:noWrap w:val="0"/>
                  <w:vAlign w:val="center"/>
                </w:tcPr>
                <w:p w14:paraId="26BC127D">
                  <w:pPr>
                    <w:adjustRightInd w:val="0"/>
                    <w:snapToGrid w:val="0"/>
                    <w:jc w:val="center"/>
                    <w:rPr>
                      <w:color w:val="auto"/>
                    </w:rPr>
                  </w:pPr>
                  <w:r>
                    <w:rPr>
                      <w:rFonts w:hint="eastAsia"/>
                      <w:color w:val="auto"/>
                      <w:lang w:val="en-US" w:eastAsia="zh-CN"/>
                    </w:rPr>
                    <w:t>0.216</w:t>
                  </w:r>
                </w:p>
              </w:tc>
              <w:tc>
                <w:tcPr>
                  <w:tcW w:w="810" w:type="dxa"/>
                  <w:vMerge w:val="restart"/>
                  <w:tcBorders>
                    <w:tl2br w:val="nil"/>
                    <w:tr2bl w:val="nil"/>
                  </w:tcBorders>
                  <w:shd w:val="clear" w:color="auto" w:fill="auto"/>
                  <w:noWrap w:val="0"/>
                  <w:vAlign w:val="center"/>
                </w:tcPr>
                <w:p w14:paraId="53AB9161">
                  <w:pPr>
                    <w:adjustRightInd w:val="0"/>
                    <w:snapToGrid w:val="0"/>
                    <w:jc w:val="center"/>
                    <w:rPr>
                      <w:rFonts w:hint="default"/>
                      <w:color w:val="auto"/>
                      <w:lang w:val="en-US"/>
                    </w:rPr>
                  </w:pPr>
                  <w:r>
                    <w:rPr>
                      <w:rFonts w:hint="eastAsia"/>
                      <w:color w:val="auto"/>
                      <w:lang w:val="en-US" w:eastAsia="zh-CN"/>
                    </w:rPr>
                    <w:t>33.23</w:t>
                  </w:r>
                </w:p>
              </w:tc>
              <w:tc>
                <w:tcPr>
                  <w:tcW w:w="354" w:type="pct"/>
                  <w:vMerge w:val="restart"/>
                  <w:tcBorders>
                    <w:tl2br w:val="nil"/>
                    <w:tr2bl w:val="nil"/>
                  </w:tcBorders>
                  <w:noWrap w:val="0"/>
                  <w:vAlign w:val="center"/>
                </w:tcPr>
                <w:p w14:paraId="06D4AE45">
                  <w:pPr>
                    <w:adjustRightInd w:val="0"/>
                    <w:snapToGrid w:val="0"/>
                    <w:jc w:val="center"/>
                    <w:rPr>
                      <w:color w:val="auto"/>
                      <w:highlight w:val="none"/>
                    </w:rPr>
                  </w:pPr>
                  <w:r>
                    <w:rPr>
                      <w:rFonts w:hint="eastAsia"/>
                      <w:color w:val="auto"/>
                      <w:highlight w:val="none"/>
                    </w:rPr>
                    <w:t>二级</w:t>
                  </w:r>
                  <w:r>
                    <w:rPr>
                      <w:color w:val="auto"/>
                      <w:highlight w:val="none"/>
                    </w:rPr>
                    <w:t>活性炭吸附</w:t>
                  </w:r>
                </w:p>
              </w:tc>
              <w:tc>
                <w:tcPr>
                  <w:tcW w:w="269" w:type="pct"/>
                  <w:vMerge w:val="restart"/>
                  <w:tcBorders>
                    <w:tl2br w:val="nil"/>
                    <w:tr2bl w:val="nil"/>
                  </w:tcBorders>
                  <w:noWrap w:val="0"/>
                  <w:vAlign w:val="center"/>
                </w:tcPr>
                <w:p w14:paraId="7E78A195">
                  <w:pPr>
                    <w:adjustRightInd w:val="0"/>
                    <w:snapToGrid w:val="0"/>
                    <w:jc w:val="center"/>
                    <w:rPr>
                      <w:color w:val="auto"/>
                      <w:highlight w:val="none"/>
                    </w:rPr>
                  </w:pPr>
                  <w:r>
                    <w:rPr>
                      <w:rFonts w:hint="eastAsia"/>
                      <w:color w:val="auto"/>
                      <w:highlight w:val="none"/>
                    </w:rPr>
                    <w:t>75%</w:t>
                  </w:r>
                </w:p>
              </w:tc>
              <w:tc>
                <w:tcPr>
                  <w:tcW w:w="780" w:type="dxa"/>
                  <w:vMerge w:val="restart"/>
                  <w:tcBorders>
                    <w:tl2br w:val="nil"/>
                    <w:tr2bl w:val="nil"/>
                  </w:tcBorders>
                  <w:noWrap w:val="0"/>
                  <w:vAlign w:val="center"/>
                </w:tcPr>
                <w:p w14:paraId="480C6721">
                  <w:pPr>
                    <w:adjustRightInd w:val="0"/>
                    <w:snapToGrid w:val="0"/>
                    <w:jc w:val="center"/>
                    <w:rPr>
                      <w:color w:val="auto"/>
                    </w:rPr>
                  </w:pPr>
                  <w:r>
                    <w:rPr>
                      <w:rFonts w:hint="eastAsia"/>
                      <w:color w:val="auto"/>
                      <w:lang w:val="en-US" w:eastAsia="zh-CN"/>
                    </w:rPr>
                    <w:t>0.108</w:t>
                  </w:r>
                </w:p>
              </w:tc>
              <w:tc>
                <w:tcPr>
                  <w:tcW w:w="720" w:type="dxa"/>
                  <w:vMerge w:val="restart"/>
                  <w:tcBorders>
                    <w:tl2br w:val="nil"/>
                    <w:tr2bl w:val="nil"/>
                  </w:tcBorders>
                  <w:noWrap w:val="0"/>
                  <w:vAlign w:val="center"/>
                </w:tcPr>
                <w:p w14:paraId="671FD0DF">
                  <w:pPr>
                    <w:adjustRightInd w:val="0"/>
                    <w:snapToGrid w:val="0"/>
                    <w:jc w:val="center"/>
                    <w:rPr>
                      <w:color w:val="auto"/>
                    </w:rPr>
                  </w:pPr>
                  <w:r>
                    <w:rPr>
                      <w:rFonts w:hint="eastAsia"/>
                      <w:color w:val="auto"/>
                      <w:lang w:val="en-US" w:eastAsia="zh-CN"/>
                    </w:rPr>
                    <w:t>0.054</w:t>
                  </w:r>
                </w:p>
              </w:tc>
              <w:tc>
                <w:tcPr>
                  <w:tcW w:w="840" w:type="dxa"/>
                  <w:vMerge w:val="restart"/>
                  <w:tcBorders>
                    <w:tl2br w:val="nil"/>
                    <w:tr2bl w:val="nil"/>
                  </w:tcBorders>
                  <w:shd w:val="clear" w:color="auto" w:fill="auto"/>
                  <w:noWrap w:val="0"/>
                  <w:vAlign w:val="center"/>
                </w:tcPr>
                <w:p w14:paraId="2B9712C9">
                  <w:pPr>
                    <w:adjustRightInd w:val="0"/>
                    <w:snapToGrid w:val="0"/>
                    <w:jc w:val="center"/>
                    <w:rPr>
                      <w:rFonts w:hint="default"/>
                      <w:color w:val="auto"/>
                      <w:lang w:val="en-US"/>
                    </w:rPr>
                  </w:pPr>
                  <w:r>
                    <w:rPr>
                      <w:rFonts w:hint="eastAsia"/>
                      <w:color w:val="auto"/>
                      <w:lang w:val="en-US" w:eastAsia="zh-CN"/>
                    </w:rPr>
                    <w:t>8.31</w:t>
                  </w:r>
                </w:p>
              </w:tc>
              <w:tc>
                <w:tcPr>
                  <w:tcW w:w="293" w:type="pct"/>
                  <w:tcBorders>
                    <w:tl2br w:val="nil"/>
                    <w:tr2bl w:val="nil"/>
                  </w:tcBorders>
                  <w:noWrap w:val="0"/>
                  <w:vAlign w:val="center"/>
                </w:tcPr>
                <w:p w14:paraId="61775E9C">
                  <w:pPr>
                    <w:adjustRightInd w:val="0"/>
                    <w:snapToGrid w:val="0"/>
                    <w:jc w:val="center"/>
                    <w:rPr>
                      <w:rFonts w:hint="default" w:eastAsia="宋体"/>
                      <w:color w:val="auto"/>
                      <w:lang w:val="en-US" w:eastAsia="zh-CN"/>
                    </w:rPr>
                  </w:pPr>
                  <w:r>
                    <w:rPr>
                      <w:rFonts w:hint="eastAsia"/>
                      <w:color w:val="auto"/>
                      <w:lang w:val="en-US" w:eastAsia="zh-CN"/>
                    </w:rPr>
                    <w:t>2000</w:t>
                  </w:r>
                </w:p>
              </w:tc>
              <w:tc>
                <w:tcPr>
                  <w:tcW w:w="361" w:type="pct"/>
                  <w:tcBorders>
                    <w:tl2br w:val="nil"/>
                    <w:tr2bl w:val="nil"/>
                  </w:tcBorders>
                  <w:noWrap w:val="0"/>
                  <w:vAlign w:val="center"/>
                </w:tcPr>
                <w:p w14:paraId="7FB5C381">
                  <w:pPr>
                    <w:adjustRightInd w:val="0"/>
                    <w:snapToGrid w:val="0"/>
                    <w:jc w:val="center"/>
                    <w:rPr>
                      <w:rFonts w:hint="default"/>
                      <w:color w:val="auto"/>
                      <w:highlight w:val="none"/>
                      <w:lang w:val="en-US" w:eastAsia="zh-CN"/>
                    </w:rPr>
                  </w:pPr>
                  <w:r>
                    <w:rPr>
                      <w:rFonts w:hint="eastAsia"/>
                      <w:color w:val="auto"/>
                      <w:highlight w:val="none"/>
                      <w:lang w:val="en-US" w:eastAsia="zh-CN"/>
                    </w:rPr>
                    <w:t>5</w:t>
                  </w:r>
                </w:p>
              </w:tc>
              <w:tc>
                <w:tcPr>
                  <w:tcW w:w="379" w:type="pct"/>
                  <w:tcBorders>
                    <w:tl2br w:val="nil"/>
                    <w:tr2bl w:val="nil"/>
                  </w:tcBorders>
                  <w:noWrap w:val="0"/>
                  <w:vAlign w:val="center"/>
                </w:tcPr>
                <w:p w14:paraId="2586E597">
                  <w:pPr>
                    <w:adjustRightInd w:val="0"/>
                    <w:snapToGrid w:val="0"/>
                    <w:jc w:val="center"/>
                    <w:rPr>
                      <w:rFonts w:hint="eastAsia"/>
                      <w:color w:val="auto"/>
                      <w:highlight w:val="none"/>
                      <w:lang w:val="en-US" w:eastAsia="zh-CN"/>
                    </w:rPr>
                  </w:pPr>
                  <w:r>
                    <w:rPr>
                      <w:rFonts w:hint="eastAsia"/>
                      <w:color w:val="auto"/>
                      <w:highlight w:val="none"/>
                      <w:lang w:val="en-US" w:eastAsia="zh-CN"/>
                    </w:rPr>
                    <w:t>120</w:t>
                  </w:r>
                </w:p>
              </w:tc>
              <w:tc>
                <w:tcPr>
                  <w:tcW w:w="277" w:type="pct"/>
                  <w:tcBorders>
                    <w:tl2br w:val="nil"/>
                    <w:tr2bl w:val="nil"/>
                  </w:tcBorders>
                  <w:noWrap w:val="0"/>
                  <w:vAlign w:val="center"/>
                </w:tcPr>
                <w:p w14:paraId="4AA1162A">
                  <w:pPr>
                    <w:adjustRightInd w:val="0"/>
                    <w:snapToGrid w:val="0"/>
                    <w:jc w:val="center"/>
                    <w:rPr>
                      <w:rFonts w:hint="default"/>
                      <w:color w:val="auto"/>
                      <w:highlight w:val="none"/>
                      <w:lang w:val="en-US" w:eastAsia="zh-CN"/>
                    </w:rPr>
                  </w:pPr>
                  <w:r>
                    <w:rPr>
                      <w:rFonts w:hint="eastAsia"/>
                      <w:color w:val="auto"/>
                      <w:highlight w:val="none"/>
                      <w:lang w:val="en-US" w:eastAsia="zh-CN"/>
                    </w:rPr>
                    <w:t>达标</w:t>
                  </w:r>
                </w:p>
              </w:tc>
            </w:tr>
            <w:tr w14:paraId="6B6543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230" w:type="pct"/>
                  <w:vMerge w:val="continue"/>
                  <w:tcBorders>
                    <w:tl2br w:val="nil"/>
                    <w:tr2bl w:val="nil"/>
                  </w:tcBorders>
                  <w:noWrap w:val="0"/>
                  <w:vAlign w:val="center"/>
                </w:tcPr>
                <w:p w14:paraId="028BF244">
                  <w:pPr>
                    <w:adjustRightInd w:val="0"/>
                    <w:snapToGrid w:val="0"/>
                    <w:jc w:val="center"/>
                    <w:rPr>
                      <w:color w:val="auto"/>
                    </w:rPr>
                  </w:pPr>
                </w:p>
              </w:tc>
              <w:tc>
                <w:tcPr>
                  <w:tcW w:w="446" w:type="pct"/>
                  <w:tcBorders>
                    <w:tl2br w:val="nil"/>
                    <w:tr2bl w:val="nil"/>
                  </w:tcBorders>
                  <w:noWrap w:val="0"/>
                  <w:vAlign w:val="center"/>
                </w:tcPr>
                <w:p w14:paraId="7DDC8433">
                  <w:pPr>
                    <w:adjustRightInd w:val="0"/>
                    <w:snapToGrid w:val="0"/>
                    <w:jc w:val="center"/>
                    <w:rPr>
                      <w:color w:val="auto"/>
                    </w:rPr>
                  </w:pPr>
                  <w:r>
                    <w:rPr>
                      <w:rFonts w:hint="eastAsia"/>
                      <w:color w:val="auto"/>
                      <w:lang w:val="en-US" w:eastAsia="zh-CN"/>
                    </w:rPr>
                    <w:t>催化剂涂覆膜制备工序</w:t>
                  </w:r>
                </w:p>
              </w:tc>
              <w:tc>
                <w:tcPr>
                  <w:tcW w:w="354" w:type="pct"/>
                  <w:tcBorders>
                    <w:tl2br w:val="nil"/>
                    <w:tr2bl w:val="nil"/>
                  </w:tcBorders>
                  <w:noWrap w:val="0"/>
                  <w:vAlign w:val="center"/>
                </w:tcPr>
                <w:p w14:paraId="7E464D88">
                  <w:pPr>
                    <w:adjustRightInd w:val="0"/>
                    <w:snapToGrid w:val="0"/>
                    <w:jc w:val="center"/>
                    <w:rPr>
                      <w:color w:val="auto"/>
                    </w:rPr>
                  </w:pPr>
                  <w:r>
                    <w:rPr>
                      <w:rFonts w:hint="eastAsia"/>
                      <w:color w:val="auto"/>
                    </w:rPr>
                    <w:t>非甲烷总烃</w:t>
                  </w:r>
                </w:p>
              </w:tc>
              <w:tc>
                <w:tcPr>
                  <w:tcW w:w="159" w:type="pct"/>
                  <w:vMerge w:val="continue"/>
                  <w:tcBorders>
                    <w:tl2br w:val="nil"/>
                    <w:tr2bl w:val="nil"/>
                  </w:tcBorders>
                  <w:noWrap w:val="0"/>
                  <w:vAlign w:val="center"/>
                </w:tcPr>
                <w:p w14:paraId="6E54357C">
                  <w:pPr>
                    <w:adjustRightInd w:val="0"/>
                    <w:snapToGrid w:val="0"/>
                    <w:jc w:val="center"/>
                    <w:rPr>
                      <w:color w:val="auto"/>
                    </w:rPr>
                  </w:pPr>
                </w:p>
              </w:tc>
              <w:tc>
                <w:tcPr>
                  <w:tcW w:w="690" w:type="dxa"/>
                  <w:tcBorders>
                    <w:tl2br w:val="nil"/>
                    <w:tr2bl w:val="nil"/>
                  </w:tcBorders>
                  <w:noWrap w:val="0"/>
                  <w:vAlign w:val="center"/>
                </w:tcPr>
                <w:p w14:paraId="37BBCD75">
                  <w:pPr>
                    <w:adjustRightInd w:val="0"/>
                    <w:snapToGrid w:val="0"/>
                    <w:jc w:val="center"/>
                    <w:rPr>
                      <w:rFonts w:hint="default"/>
                      <w:color w:val="auto"/>
                      <w:lang w:val="en-US"/>
                    </w:rPr>
                  </w:pPr>
                  <w:r>
                    <w:rPr>
                      <w:rFonts w:hint="eastAsia"/>
                      <w:color w:val="auto"/>
                      <w:lang w:val="en-US" w:eastAsia="zh-CN"/>
                    </w:rPr>
                    <w:t>0.43</w:t>
                  </w:r>
                </w:p>
              </w:tc>
              <w:tc>
                <w:tcPr>
                  <w:tcW w:w="305" w:type="pct"/>
                  <w:vMerge w:val="continue"/>
                  <w:tcBorders>
                    <w:tl2br w:val="nil"/>
                    <w:tr2bl w:val="nil"/>
                  </w:tcBorders>
                  <w:noWrap w:val="0"/>
                  <w:vAlign w:val="center"/>
                </w:tcPr>
                <w:p w14:paraId="5D715CF7">
                  <w:pPr>
                    <w:adjustRightInd w:val="0"/>
                    <w:snapToGrid w:val="0"/>
                    <w:jc w:val="center"/>
                    <w:rPr>
                      <w:color w:val="auto"/>
                    </w:rPr>
                  </w:pPr>
                </w:p>
              </w:tc>
              <w:tc>
                <w:tcPr>
                  <w:tcW w:w="330" w:type="pct"/>
                  <w:vMerge w:val="continue"/>
                  <w:tcBorders>
                    <w:tl2br w:val="nil"/>
                    <w:tr2bl w:val="nil"/>
                  </w:tcBorders>
                  <w:noWrap w:val="0"/>
                  <w:vAlign w:val="center"/>
                </w:tcPr>
                <w:p w14:paraId="0054A8FF">
                  <w:pPr>
                    <w:adjustRightInd w:val="0"/>
                    <w:snapToGrid w:val="0"/>
                    <w:jc w:val="center"/>
                    <w:rPr>
                      <w:color w:val="auto"/>
                    </w:rPr>
                  </w:pPr>
                </w:p>
              </w:tc>
              <w:tc>
                <w:tcPr>
                  <w:tcW w:w="354" w:type="pct"/>
                  <w:vMerge w:val="continue"/>
                  <w:tcBorders>
                    <w:tl2br w:val="nil"/>
                    <w:tr2bl w:val="nil"/>
                  </w:tcBorders>
                  <w:noWrap w:val="0"/>
                  <w:vAlign w:val="center"/>
                </w:tcPr>
                <w:p w14:paraId="48F1199E">
                  <w:pPr>
                    <w:adjustRightInd w:val="0"/>
                    <w:snapToGrid w:val="0"/>
                    <w:jc w:val="center"/>
                    <w:rPr>
                      <w:color w:val="auto"/>
                      <w:highlight w:val="green"/>
                    </w:rPr>
                  </w:pPr>
                </w:p>
              </w:tc>
              <w:tc>
                <w:tcPr>
                  <w:tcW w:w="269" w:type="pct"/>
                  <w:vMerge w:val="continue"/>
                  <w:tcBorders>
                    <w:tl2br w:val="nil"/>
                    <w:tr2bl w:val="nil"/>
                  </w:tcBorders>
                  <w:noWrap w:val="0"/>
                  <w:vAlign w:val="center"/>
                </w:tcPr>
                <w:p w14:paraId="6A049C21">
                  <w:pPr>
                    <w:adjustRightInd w:val="0"/>
                    <w:snapToGrid w:val="0"/>
                    <w:jc w:val="center"/>
                    <w:rPr>
                      <w:color w:val="auto"/>
                      <w:highlight w:val="green"/>
                    </w:rPr>
                  </w:pPr>
                </w:p>
              </w:tc>
              <w:tc>
                <w:tcPr>
                  <w:tcW w:w="318" w:type="pct"/>
                  <w:vMerge w:val="continue"/>
                  <w:tcBorders>
                    <w:tl2br w:val="nil"/>
                    <w:tr2bl w:val="nil"/>
                  </w:tcBorders>
                  <w:noWrap w:val="0"/>
                  <w:vAlign w:val="center"/>
                </w:tcPr>
                <w:p w14:paraId="47908080">
                  <w:pPr>
                    <w:adjustRightInd w:val="0"/>
                    <w:snapToGrid w:val="0"/>
                    <w:jc w:val="center"/>
                    <w:rPr>
                      <w:color w:val="auto"/>
                    </w:rPr>
                  </w:pPr>
                </w:p>
              </w:tc>
              <w:tc>
                <w:tcPr>
                  <w:tcW w:w="293" w:type="pct"/>
                  <w:vMerge w:val="continue"/>
                  <w:tcBorders>
                    <w:tl2br w:val="nil"/>
                    <w:tr2bl w:val="nil"/>
                  </w:tcBorders>
                  <w:noWrap w:val="0"/>
                  <w:vAlign w:val="center"/>
                </w:tcPr>
                <w:p w14:paraId="15576B38">
                  <w:pPr>
                    <w:adjustRightInd w:val="0"/>
                    <w:snapToGrid w:val="0"/>
                    <w:jc w:val="center"/>
                    <w:rPr>
                      <w:color w:val="auto"/>
                    </w:rPr>
                  </w:pPr>
                </w:p>
              </w:tc>
              <w:tc>
                <w:tcPr>
                  <w:tcW w:w="342" w:type="pct"/>
                  <w:vMerge w:val="continue"/>
                  <w:tcBorders>
                    <w:tl2br w:val="nil"/>
                    <w:tr2bl w:val="nil"/>
                  </w:tcBorders>
                  <w:noWrap w:val="0"/>
                  <w:vAlign w:val="center"/>
                </w:tcPr>
                <w:p w14:paraId="31048FB5">
                  <w:pPr>
                    <w:adjustRightInd w:val="0"/>
                    <w:snapToGrid w:val="0"/>
                    <w:jc w:val="center"/>
                    <w:rPr>
                      <w:color w:val="auto"/>
                    </w:rPr>
                  </w:pPr>
                </w:p>
              </w:tc>
              <w:tc>
                <w:tcPr>
                  <w:tcW w:w="293" w:type="pct"/>
                  <w:tcBorders>
                    <w:tl2br w:val="nil"/>
                    <w:tr2bl w:val="nil"/>
                  </w:tcBorders>
                  <w:noWrap w:val="0"/>
                  <w:vAlign w:val="center"/>
                </w:tcPr>
                <w:p w14:paraId="00767030">
                  <w:pPr>
                    <w:adjustRightInd w:val="0"/>
                    <w:snapToGrid w:val="0"/>
                    <w:jc w:val="center"/>
                    <w:rPr>
                      <w:color w:val="auto"/>
                    </w:rPr>
                  </w:pPr>
                  <w:r>
                    <w:rPr>
                      <w:rFonts w:hint="eastAsia"/>
                      <w:color w:val="auto"/>
                      <w:lang w:val="en-US" w:eastAsia="zh-CN"/>
                    </w:rPr>
                    <w:t>2000</w:t>
                  </w:r>
                </w:p>
              </w:tc>
              <w:tc>
                <w:tcPr>
                  <w:tcW w:w="361" w:type="pct"/>
                  <w:tcBorders>
                    <w:tl2br w:val="nil"/>
                    <w:tr2bl w:val="nil"/>
                  </w:tcBorders>
                  <w:noWrap w:val="0"/>
                  <w:vAlign w:val="center"/>
                </w:tcPr>
                <w:p w14:paraId="2EAC2C76">
                  <w:pPr>
                    <w:adjustRightInd w:val="0"/>
                    <w:snapToGrid w:val="0"/>
                    <w:jc w:val="center"/>
                    <w:rPr>
                      <w:rFonts w:hint="default"/>
                      <w:color w:val="auto"/>
                      <w:highlight w:val="none"/>
                      <w:lang w:val="en-US" w:eastAsia="zh-CN"/>
                    </w:rPr>
                  </w:pPr>
                  <w:r>
                    <w:rPr>
                      <w:rFonts w:hint="eastAsia"/>
                      <w:color w:val="auto"/>
                      <w:highlight w:val="none"/>
                      <w:lang w:val="en-US" w:eastAsia="zh-CN"/>
                    </w:rPr>
                    <w:t>5</w:t>
                  </w:r>
                </w:p>
              </w:tc>
              <w:tc>
                <w:tcPr>
                  <w:tcW w:w="379" w:type="pct"/>
                  <w:tcBorders>
                    <w:tl2br w:val="nil"/>
                    <w:tr2bl w:val="nil"/>
                  </w:tcBorders>
                  <w:noWrap w:val="0"/>
                  <w:vAlign w:val="center"/>
                </w:tcPr>
                <w:p w14:paraId="13CE781A">
                  <w:pPr>
                    <w:adjustRightInd w:val="0"/>
                    <w:snapToGrid w:val="0"/>
                    <w:jc w:val="center"/>
                    <w:rPr>
                      <w:rFonts w:hint="eastAsia"/>
                      <w:color w:val="auto"/>
                      <w:highlight w:val="none"/>
                      <w:lang w:eastAsia="zh-CN"/>
                    </w:rPr>
                  </w:pPr>
                  <w:r>
                    <w:rPr>
                      <w:rFonts w:hint="eastAsia"/>
                      <w:color w:val="auto"/>
                      <w:highlight w:val="none"/>
                      <w:lang w:eastAsia="zh-CN"/>
                    </w:rPr>
                    <w:t>1</w:t>
                  </w:r>
                  <w:r>
                    <w:rPr>
                      <w:rFonts w:hint="eastAsia"/>
                      <w:color w:val="auto"/>
                      <w:highlight w:val="none"/>
                      <w:lang w:val="en-US" w:eastAsia="zh-CN"/>
                    </w:rPr>
                    <w:t>20</w:t>
                  </w:r>
                </w:p>
              </w:tc>
              <w:tc>
                <w:tcPr>
                  <w:tcW w:w="277" w:type="pct"/>
                  <w:tcBorders>
                    <w:tl2br w:val="nil"/>
                    <w:tr2bl w:val="nil"/>
                  </w:tcBorders>
                  <w:noWrap w:val="0"/>
                  <w:vAlign w:val="center"/>
                </w:tcPr>
                <w:p w14:paraId="704768CF">
                  <w:pPr>
                    <w:adjustRightInd w:val="0"/>
                    <w:snapToGrid w:val="0"/>
                    <w:jc w:val="center"/>
                    <w:rPr>
                      <w:rFonts w:hint="eastAsia"/>
                      <w:color w:val="auto"/>
                      <w:highlight w:val="none"/>
                      <w:lang w:eastAsia="zh-CN"/>
                    </w:rPr>
                  </w:pPr>
                  <w:r>
                    <w:rPr>
                      <w:rFonts w:hint="eastAsia"/>
                      <w:color w:val="auto"/>
                      <w:highlight w:val="none"/>
                      <w:lang w:val="en-US" w:eastAsia="zh-CN"/>
                    </w:rPr>
                    <w:t>达标</w:t>
                  </w:r>
                </w:p>
              </w:tc>
            </w:tr>
            <w:tr w14:paraId="6BD324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230" w:type="pct"/>
                  <w:vMerge w:val="continue"/>
                  <w:tcBorders>
                    <w:tl2br w:val="nil"/>
                    <w:tr2bl w:val="nil"/>
                  </w:tcBorders>
                  <w:noWrap w:val="0"/>
                  <w:vAlign w:val="center"/>
                </w:tcPr>
                <w:p w14:paraId="32DD080F">
                  <w:pPr>
                    <w:adjustRightInd w:val="0"/>
                    <w:snapToGrid w:val="0"/>
                    <w:jc w:val="center"/>
                    <w:rPr>
                      <w:color w:val="auto"/>
                    </w:rPr>
                  </w:pPr>
                </w:p>
              </w:tc>
              <w:tc>
                <w:tcPr>
                  <w:tcW w:w="446" w:type="pct"/>
                  <w:vMerge w:val="restart"/>
                  <w:tcBorders>
                    <w:tl2br w:val="nil"/>
                    <w:tr2bl w:val="nil"/>
                  </w:tcBorders>
                  <w:noWrap w:val="0"/>
                  <w:vAlign w:val="center"/>
                </w:tcPr>
                <w:p w14:paraId="61A3ED48">
                  <w:pPr>
                    <w:adjustRightInd w:val="0"/>
                    <w:snapToGrid w:val="0"/>
                    <w:jc w:val="center"/>
                    <w:rPr>
                      <w:color w:val="auto"/>
                    </w:rPr>
                  </w:pPr>
                  <w:r>
                    <w:rPr>
                      <w:rFonts w:hint="eastAsia"/>
                      <w:color w:val="auto"/>
                      <w:lang w:val="en-US" w:eastAsia="zh-CN"/>
                    </w:rPr>
                    <w:t>变色材料制备工序</w:t>
                  </w:r>
                </w:p>
              </w:tc>
              <w:tc>
                <w:tcPr>
                  <w:tcW w:w="354" w:type="pct"/>
                  <w:tcBorders>
                    <w:tl2br w:val="nil"/>
                    <w:tr2bl w:val="nil"/>
                  </w:tcBorders>
                  <w:noWrap w:val="0"/>
                  <w:vAlign w:val="center"/>
                </w:tcPr>
                <w:p w14:paraId="7CAD99E2">
                  <w:pPr>
                    <w:adjustRightInd w:val="0"/>
                    <w:snapToGrid w:val="0"/>
                    <w:jc w:val="center"/>
                    <w:rPr>
                      <w:color w:val="auto"/>
                    </w:rPr>
                  </w:pPr>
                  <w:r>
                    <w:rPr>
                      <w:rFonts w:hint="eastAsia"/>
                      <w:color w:val="auto"/>
                    </w:rPr>
                    <w:t>非甲烷总烃</w:t>
                  </w:r>
                </w:p>
              </w:tc>
              <w:tc>
                <w:tcPr>
                  <w:tcW w:w="159" w:type="pct"/>
                  <w:vMerge w:val="continue"/>
                  <w:tcBorders>
                    <w:tl2br w:val="nil"/>
                    <w:tr2bl w:val="nil"/>
                  </w:tcBorders>
                  <w:noWrap w:val="0"/>
                  <w:vAlign w:val="center"/>
                </w:tcPr>
                <w:p w14:paraId="4630E84D">
                  <w:pPr>
                    <w:adjustRightInd w:val="0"/>
                    <w:snapToGrid w:val="0"/>
                    <w:jc w:val="center"/>
                    <w:rPr>
                      <w:color w:val="auto"/>
                    </w:rPr>
                  </w:pPr>
                </w:p>
              </w:tc>
              <w:tc>
                <w:tcPr>
                  <w:tcW w:w="690" w:type="dxa"/>
                  <w:tcBorders>
                    <w:tl2br w:val="nil"/>
                    <w:tr2bl w:val="nil"/>
                  </w:tcBorders>
                  <w:noWrap w:val="0"/>
                  <w:vAlign w:val="center"/>
                </w:tcPr>
                <w:p w14:paraId="5A55693B">
                  <w:pPr>
                    <w:adjustRightInd w:val="0"/>
                    <w:snapToGrid w:val="0"/>
                    <w:jc w:val="center"/>
                    <w:rPr>
                      <w:rFonts w:hint="default"/>
                      <w:color w:val="auto"/>
                      <w:lang w:val="en-US"/>
                    </w:rPr>
                  </w:pPr>
                  <w:r>
                    <w:rPr>
                      <w:rFonts w:hint="eastAsia"/>
                      <w:color w:val="auto"/>
                      <w:lang w:val="en-US" w:eastAsia="zh-CN"/>
                    </w:rPr>
                    <w:t>0.0007</w:t>
                  </w:r>
                </w:p>
              </w:tc>
              <w:tc>
                <w:tcPr>
                  <w:tcW w:w="305" w:type="pct"/>
                  <w:vMerge w:val="continue"/>
                  <w:tcBorders>
                    <w:tl2br w:val="nil"/>
                    <w:tr2bl w:val="nil"/>
                  </w:tcBorders>
                  <w:noWrap w:val="0"/>
                  <w:vAlign w:val="center"/>
                </w:tcPr>
                <w:p w14:paraId="286D1887">
                  <w:pPr>
                    <w:adjustRightInd w:val="0"/>
                    <w:snapToGrid w:val="0"/>
                    <w:jc w:val="center"/>
                    <w:rPr>
                      <w:color w:val="auto"/>
                    </w:rPr>
                  </w:pPr>
                </w:p>
              </w:tc>
              <w:tc>
                <w:tcPr>
                  <w:tcW w:w="330" w:type="pct"/>
                  <w:vMerge w:val="continue"/>
                  <w:tcBorders>
                    <w:tl2br w:val="nil"/>
                    <w:tr2bl w:val="nil"/>
                  </w:tcBorders>
                  <w:noWrap w:val="0"/>
                  <w:vAlign w:val="center"/>
                </w:tcPr>
                <w:p w14:paraId="735B5676">
                  <w:pPr>
                    <w:adjustRightInd w:val="0"/>
                    <w:snapToGrid w:val="0"/>
                    <w:jc w:val="center"/>
                    <w:rPr>
                      <w:color w:val="auto"/>
                    </w:rPr>
                  </w:pPr>
                </w:p>
              </w:tc>
              <w:tc>
                <w:tcPr>
                  <w:tcW w:w="354" w:type="pct"/>
                  <w:vMerge w:val="continue"/>
                  <w:tcBorders>
                    <w:tl2br w:val="nil"/>
                    <w:tr2bl w:val="nil"/>
                  </w:tcBorders>
                  <w:noWrap w:val="0"/>
                  <w:vAlign w:val="center"/>
                </w:tcPr>
                <w:p w14:paraId="01566F34">
                  <w:pPr>
                    <w:adjustRightInd w:val="0"/>
                    <w:snapToGrid w:val="0"/>
                    <w:jc w:val="center"/>
                    <w:rPr>
                      <w:color w:val="auto"/>
                      <w:highlight w:val="green"/>
                    </w:rPr>
                  </w:pPr>
                </w:p>
              </w:tc>
              <w:tc>
                <w:tcPr>
                  <w:tcW w:w="269" w:type="pct"/>
                  <w:vMerge w:val="continue"/>
                  <w:tcBorders>
                    <w:tl2br w:val="nil"/>
                    <w:tr2bl w:val="nil"/>
                  </w:tcBorders>
                  <w:noWrap w:val="0"/>
                  <w:vAlign w:val="center"/>
                </w:tcPr>
                <w:p w14:paraId="535D4FE3">
                  <w:pPr>
                    <w:adjustRightInd w:val="0"/>
                    <w:snapToGrid w:val="0"/>
                    <w:jc w:val="center"/>
                    <w:rPr>
                      <w:color w:val="auto"/>
                      <w:highlight w:val="green"/>
                    </w:rPr>
                  </w:pPr>
                </w:p>
              </w:tc>
              <w:tc>
                <w:tcPr>
                  <w:tcW w:w="318" w:type="pct"/>
                  <w:vMerge w:val="continue"/>
                  <w:tcBorders>
                    <w:tl2br w:val="nil"/>
                    <w:tr2bl w:val="nil"/>
                  </w:tcBorders>
                  <w:noWrap w:val="0"/>
                  <w:vAlign w:val="center"/>
                </w:tcPr>
                <w:p w14:paraId="15CBB2D4">
                  <w:pPr>
                    <w:adjustRightInd w:val="0"/>
                    <w:snapToGrid w:val="0"/>
                    <w:jc w:val="center"/>
                    <w:rPr>
                      <w:color w:val="auto"/>
                    </w:rPr>
                  </w:pPr>
                </w:p>
              </w:tc>
              <w:tc>
                <w:tcPr>
                  <w:tcW w:w="293" w:type="pct"/>
                  <w:vMerge w:val="continue"/>
                  <w:tcBorders>
                    <w:tl2br w:val="nil"/>
                    <w:tr2bl w:val="nil"/>
                  </w:tcBorders>
                  <w:noWrap w:val="0"/>
                  <w:vAlign w:val="center"/>
                </w:tcPr>
                <w:p w14:paraId="7FD89022">
                  <w:pPr>
                    <w:adjustRightInd w:val="0"/>
                    <w:snapToGrid w:val="0"/>
                    <w:jc w:val="center"/>
                    <w:rPr>
                      <w:color w:val="auto"/>
                    </w:rPr>
                  </w:pPr>
                </w:p>
              </w:tc>
              <w:tc>
                <w:tcPr>
                  <w:tcW w:w="342" w:type="pct"/>
                  <w:vMerge w:val="continue"/>
                  <w:tcBorders>
                    <w:tl2br w:val="nil"/>
                    <w:tr2bl w:val="nil"/>
                  </w:tcBorders>
                  <w:noWrap w:val="0"/>
                  <w:vAlign w:val="center"/>
                </w:tcPr>
                <w:p w14:paraId="538621C2">
                  <w:pPr>
                    <w:adjustRightInd w:val="0"/>
                    <w:snapToGrid w:val="0"/>
                    <w:jc w:val="center"/>
                    <w:rPr>
                      <w:color w:val="auto"/>
                    </w:rPr>
                  </w:pPr>
                </w:p>
              </w:tc>
              <w:tc>
                <w:tcPr>
                  <w:tcW w:w="293" w:type="pct"/>
                  <w:tcBorders>
                    <w:tl2br w:val="nil"/>
                    <w:tr2bl w:val="nil"/>
                  </w:tcBorders>
                  <w:noWrap w:val="0"/>
                  <w:vAlign w:val="center"/>
                </w:tcPr>
                <w:p w14:paraId="3CAEE8D6">
                  <w:pPr>
                    <w:adjustRightInd w:val="0"/>
                    <w:snapToGrid w:val="0"/>
                    <w:jc w:val="center"/>
                    <w:rPr>
                      <w:color w:val="auto"/>
                    </w:rPr>
                  </w:pPr>
                  <w:r>
                    <w:rPr>
                      <w:rFonts w:hint="eastAsia"/>
                      <w:color w:val="auto"/>
                      <w:lang w:val="en-US" w:eastAsia="zh-CN"/>
                    </w:rPr>
                    <w:t>2000</w:t>
                  </w:r>
                </w:p>
              </w:tc>
              <w:tc>
                <w:tcPr>
                  <w:tcW w:w="361" w:type="pct"/>
                  <w:tcBorders>
                    <w:tl2br w:val="nil"/>
                    <w:tr2bl w:val="nil"/>
                  </w:tcBorders>
                  <w:noWrap w:val="0"/>
                  <w:vAlign w:val="center"/>
                </w:tcPr>
                <w:p w14:paraId="165FDA7B">
                  <w:pPr>
                    <w:adjustRightInd w:val="0"/>
                    <w:snapToGrid w:val="0"/>
                    <w:jc w:val="center"/>
                    <w:rPr>
                      <w:rFonts w:hint="default"/>
                      <w:color w:val="auto"/>
                      <w:highlight w:val="none"/>
                      <w:lang w:val="en-US" w:eastAsia="zh-CN"/>
                    </w:rPr>
                  </w:pPr>
                  <w:r>
                    <w:rPr>
                      <w:rFonts w:hint="eastAsia"/>
                      <w:color w:val="auto"/>
                      <w:highlight w:val="none"/>
                      <w:lang w:val="en-US" w:eastAsia="zh-CN"/>
                    </w:rPr>
                    <w:t>5</w:t>
                  </w:r>
                </w:p>
              </w:tc>
              <w:tc>
                <w:tcPr>
                  <w:tcW w:w="379" w:type="pct"/>
                  <w:tcBorders>
                    <w:tl2br w:val="nil"/>
                    <w:tr2bl w:val="nil"/>
                  </w:tcBorders>
                  <w:noWrap w:val="0"/>
                  <w:vAlign w:val="center"/>
                </w:tcPr>
                <w:p w14:paraId="36997065">
                  <w:pPr>
                    <w:adjustRightInd w:val="0"/>
                    <w:snapToGrid w:val="0"/>
                    <w:jc w:val="center"/>
                    <w:rPr>
                      <w:rFonts w:hint="eastAsia"/>
                      <w:color w:val="auto"/>
                      <w:highlight w:val="none"/>
                      <w:lang w:eastAsia="zh-CN"/>
                    </w:rPr>
                  </w:pPr>
                  <w:r>
                    <w:rPr>
                      <w:rFonts w:hint="eastAsia"/>
                      <w:color w:val="auto"/>
                      <w:highlight w:val="none"/>
                      <w:lang w:eastAsia="zh-CN"/>
                    </w:rPr>
                    <w:t>1</w:t>
                  </w:r>
                  <w:r>
                    <w:rPr>
                      <w:rFonts w:hint="eastAsia"/>
                      <w:color w:val="auto"/>
                      <w:highlight w:val="none"/>
                      <w:lang w:val="en-US" w:eastAsia="zh-CN"/>
                    </w:rPr>
                    <w:t>20</w:t>
                  </w:r>
                </w:p>
              </w:tc>
              <w:tc>
                <w:tcPr>
                  <w:tcW w:w="277" w:type="pct"/>
                  <w:tcBorders>
                    <w:tl2br w:val="nil"/>
                    <w:tr2bl w:val="nil"/>
                  </w:tcBorders>
                  <w:noWrap w:val="0"/>
                  <w:vAlign w:val="center"/>
                </w:tcPr>
                <w:p w14:paraId="3439B5AA">
                  <w:pPr>
                    <w:adjustRightInd w:val="0"/>
                    <w:snapToGrid w:val="0"/>
                    <w:jc w:val="center"/>
                    <w:rPr>
                      <w:rFonts w:hint="eastAsia"/>
                      <w:color w:val="auto"/>
                      <w:highlight w:val="none"/>
                      <w:lang w:eastAsia="zh-CN"/>
                    </w:rPr>
                  </w:pPr>
                  <w:r>
                    <w:rPr>
                      <w:rFonts w:hint="eastAsia"/>
                      <w:color w:val="auto"/>
                      <w:highlight w:val="none"/>
                      <w:lang w:val="en-US" w:eastAsia="zh-CN"/>
                    </w:rPr>
                    <w:t>达标</w:t>
                  </w:r>
                </w:p>
              </w:tc>
            </w:tr>
            <w:tr w14:paraId="7551AA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230" w:type="pct"/>
                  <w:vMerge w:val="continue"/>
                  <w:tcBorders>
                    <w:tl2br w:val="nil"/>
                    <w:tr2bl w:val="nil"/>
                  </w:tcBorders>
                  <w:noWrap w:val="0"/>
                  <w:vAlign w:val="center"/>
                </w:tcPr>
                <w:p w14:paraId="4FA84610">
                  <w:pPr>
                    <w:adjustRightInd w:val="0"/>
                    <w:snapToGrid w:val="0"/>
                    <w:jc w:val="center"/>
                    <w:rPr>
                      <w:color w:val="auto"/>
                    </w:rPr>
                  </w:pPr>
                </w:p>
              </w:tc>
              <w:tc>
                <w:tcPr>
                  <w:tcW w:w="446" w:type="pct"/>
                  <w:vMerge w:val="continue"/>
                  <w:tcBorders>
                    <w:tl2br w:val="nil"/>
                    <w:tr2bl w:val="nil"/>
                  </w:tcBorders>
                  <w:noWrap w:val="0"/>
                  <w:vAlign w:val="center"/>
                </w:tcPr>
                <w:p w14:paraId="7DDB52C5">
                  <w:pPr>
                    <w:adjustRightInd w:val="0"/>
                    <w:snapToGrid w:val="0"/>
                    <w:jc w:val="center"/>
                    <w:rPr>
                      <w:rFonts w:hint="eastAsia"/>
                      <w:color w:val="auto"/>
                      <w:lang w:val="en-US" w:eastAsia="zh-CN"/>
                    </w:rPr>
                  </w:pPr>
                </w:p>
              </w:tc>
              <w:tc>
                <w:tcPr>
                  <w:tcW w:w="354" w:type="pct"/>
                  <w:tcBorders>
                    <w:tl2br w:val="nil"/>
                    <w:tr2bl w:val="nil"/>
                  </w:tcBorders>
                  <w:noWrap w:val="0"/>
                  <w:vAlign w:val="center"/>
                </w:tcPr>
                <w:p w14:paraId="7975215A">
                  <w:pPr>
                    <w:adjustRightInd w:val="0"/>
                    <w:snapToGrid w:val="0"/>
                    <w:jc w:val="center"/>
                    <w:rPr>
                      <w:rFonts w:hint="eastAsia"/>
                      <w:color w:val="auto"/>
                      <w:lang w:val="en-US" w:eastAsia="zh-CN"/>
                    </w:rPr>
                  </w:pPr>
                  <w:r>
                    <w:rPr>
                      <w:rFonts w:hint="eastAsia"/>
                      <w:color w:val="auto"/>
                      <w:lang w:val="en-US" w:eastAsia="zh-CN"/>
                    </w:rPr>
                    <w:t>甲醇</w:t>
                  </w:r>
                </w:p>
              </w:tc>
              <w:tc>
                <w:tcPr>
                  <w:tcW w:w="159" w:type="pct"/>
                  <w:vMerge w:val="continue"/>
                  <w:tcBorders>
                    <w:tl2br w:val="nil"/>
                    <w:tr2bl w:val="nil"/>
                  </w:tcBorders>
                  <w:noWrap w:val="0"/>
                  <w:vAlign w:val="center"/>
                </w:tcPr>
                <w:p w14:paraId="50399683">
                  <w:pPr>
                    <w:adjustRightInd w:val="0"/>
                    <w:snapToGrid w:val="0"/>
                    <w:jc w:val="center"/>
                    <w:rPr>
                      <w:color w:val="auto"/>
                    </w:rPr>
                  </w:pPr>
                </w:p>
              </w:tc>
              <w:tc>
                <w:tcPr>
                  <w:tcW w:w="690" w:type="dxa"/>
                  <w:tcBorders>
                    <w:tl2br w:val="nil"/>
                    <w:tr2bl w:val="nil"/>
                  </w:tcBorders>
                  <w:noWrap w:val="0"/>
                  <w:vAlign w:val="center"/>
                </w:tcPr>
                <w:p w14:paraId="4C7A5EC7">
                  <w:pPr>
                    <w:adjustRightInd w:val="0"/>
                    <w:snapToGrid w:val="0"/>
                    <w:jc w:val="center"/>
                    <w:rPr>
                      <w:rFonts w:hint="eastAsia"/>
                      <w:color w:val="auto"/>
                      <w:lang w:val="en-US" w:eastAsia="zh-CN"/>
                    </w:rPr>
                  </w:pPr>
                  <w:r>
                    <w:rPr>
                      <w:rFonts w:hint="eastAsia"/>
                      <w:color w:val="auto"/>
                      <w:lang w:val="en-US" w:eastAsia="zh-CN"/>
                    </w:rPr>
                    <w:t>0.086</w:t>
                  </w:r>
                </w:p>
              </w:tc>
              <w:tc>
                <w:tcPr>
                  <w:tcW w:w="750" w:type="dxa"/>
                  <w:tcBorders>
                    <w:tl2br w:val="nil"/>
                    <w:tr2bl w:val="nil"/>
                  </w:tcBorders>
                  <w:noWrap w:val="0"/>
                  <w:vAlign w:val="center"/>
                </w:tcPr>
                <w:p w14:paraId="4AE798F8">
                  <w:pPr>
                    <w:adjustRightInd w:val="0"/>
                    <w:snapToGrid w:val="0"/>
                    <w:jc w:val="center"/>
                    <w:rPr>
                      <w:color w:val="auto"/>
                    </w:rPr>
                  </w:pPr>
                  <w:r>
                    <w:rPr>
                      <w:rFonts w:hint="eastAsia"/>
                      <w:color w:val="auto"/>
                      <w:lang w:val="en-US" w:eastAsia="zh-CN"/>
                    </w:rPr>
                    <w:t>0.043</w:t>
                  </w:r>
                </w:p>
              </w:tc>
              <w:tc>
                <w:tcPr>
                  <w:tcW w:w="810" w:type="dxa"/>
                  <w:tcBorders>
                    <w:tl2br w:val="nil"/>
                    <w:tr2bl w:val="nil"/>
                  </w:tcBorders>
                  <w:shd w:val="clear" w:color="auto" w:fill="auto"/>
                  <w:noWrap w:val="0"/>
                  <w:vAlign w:val="center"/>
                </w:tcPr>
                <w:p w14:paraId="6CB76D11">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6.62</w:t>
                  </w:r>
                </w:p>
              </w:tc>
              <w:tc>
                <w:tcPr>
                  <w:tcW w:w="354" w:type="pct"/>
                  <w:vMerge w:val="continue"/>
                  <w:tcBorders>
                    <w:tl2br w:val="nil"/>
                    <w:tr2bl w:val="nil"/>
                  </w:tcBorders>
                  <w:noWrap w:val="0"/>
                  <w:vAlign w:val="center"/>
                </w:tcPr>
                <w:p w14:paraId="30D3BEF1">
                  <w:pPr>
                    <w:adjustRightInd w:val="0"/>
                    <w:snapToGrid w:val="0"/>
                    <w:jc w:val="center"/>
                    <w:rPr>
                      <w:color w:val="auto"/>
                      <w:highlight w:val="green"/>
                    </w:rPr>
                  </w:pPr>
                </w:p>
              </w:tc>
              <w:tc>
                <w:tcPr>
                  <w:tcW w:w="269" w:type="pct"/>
                  <w:vMerge w:val="continue"/>
                  <w:tcBorders>
                    <w:tl2br w:val="nil"/>
                    <w:tr2bl w:val="nil"/>
                  </w:tcBorders>
                  <w:noWrap w:val="0"/>
                  <w:vAlign w:val="center"/>
                </w:tcPr>
                <w:p w14:paraId="6CB8D088">
                  <w:pPr>
                    <w:adjustRightInd w:val="0"/>
                    <w:snapToGrid w:val="0"/>
                    <w:jc w:val="center"/>
                    <w:rPr>
                      <w:color w:val="auto"/>
                      <w:highlight w:val="green"/>
                    </w:rPr>
                  </w:pPr>
                </w:p>
              </w:tc>
              <w:tc>
                <w:tcPr>
                  <w:tcW w:w="780" w:type="dxa"/>
                  <w:tcBorders>
                    <w:tl2br w:val="nil"/>
                    <w:tr2bl w:val="nil"/>
                  </w:tcBorders>
                  <w:noWrap w:val="0"/>
                  <w:vAlign w:val="center"/>
                </w:tcPr>
                <w:p w14:paraId="70F2020A">
                  <w:pPr>
                    <w:adjustRightInd w:val="0"/>
                    <w:snapToGrid w:val="0"/>
                    <w:jc w:val="center"/>
                    <w:rPr>
                      <w:color w:val="auto"/>
                    </w:rPr>
                  </w:pPr>
                  <w:r>
                    <w:rPr>
                      <w:rFonts w:hint="eastAsia"/>
                      <w:color w:val="auto"/>
                      <w:lang w:val="en-US" w:eastAsia="zh-CN"/>
                    </w:rPr>
                    <w:t>0.022</w:t>
                  </w:r>
                </w:p>
              </w:tc>
              <w:tc>
                <w:tcPr>
                  <w:tcW w:w="720" w:type="dxa"/>
                  <w:tcBorders>
                    <w:tl2br w:val="nil"/>
                    <w:tr2bl w:val="nil"/>
                  </w:tcBorders>
                  <w:noWrap w:val="0"/>
                  <w:vAlign w:val="center"/>
                </w:tcPr>
                <w:p w14:paraId="2EF95E80">
                  <w:pPr>
                    <w:adjustRightInd w:val="0"/>
                    <w:snapToGrid w:val="0"/>
                    <w:jc w:val="center"/>
                    <w:rPr>
                      <w:color w:val="auto"/>
                    </w:rPr>
                  </w:pPr>
                  <w:r>
                    <w:rPr>
                      <w:rFonts w:hint="eastAsia"/>
                      <w:color w:val="auto"/>
                      <w:lang w:val="en-US" w:eastAsia="zh-CN"/>
                    </w:rPr>
                    <w:t>0.011</w:t>
                  </w:r>
                </w:p>
              </w:tc>
              <w:tc>
                <w:tcPr>
                  <w:tcW w:w="840" w:type="dxa"/>
                  <w:tcBorders>
                    <w:tl2br w:val="nil"/>
                    <w:tr2bl w:val="nil"/>
                  </w:tcBorders>
                  <w:shd w:val="clear" w:color="auto" w:fill="auto"/>
                  <w:noWrap w:val="0"/>
                  <w:vAlign w:val="center"/>
                </w:tcPr>
                <w:p w14:paraId="721879FF">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1.69</w:t>
                  </w:r>
                </w:p>
              </w:tc>
              <w:tc>
                <w:tcPr>
                  <w:tcW w:w="293" w:type="pct"/>
                  <w:tcBorders>
                    <w:tl2br w:val="nil"/>
                    <w:tr2bl w:val="nil"/>
                  </w:tcBorders>
                  <w:shd w:val="clear" w:color="auto" w:fill="auto"/>
                  <w:noWrap w:val="0"/>
                  <w:vAlign w:val="center"/>
                </w:tcPr>
                <w:p w14:paraId="7C5970FC">
                  <w:pPr>
                    <w:adjustRightInd w:val="0"/>
                    <w:snapToGrid w:val="0"/>
                    <w:jc w:val="center"/>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2000</w:t>
                  </w:r>
                </w:p>
              </w:tc>
              <w:tc>
                <w:tcPr>
                  <w:tcW w:w="361" w:type="pct"/>
                  <w:tcBorders>
                    <w:tl2br w:val="nil"/>
                    <w:tr2bl w:val="nil"/>
                  </w:tcBorders>
                  <w:shd w:val="clear" w:color="auto" w:fill="auto"/>
                  <w:noWrap w:val="0"/>
                  <w:vAlign w:val="center"/>
                </w:tcPr>
                <w:p w14:paraId="72500BFD">
                  <w:pPr>
                    <w:adjustRightInd w:val="0"/>
                    <w:snapToGrid w:val="0"/>
                    <w:jc w:val="center"/>
                    <w:rPr>
                      <w:rFonts w:hint="default"/>
                      <w:color w:val="auto"/>
                      <w:highlight w:val="none"/>
                      <w:lang w:val="en-US" w:eastAsia="zh-CN"/>
                    </w:rPr>
                  </w:pPr>
                  <w:r>
                    <w:rPr>
                      <w:rFonts w:hint="eastAsia"/>
                      <w:color w:val="auto"/>
                      <w:highlight w:val="none"/>
                      <w:lang w:val="en-US" w:eastAsia="zh-CN"/>
                    </w:rPr>
                    <w:t>2.55</w:t>
                  </w:r>
                </w:p>
              </w:tc>
              <w:tc>
                <w:tcPr>
                  <w:tcW w:w="379" w:type="pct"/>
                  <w:tcBorders>
                    <w:tl2br w:val="nil"/>
                    <w:tr2bl w:val="nil"/>
                  </w:tcBorders>
                  <w:shd w:val="clear" w:color="auto" w:fill="auto"/>
                  <w:noWrap w:val="0"/>
                  <w:vAlign w:val="center"/>
                </w:tcPr>
                <w:p w14:paraId="1994E631">
                  <w:pPr>
                    <w:adjustRightInd w:val="0"/>
                    <w:snapToGrid w:val="0"/>
                    <w:jc w:val="center"/>
                    <w:rPr>
                      <w:rFonts w:hint="eastAsia"/>
                      <w:color w:val="auto"/>
                      <w:highlight w:val="none"/>
                      <w:lang w:val="en-US" w:eastAsia="zh-CN"/>
                    </w:rPr>
                  </w:pPr>
                  <w:r>
                    <w:rPr>
                      <w:rFonts w:hint="eastAsia"/>
                      <w:color w:val="auto"/>
                      <w:highlight w:val="none"/>
                      <w:lang w:val="en-US" w:eastAsia="zh-CN"/>
                    </w:rPr>
                    <w:t>190</w:t>
                  </w:r>
                </w:p>
              </w:tc>
              <w:tc>
                <w:tcPr>
                  <w:tcW w:w="277" w:type="pct"/>
                  <w:tcBorders>
                    <w:tl2br w:val="nil"/>
                    <w:tr2bl w:val="nil"/>
                  </w:tcBorders>
                  <w:shd w:val="clear" w:color="auto" w:fill="auto"/>
                  <w:noWrap w:val="0"/>
                  <w:vAlign w:val="center"/>
                </w:tcPr>
                <w:p w14:paraId="76E78260">
                  <w:pPr>
                    <w:adjustRightInd w:val="0"/>
                    <w:snapToGrid w:val="0"/>
                    <w:jc w:val="center"/>
                    <w:rPr>
                      <w:rFonts w:hint="default"/>
                      <w:color w:val="auto"/>
                      <w:highlight w:val="none"/>
                      <w:lang w:val="en-US" w:eastAsia="zh-CN"/>
                    </w:rPr>
                  </w:pPr>
                  <w:r>
                    <w:rPr>
                      <w:rFonts w:hint="eastAsia"/>
                      <w:color w:val="auto"/>
                      <w:highlight w:val="none"/>
                      <w:lang w:val="en-US" w:eastAsia="zh-CN"/>
                    </w:rPr>
                    <w:t>达标</w:t>
                  </w:r>
                </w:p>
              </w:tc>
            </w:tr>
            <w:tr w14:paraId="031AE5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230" w:type="pct"/>
                  <w:vMerge w:val="continue"/>
                  <w:tcBorders>
                    <w:tl2br w:val="nil"/>
                    <w:tr2bl w:val="nil"/>
                  </w:tcBorders>
                  <w:noWrap w:val="0"/>
                  <w:vAlign w:val="center"/>
                </w:tcPr>
                <w:p w14:paraId="039E6BEE">
                  <w:pPr>
                    <w:adjustRightInd w:val="0"/>
                    <w:snapToGrid w:val="0"/>
                    <w:jc w:val="center"/>
                    <w:rPr>
                      <w:color w:val="auto"/>
                    </w:rPr>
                  </w:pPr>
                </w:p>
              </w:tc>
              <w:tc>
                <w:tcPr>
                  <w:tcW w:w="446" w:type="pct"/>
                  <w:tcBorders>
                    <w:tl2br w:val="nil"/>
                    <w:tr2bl w:val="nil"/>
                  </w:tcBorders>
                  <w:noWrap w:val="0"/>
                  <w:vAlign w:val="center"/>
                </w:tcPr>
                <w:p w14:paraId="3C435485">
                  <w:pPr>
                    <w:adjustRightInd w:val="0"/>
                    <w:snapToGrid w:val="0"/>
                    <w:jc w:val="center"/>
                    <w:rPr>
                      <w:color w:val="auto"/>
                    </w:rPr>
                  </w:pPr>
                  <w:r>
                    <w:rPr>
                      <w:rFonts w:hint="eastAsia"/>
                      <w:color w:val="auto"/>
                      <w:lang w:val="en-US" w:eastAsia="zh-CN"/>
                    </w:rPr>
                    <w:t>敏感层制备工序</w:t>
                  </w:r>
                </w:p>
              </w:tc>
              <w:tc>
                <w:tcPr>
                  <w:tcW w:w="354" w:type="pct"/>
                  <w:tcBorders>
                    <w:tl2br w:val="nil"/>
                    <w:tr2bl w:val="nil"/>
                  </w:tcBorders>
                  <w:noWrap w:val="0"/>
                  <w:vAlign w:val="center"/>
                </w:tcPr>
                <w:p w14:paraId="42E456D6">
                  <w:pPr>
                    <w:adjustRightInd w:val="0"/>
                    <w:snapToGrid w:val="0"/>
                    <w:jc w:val="center"/>
                    <w:rPr>
                      <w:rFonts w:hint="eastAsia" w:eastAsia="宋体"/>
                      <w:color w:val="auto"/>
                      <w:lang w:eastAsia="zh-CN"/>
                    </w:rPr>
                  </w:pPr>
                  <w:r>
                    <w:rPr>
                      <w:rFonts w:hint="eastAsia"/>
                      <w:color w:val="auto"/>
                      <w:lang w:val="en-US" w:eastAsia="zh-CN"/>
                    </w:rPr>
                    <w:t>甲苯</w:t>
                  </w:r>
                </w:p>
              </w:tc>
              <w:tc>
                <w:tcPr>
                  <w:tcW w:w="159" w:type="pct"/>
                  <w:vMerge w:val="continue"/>
                  <w:tcBorders>
                    <w:tl2br w:val="nil"/>
                    <w:tr2bl w:val="nil"/>
                  </w:tcBorders>
                  <w:noWrap w:val="0"/>
                  <w:vAlign w:val="center"/>
                </w:tcPr>
                <w:p w14:paraId="5E28B93B">
                  <w:pPr>
                    <w:adjustRightInd w:val="0"/>
                    <w:snapToGrid w:val="0"/>
                    <w:jc w:val="center"/>
                    <w:rPr>
                      <w:color w:val="auto"/>
                    </w:rPr>
                  </w:pPr>
                </w:p>
              </w:tc>
              <w:tc>
                <w:tcPr>
                  <w:tcW w:w="690" w:type="dxa"/>
                  <w:tcBorders>
                    <w:tl2br w:val="nil"/>
                    <w:tr2bl w:val="nil"/>
                  </w:tcBorders>
                  <w:noWrap w:val="0"/>
                  <w:vAlign w:val="center"/>
                </w:tcPr>
                <w:p w14:paraId="280497C2">
                  <w:pPr>
                    <w:adjustRightInd w:val="0"/>
                    <w:snapToGrid w:val="0"/>
                    <w:jc w:val="center"/>
                    <w:rPr>
                      <w:color w:val="auto"/>
                    </w:rPr>
                  </w:pPr>
                  <w:r>
                    <w:rPr>
                      <w:rFonts w:hint="eastAsia"/>
                      <w:color w:val="auto"/>
                      <w:lang w:val="en-US" w:eastAsia="zh-CN"/>
                    </w:rPr>
                    <w:t>0.118</w:t>
                  </w:r>
                </w:p>
              </w:tc>
              <w:tc>
                <w:tcPr>
                  <w:tcW w:w="750" w:type="dxa"/>
                  <w:tcBorders>
                    <w:tl2br w:val="nil"/>
                    <w:tr2bl w:val="nil"/>
                  </w:tcBorders>
                  <w:noWrap w:val="0"/>
                  <w:vAlign w:val="center"/>
                </w:tcPr>
                <w:p w14:paraId="1BD12DC7">
                  <w:pPr>
                    <w:adjustRightInd w:val="0"/>
                    <w:snapToGrid w:val="0"/>
                    <w:jc w:val="center"/>
                    <w:rPr>
                      <w:color w:val="auto"/>
                    </w:rPr>
                  </w:pPr>
                  <w:r>
                    <w:rPr>
                      <w:rFonts w:hint="eastAsia"/>
                      <w:color w:val="auto"/>
                      <w:lang w:val="en-US" w:eastAsia="zh-CN"/>
                    </w:rPr>
                    <w:t>0.059</w:t>
                  </w:r>
                </w:p>
              </w:tc>
              <w:tc>
                <w:tcPr>
                  <w:tcW w:w="810" w:type="dxa"/>
                  <w:tcBorders>
                    <w:tl2br w:val="nil"/>
                    <w:tr2bl w:val="nil"/>
                  </w:tcBorders>
                  <w:shd w:val="clear" w:color="auto" w:fill="auto"/>
                  <w:noWrap w:val="0"/>
                  <w:vAlign w:val="center"/>
                </w:tcPr>
                <w:p w14:paraId="35AB4E1B">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9.08</w:t>
                  </w:r>
                </w:p>
              </w:tc>
              <w:tc>
                <w:tcPr>
                  <w:tcW w:w="354" w:type="pct"/>
                  <w:vMerge w:val="continue"/>
                  <w:tcBorders>
                    <w:tl2br w:val="nil"/>
                    <w:tr2bl w:val="nil"/>
                  </w:tcBorders>
                  <w:noWrap w:val="0"/>
                  <w:vAlign w:val="center"/>
                </w:tcPr>
                <w:p w14:paraId="77F93D57">
                  <w:pPr>
                    <w:adjustRightInd w:val="0"/>
                    <w:snapToGrid w:val="0"/>
                    <w:jc w:val="center"/>
                    <w:rPr>
                      <w:color w:val="auto"/>
                      <w:highlight w:val="green"/>
                    </w:rPr>
                  </w:pPr>
                </w:p>
              </w:tc>
              <w:tc>
                <w:tcPr>
                  <w:tcW w:w="269" w:type="pct"/>
                  <w:vMerge w:val="continue"/>
                  <w:tcBorders>
                    <w:tl2br w:val="nil"/>
                    <w:tr2bl w:val="nil"/>
                  </w:tcBorders>
                  <w:noWrap w:val="0"/>
                  <w:vAlign w:val="center"/>
                </w:tcPr>
                <w:p w14:paraId="3F641B3C">
                  <w:pPr>
                    <w:adjustRightInd w:val="0"/>
                    <w:snapToGrid w:val="0"/>
                    <w:jc w:val="center"/>
                    <w:rPr>
                      <w:color w:val="auto"/>
                      <w:highlight w:val="green"/>
                    </w:rPr>
                  </w:pPr>
                </w:p>
              </w:tc>
              <w:tc>
                <w:tcPr>
                  <w:tcW w:w="780" w:type="dxa"/>
                  <w:tcBorders>
                    <w:tl2br w:val="nil"/>
                    <w:tr2bl w:val="nil"/>
                  </w:tcBorders>
                  <w:noWrap w:val="0"/>
                  <w:vAlign w:val="center"/>
                </w:tcPr>
                <w:p w14:paraId="651AB3AA">
                  <w:pPr>
                    <w:adjustRightInd w:val="0"/>
                    <w:snapToGrid w:val="0"/>
                    <w:jc w:val="center"/>
                    <w:rPr>
                      <w:color w:val="auto"/>
                    </w:rPr>
                  </w:pPr>
                  <w:r>
                    <w:rPr>
                      <w:rFonts w:hint="eastAsia"/>
                      <w:color w:val="auto"/>
                      <w:lang w:val="en-US" w:eastAsia="zh-CN"/>
                    </w:rPr>
                    <w:t>0.03</w:t>
                  </w:r>
                </w:p>
              </w:tc>
              <w:tc>
                <w:tcPr>
                  <w:tcW w:w="720" w:type="dxa"/>
                  <w:tcBorders>
                    <w:tl2br w:val="nil"/>
                    <w:tr2bl w:val="nil"/>
                  </w:tcBorders>
                  <w:noWrap w:val="0"/>
                  <w:vAlign w:val="center"/>
                </w:tcPr>
                <w:p w14:paraId="1CBAEF01">
                  <w:pPr>
                    <w:adjustRightInd w:val="0"/>
                    <w:snapToGrid w:val="0"/>
                    <w:jc w:val="center"/>
                    <w:rPr>
                      <w:color w:val="auto"/>
                    </w:rPr>
                  </w:pPr>
                  <w:r>
                    <w:rPr>
                      <w:rFonts w:hint="eastAsia"/>
                      <w:color w:val="auto"/>
                      <w:lang w:val="en-US" w:eastAsia="zh-CN"/>
                    </w:rPr>
                    <w:t>0.015</w:t>
                  </w:r>
                </w:p>
              </w:tc>
              <w:tc>
                <w:tcPr>
                  <w:tcW w:w="840" w:type="dxa"/>
                  <w:tcBorders>
                    <w:tl2br w:val="nil"/>
                    <w:tr2bl w:val="nil"/>
                  </w:tcBorders>
                  <w:shd w:val="clear" w:color="auto" w:fill="auto"/>
                  <w:noWrap w:val="0"/>
                  <w:vAlign w:val="center"/>
                </w:tcPr>
                <w:p w14:paraId="5D9E686B">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2.31</w:t>
                  </w:r>
                </w:p>
              </w:tc>
              <w:tc>
                <w:tcPr>
                  <w:tcW w:w="293" w:type="pct"/>
                  <w:tcBorders>
                    <w:tl2br w:val="nil"/>
                    <w:tr2bl w:val="nil"/>
                  </w:tcBorders>
                  <w:noWrap w:val="0"/>
                  <w:vAlign w:val="center"/>
                </w:tcPr>
                <w:p w14:paraId="2675F7B9">
                  <w:pPr>
                    <w:adjustRightInd w:val="0"/>
                    <w:snapToGrid w:val="0"/>
                    <w:jc w:val="center"/>
                    <w:rPr>
                      <w:color w:val="auto"/>
                    </w:rPr>
                  </w:pPr>
                  <w:r>
                    <w:rPr>
                      <w:rFonts w:hint="eastAsia"/>
                      <w:color w:val="auto"/>
                      <w:lang w:val="en-US" w:eastAsia="zh-CN"/>
                    </w:rPr>
                    <w:t>2000</w:t>
                  </w:r>
                </w:p>
              </w:tc>
              <w:tc>
                <w:tcPr>
                  <w:tcW w:w="361" w:type="pct"/>
                  <w:tcBorders>
                    <w:tl2br w:val="nil"/>
                    <w:tr2bl w:val="nil"/>
                  </w:tcBorders>
                  <w:noWrap w:val="0"/>
                  <w:vAlign w:val="center"/>
                </w:tcPr>
                <w:p w14:paraId="272FA74D">
                  <w:pPr>
                    <w:adjustRightInd w:val="0"/>
                    <w:snapToGrid w:val="0"/>
                    <w:jc w:val="center"/>
                    <w:rPr>
                      <w:rFonts w:hint="default"/>
                      <w:color w:val="auto"/>
                      <w:highlight w:val="none"/>
                      <w:lang w:val="en-US" w:eastAsia="zh-CN"/>
                    </w:rPr>
                  </w:pPr>
                  <w:r>
                    <w:rPr>
                      <w:rFonts w:hint="eastAsia"/>
                      <w:color w:val="auto"/>
                      <w:highlight w:val="none"/>
                      <w:lang w:val="en-US" w:eastAsia="zh-CN"/>
                    </w:rPr>
                    <w:t>1.55</w:t>
                  </w:r>
                </w:p>
              </w:tc>
              <w:tc>
                <w:tcPr>
                  <w:tcW w:w="379" w:type="pct"/>
                  <w:tcBorders>
                    <w:tl2br w:val="nil"/>
                    <w:tr2bl w:val="nil"/>
                  </w:tcBorders>
                  <w:noWrap w:val="0"/>
                  <w:vAlign w:val="center"/>
                </w:tcPr>
                <w:p w14:paraId="59EF8AFD">
                  <w:pPr>
                    <w:adjustRightInd w:val="0"/>
                    <w:snapToGrid w:val="0"/>
                    <w:jc w:val="center"/>
                    <w:rPr>
                      <w:rFonts w:hint="eastAsia"/>
                      <w:color w:val="auto"/>
                      <w:highlight w:val="none"/>
                      <w:lang w:val="en-US" w:eastAsia="zh-CN"/>
                    </w:rPr>
                  </w:pPr>
                  <w:r>
                    <w:rPr>
                      <w:rFonts w:hint="eastAsia"/>
                      <w:color w:val="auto"/>
                      <w:highlight w:val="none"/>
                      <w:lang w:val="en-US" w:eastAsia="zh-CN"/>
                    </w:rPr>
                    <w:t>40</w:t>
                  </w:r>
                </w:p>
              </w:tc>
              <w:tc>
                <w:tcPr>
                  <w:tcW w:w="277" w:type="pct"/>
                  <w:tcBorders>
                    <w:tl2br w:val="nil"/>
                    <w:tr2bl w:val="nil"/>
                  </w:tcBorders>
                  <w:noWrap w:val="0"/>
                  <w:vAlign w:val="center"/>
                </w:tcPr>
                <w:p w14:paraId="7C003FBB">
                  <w:pPr>
                    <w:adjustRightInd w:val="0"/>
                    <w:snapToGrid w:val="0"/>
                    <w:jc w:val="center"/>
                    <w:rPr>
                      <w:rFonts w:hint="default"/>
                      <w:color w:val="auto"/>
                      <w:highlight w:val="none"/>
                      <w:lang w:val="en-US" w:eastAsia="zh-CN"/>
                    </w:rPr>
                  </w:pPr>
                  <w:r>
                    <w:rPr>
                      <w:rFonts w:hint="eastAsia"/>
                      <w:color w:val="auto"/>
                      <w:highlight w:val="none"/>
                      <w:lang w:val="en-US" w:eastAsia="zh-CN"/>
                    </w:rPr>
                    <w:t>达标</w:t>
                  </w:r>
                </w:p>
              </w:tc>
            </w:tr>
            <w:tr w14:paraId="192E96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77" w:type="pct"/>
                  <w:gridSpan w:val="2"/>
                  <w:tcBorders>
                    <w:tl2br w:val="nil"/>
                    <w:tr2bl w:val="nil"/>
                  </w:tcBorders>
                  <w:noWrap w:val="0"/>
                  <w:vAlign w:val="center"/>
                </w:tcPr>
                <w:p w14:paraId="6B3D2B96">
                  <w:pPr>
                    <w:adjustRightInd w:val="0"/>
                    <w:snapToGrid w:val="0"/>
                    <w:jc w:val="center"/>
                    <w:rPr>
                      <w:rFonts w:hint="default"/>
                      <w:color w:val="auto"/>
                      <w:lang w:val="en-US"/>
                    </w:rPr>
                  </w:pPr>
                  <w:r>
                    <w:rPr>
                      <w:rFonts w:hint="default"/>
                      <w:color w:val="auto"/>
                      <w:lang w:val="en-US" w:eastAsia="zh-CN"/>
                    </w:rPr>
                    <w:t>催化浆料配制</w:t>
                  </w:r>
                  <w:r>
                    <w:rPr>
                      <w:rFonts w:hint="eastAsia"/>
                      <w:color w:val="auto"/>
                      <w:lang w:val="en-US" w:eastAsia="zh-CN"/>
                    </w:rPr>
                    <w:t>废气</w:t>
                  </w:r>
                </w:p>
              </w:tc>
              <w:tc>
                <w:tcPr>
                  <w:tcW w:w="354" w:type="pct"/>
                  <w:tcBorders>
                    <w:tl2br w:val="nil"/>
                    <w:tr2bl w:val="nil"/>
                  </w:tcBorders>
                  <w:noWrap w:val="0"/>
                  <w:vAlign w:val="center"/>
                </w:tcPr>
                <w:p w14:paraId="139A7631">
                  <w:pPr>
                    <w:adjustRightInd w:val="0"/>
                    <w:snapToGrid w:val="0"/>
                    <w:jc w:val="center"/>
                    <w:rPr>
                      <w:color w:val="auto"/>
                    </w:rPr>
                  </w:pPr>
                  <w:r>
                    <w:rPr>
                      <w:rFonts w:hint="eastAsia"/>
                      <w:color w:val="auto"/>
                    </w:rPr>
                    <w:t>非甲烷总烃</w:t>
                  </w:r>
                </w:p>
              </w:tc>
              <w:tc>
                <w:tcPr>
                  <w:tcW w:w="159" w:type="pct"/>
                  <w:vMerge w:val="restart"/>
                  <w:tcBorders>
                    <w:tl2br w:val="nil"/>
                    <w:tr2bl w:val="nil"/>
                  </w:tcBorders>
                  <w:noWrap w:val="0"/>
                  <w:vAlign w:val="center"/>
                </w:tcPr>
                <w:p w14:paraId="2F8BFCED">
                  <w:pPr>
                    <w:adjustRightInd w:val="0"/>
                    <w:snapToGrid w:val="0"/>
                    <w:jc w:val="center"/>
                    <w:rPr>
                      <w:color w:val="auto"/>
                    </w:rPr>
                  </w:pPr>
                  <w:r>
                    <w:rPr>
                      <w:rFonts w:hint="eastAsia"/>
                      <w:color w:val="auto"/>
                    </w:rPr>
                    <w:t>无组织</w:t>
                  </w:r>
                </w:p>
              </w:tc>
              <w:tc>
                <w:tcPr>
                  <w:tcW w:w="690" w:type="dxa"/>
                  <w:tcBorders>
                    <w:tl2br w:val="nil"/>
                    <w:tr2bl w:val="nil"/>
                  </w:tcBorders>
                  <w:noWrap w:val="0"/>
                  <w:vAlign w:val="center"/>
                </w:tcPr>
                <w:p w14:paraId="3CD2AC0B">
                  <w:pPr>
                    <w:adjustRightInd w:val="0"/>
                    <w:snapToGrid w:val="0"/>
                    <w:jc w:val="center"/>
                    <w:rPr>
                      <w:rFonts w:hint="default" w:eastAsia="宋体"/>
                      <w:color w:val="auto"/>
                      <w:lang w:val="en-US" w:eastAsia="zh-CN"/>
                    </w:rPr>
                  </w:pPr>
                  <w:r>
                    <w:rPr>
                      <w:rFonts w:hint="eastAsia"/>
                      <w:color w:val="auto"/>
                      <w:lang w:val="en-US" w:eastAsia="zh-CN"/>
                    </w:rPr>
                    <w:t>0.0003</w:t>
                  </w:r>
                </w:p>
              </w:tc>
              <w:tc>
                <w:tcPr>
                  <w:tcW w:w="750" w:type="dxa"/>
                  <w:tcBorders>
                    <w:tl2br w:val="nil"/>
                    <w:tr2bl w:val="nil"/>
                  </w:tcBorders>
                  <w:noWrap w:val="0"/>
                  <w:vAlign w:val="center"/>
                </w:tcPr>
                <w:p w14:paraId="57281006">
                  <w:pPr>
                    <w:keepNext w:val="0"/>
                    <w:keepLines w:val="0"/>
                    <w:widowControl/>
                    <w:suppressLineNumbers w:val="0"/>
                    <w:jc w:val="center"/>
                    <w:textAlignment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2"/>
                      <w:szCs w:val="22"/>
                      <w:u w:val="none"/>
                      <w:lang w:val="en-US" w:eastAsia="zh-CN" w:bidi="ar"/>
                    </w:rPr>
                    <w:t>0.00</w:t>
                  </w:r>
                  <w:r>
                    <w:rPr>
                      <w:rFonts w:hint="eastAsia" w:cs="Times New Roman"/>
                      <w:i w:val="0"/>
                      <w:iCs w:val="0"/>
                      <w:color w:val="auto"/>
                      <w:kern w:val="0"/>
                      <w:sz w:val="22"/>
                      <w:szCs w:val="22"/>
                      <w:u w:val="none"/>
                      <w:lang w:val="en-US" w:eastAsia="zh-CN" w:bidi="ar"/>
                    </w:rPr>
                    <w:t>02</w:t>
                  </w:r>
                </w:p>
              </w:tc>
              <w:tc>
                <w:tcPr>
                  <w:tcW w:w="330" w:type="pct"/>
                  <w:vMerge w:val="restart"/>
                  <w:tcBorders>
                    <w:tl2br w:val="nil"/>
                    <w:tr2bl w:val="nil"/>
                  </w:tcBorders>
                  <w:noWrap w:val="0"/>
                  <w:vAlign w:val="center"/>
                </w:tcPr>
                <w:p w14:paraId="22042AC5">
                  <w:pPr>
                    <w:adjustRightInd w:val="0"/>
                    <w:snapToGrid w:val="0"/>
                    <w:jc w:val="center"/>
                    <w:rPr>
                      <w:color w:val="auto"/>
                    </w:rPr>
                  </w:pPr>
                  <w:r>
                    <w:rPr>
                      <w:rFonts w:hint="eastAsia"/>
                      <w:color w:val="auto"/>
                    </w:rPr>
                    <w:t>/</w:t>
                  </w:r>
                </w:p>
              </w:tc>
              <w:tc>
                <w:tcPr>
                  <w:tcW w:w="354" w:type="pct"/>
                  <w:vMerge w:val="restart"/>
                  <w:tcBorders>
                    <w:tl2br w:val="nil"/>
                    <w:tr2bl w:val="nil"/>
                  </w:tcBorders>
                  <w:noWrap w:val="0"/>
                  <w:vAlign w:val="center"/>
                </w:tcPr>
                <w:p w14:paraId="1D9B4139">
                  <w:pPr>
                    <w:adjustRightInd w:val="0"/>
                    <w:snapToGrid w:val="0"/>
                    <w:jc w:val="center"/>
                    <w:rPr>
                      <w:color w:val="auto"/>
                    </w:rPr>
                  </w:pPr>
                  <w:r>
                    <w:rPr>
                      <w:rFonts w:hint="eastAsia"/>
                      <w:color w:val="auto"/>
                    </w:rPr>
                    <w:t>车间通风，无组织排出</w:t>
                  </w:r>
                </w:p>
              </w:tc>
              <w:tc>
                <w:tcPr>
                  <w:tcW w:w="269" w:type="pct"/>
                  <w:vMerge w:val="restart"/>
                  <w:tcBorders>
                    <w:tl2br w:val="nil"/>
                    <w:tr2bl w:val="nil"/>
                  </w:tcBorders>
                  <w:noWrap w:val="0"/>
                  <w:vAlign w:val="center"/>
                </w:tcPr>
                <w:p w14:paraId="1DFD00AD">
                  <w:pPr>
                    <w:adjustRightInd w:val="0"/>
                    <w:snapToGrid w:val="0"/>
                    <w:jc w:val="center"/>
                    <w:rPr>
                      <w:rFonts w:hint="eastAsia" w:eastAsia="宋体"/>
                      <w:color w:val="auto"/>
                      <w:lang w:val="en-US" w:eastAsia="zh-CN"/>
                    </w:rPr>
                  </w:pPr>
                  <w:r>
                    <w:rPr>
                      <w:rFonts w:hint="eastAsia"/>
                      <w:color w:val="auto"/>
                      <w:lang w:val="en-US" w:eastAsia="zh-CN"/>
                    </w:rPr>
                    <w:t>/</w:t>
                  </w:r>
                </w:p>
              </w:tc>
              <w:tc>
                <w:tcPr>
                  <w:tcW w:w="780" w:type="dxa"/>
                  <w:tcBorders>
                    <w:tl2br w:val="nil"/>
                    <w:tr2bl w:val="nil"/>
                  </w:tcBorders>
                  <w:noWrap w:val="0"/>
                  <w:vAlign w:val="center"/>
                </w:tcPr>
                <w:p w14:paraId="0925EA46">
                  <w:pPr>
                    <w:adjustRightInd w:val="0"/>
                    <w:snapToGrid w:val="0"/>
                    <w:jc w:val="center"/>
                    <w:rPr>
                      <w:color w:val="auto"/>
                      <w:kern w:val="2"/>
                      <w:sz w:val="21"/>
                      <w:szCs w:val="24"/>
                      <w:lang w:val="en-US" w:eastAsia="zh-CN" w:bidi="ar-SA"/>
                    </w:rPr>
                  </w:pPr>
                  <w:r>
                    <w:rPr>
                      <w:rFonts w:hint="eastAsia"/>
                      <w:color w:val="auto"/>
                      <w:lang w:val="en-US" w:eastAsia="zh-CN"/>
                    </w:rPr>
                    <w:t>0.0003</w:t>
                  </w:r>
                </w:p>
              </w:tc>
              <w:tc>
                <w:tcPr>
                  <w:tcW w:w="720" w:type="dxa"/>
                  <w:tcBorders>
                    <w:tl2br w:val="nil"/>
                    <w:tr2bl w:val="nil"/>
                  </w:tcBorders>
                  <w:noWrap w:val="0"/>
                  <w:vAlign w:val="center"/>
                </w:tcPr>
                <w:p w14:paraId="2455AEC3">
                  <w:pPr>
                    <w:keepNext w:val="0"/>
                    <w:keepLines w:val="0"/>
                    <w:widowControl/>
                    <w:suppressLineNumbers w:val="0"/>
                    <w:jc w:val="center"/>
                    <w:textAlignment w:val="center"/>
                    <w:rPr>
                      <w:color w:val="auto"/>
                      <w:kern w:val="2"/>
                      <w:sz w:val="21"/>
                      <w:szCs w:val="24"/>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0.00</w:t>
                  </w:r>
                  <w:r>
                    <w:rPr>
                      <w:rFonts w:hint="eastAsia" w:cs="Times New Roman"/>
                      <w:i w:val="0"/>
                      <w:iCs w:val="0"/>
                      <w:color w:val="auto"/>
                      <w:kern w:val="0"/>
                      <w:sz w:val="22"/>
                      <w:szCs w:val="22"/>
                      <w:u w:val="none"/>
                      <w:lang w:val="en-US" w:eastAsia="zh-CN" w:bidi="ar"/>
                    </w:rPr>
                    <w:t>02</w:t>
                  </w:r>
                </w:p>
              </w:tc>
              <w:tc>
                <w:tcPr>
                  <w:tcW w:w="342" w:type="pct"/>
                  <w:vMerge w:val="restart"/>
                  <w:tcBorders>
                    <w:tl2br w:val="nil"/>
                    <w:tr2bl w:val="nil"/>
                  </w:tcBorders>
                  <w:noWrap w:val="0"/>
                  <w:vAlign w:val="center"/>
                </w:tcPr>
                <w:p w14:paraId="540A1DF9">
                  <w:pPr>
                    <w:adjustRightInd w:val="0"/>
                    <w:snapToGrid w:val="0"/>
                    <w:jc w:val="center"/>
                    <w:rPr>
                      <w:rFonts w:hint="eastAsia" w:eastAsia="宋体"/>
                      <w:color w:val="auto"/>
                      <w:lang w:val="en-US" w:eastAsia="zh-CN"/>
                    </w:rPr>
                  </w:pPr>
                  <w:r>
                    <w:rPr>
                      <w:rFonts w:hint="eastAsia"/>
                      <w:color w:val="auto"/>
                      <w:lang w:val="en-US" w:eastAsia="zh-CN"/>
                    </w:rPr>
                    <w:t>/</w:t>
                  </w:r>
                </w:p>
              </w:tc>
              <w:tc>
                <w:tcPr>
                  <w:tcW w:w="293" w:type="pct"/>
                  <w:tcBorders>
                    <w:tl2br w:val="nil"/>
                    <w:tr2bl w:val="nil"/>
                  </w:tcBorders>
                  <w:noWrap w:val="0"/>
                  <w:vAlign w:val="center"/>
                </w:tcPr>
                <w:p w14:paraId="09D6F383">
                  <w:pPr>
                    <w:adjustRightInd w:val="0"/>
                    <w:snapToGrid w:val="0"/>
                    <w:jc w:val="center"/>
                    <w:rPr>
                      <w:rFonts w:hint="default" w:eastAsia="宋体"/>
                      <w:color w:val="auto"/>
                      <w:lang w:val="en-US" w:eastAsia="zh-CN"/>
                    </w:rPr>
                  </w:pPr>
                  <w:r>
                    <w:rPr>
                      <w:rFonts w:hint="eastAsia"/>
                      <w:color w:val="auto"/>
                      <w:lang w:val="en-US" w:eastAsia="zh-CN"/>
                    </w:rPr>
                    <w:t>2000</w:t>
                  </w:r>
                </w:p>
              </w:tc>
              <w:tc>
                <w:tcPr>
                  <w:tcW w:w="361" w:type="pct"/>
                  <w:tcBorders>
                    <w:tl2br w:val="nil"/>
                    <w:tr2bl w:val="nil"/>
                  </w:tcBorders>
                  <w:noWrap w:val="0"/>
                  <w:vAlign w:val="center"/>
                </w:tcPr>
                <w:p w14:paraId="5331F07A">
                  <w:pPr>
                    <w:adjustRightInd w:val="0"/>
                    <w:snapToGrid w:val="0"/>
                    <w:jc w:val="center"/>
                    <w:rPr>
                      <w:rFonts w:hint="default" w:eastAsia="宋体"/>
                      <w:color w:val="auto"/>
                      <w:szCs w:val="21"/>
                      <w:lang w:val="en-US" w:eastAsia="zh-CN"/>
                    </w:rPr>
                  </w:pPr>
                  <w:r>
                    <w:rPr>
                      <w:rFonts w:hint="eastAsia"/>
                      <w:color w:val="auto"/>
                      <w:szCs w:val="21"/>
                      <w:lang w:val="en-US" w:eastAsia="zh-CN"/>
                    </w:rPr>
                    <w:t>/</w:t>
                  </w:r>
                </w:p>
              </w:tc>
              <w:tc>
                <w:tcPr>
                  <w:tcW w:w="379" w:type="pct"/>
                  <w:tcBorders>
                    <w:tl2br w:val="nil"/>
                    <w:tr2bl w:val="nil"/>
                  </w:tcBorders>
                  <w:noWrap w:val="0"/>
                  <w:vAlign w:val="center"/>
                </w:tcPr>
                <w:p w14:paraId="4A7EA7FE">
                  <w:pPr>
                    <w:adjustRightInd w:val="0"/>
                    <w:snapToGrid w:val="0"/>
                    <w:jc w:val="center"/>
                    <w:rPr>
                      <w:rFonts w:hint="eastAsia" w:eastAsia="宋体"/>
                      <w:color w:val="auto"/>
                      <w:szCs w:val="21"/>
                      <w:lang w:val="en-US" w:eastAsia="zh-CN"/>
                    </w:rPr>
                  </w:pPr>
                  <w:r>
                    <w:rPr>
                      <w:rFonts w:hint="eastAsia" w:eastAsia="宋体"/>
                      <w:color w:val="auto"/>
                      <w:szCs w:val="21"/>
                      <w:lang w:val="en-US" w:eastAsia="zh-CN"/>
                    </w:rPr>
                    <w:t>4</w:t>
                  </w:r>
                </w:p>
              </w:tc>
              <w:tc>
                <w:tcPr>
                  <w:tcW w:w="277" w:type="pct"/>
                  <w:tcBorders>
                    <w:tl2br w:val="nil"/>
                    <w:tr2bl w:val="nil"/>
                  </w:tcBorders>
                  <w:noWrap w:val="0"/>
                  <w:vAlign w:val="center"/>
                </w:tcPr>
                <w:p w14:paraId="01D009B1">
                  <w:pPr>
                    <w:adjustRightInd w:val="0"/>
                    <w:snapToGrid w:val="0"/>
                    <w:jc w:val="center"/>
                    <w:rPr>
                      <w:rFonts w:hint="default" w:eastAsia="宋体"/>
                      <w:color w:val="auto"/>
                      <w:szCs w:val="21"/>
                      <w:lang w:val="en-US" w:eastAsia="zh-CN"/>
                    </w:rPr>
                  </w:pPr>
                  <w:r>
                    <w:rPr>
                      <w:rFonts w:hint="eastAsia"/>
                      <w:color w:val="auto"/>
                      <w:highlight w:val="none"/>
                      <w:lang w:val="en-US" w:eastAsia="zh-CN"/>
                    </w:rPr>
                    <w:t>达标</w:t>
                  </w:r>
                </w:p>
              </w:tc>
            </w:tr>
            <w:tr w14:paraId="3F637A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677" w:type="pct"/>
                  <w:gridSpan w:val="2"/>
                  <w:tcBorders>
                    <w:tl2br w:val="nil"/>
                    <w:tr2bl w:val="nil"/>
                  </w:tcBorders>
                  <w:noWrap w:val="0"/>
                  <w:vAlign w:val="center"/>
                </w:tcPr>
                <w:p w14:paraId="66F702BD">
                  <w:pPr>
                    <w:adjustRightInd w:val="0"/>
                    <w:snapToGrid w:val="0"/>
                    <w:jc w:val="center"/>
                    <w:rPr>
                      <w:rFonts w:hint="default"/>
                      <w:color w:val="auto"/>
                      <w:lang w:val="en-US"/>
                    </w:rPr>
                  </w:pPr>
                  <w:r>
                    <w:rPr>
                      <w:rFonts w:hint="eastAsia"/>
                      <w:color w:val="auto"/>
                      <w:lang w:val="en-US" w:eastAsia="zh-CN"/>
                    </w:rPr>
                    <w:t>催化剂涂覆膜制备废气</w:t>
                  </w:r>
                </w:p>
              </w:tc>
              <w:tc>
                <w:tcPr>
                  <w:tcW w:w="354" w:type="pct"/>
                  <w:tcBorders>
                    <w:tl2br w:val="nil"/>
                    <w:tr2bl w:val="nil"/>
                  </w:tcBorders>
                  <w:noWrap w:val="0"/>
                  <w:vAlign w:val="center"/>
                </w:tcPr>
                <w:p w14:paraId="5C0D5929">
                  <w:pPr>
                    <w:adjustRightInd w:val="0"/>
                    <w:snapToGrid w:val="0"/>
                    <w:jc w:val="center"/>
                    <w:rPr>
                      <w:color w:val="auto"/>
                    </w:rPr>
                  </w:pPr>
                  <w:r>
                    <w:rPr>
                      <w:rFonts w:hint="eastAsia"/>
                      <w:color w:val="auto"/>
                    </w:rPr>
                    <w:t>非甲烷总烃</w:t>
                  </w:r>
                </w:p>
              </w:tc>
              <w:tc>
                <w:tcPr>
                  <w:tcW w:w="159" w:type="pct"/>
                  <w:vMerge w:val="continue"/>
                  <w:tcBorders>
                    <w:tl2br w:val="nil"/>
                    <w:tr2bl w:val="nil"/>
                  </w:tcBorders>
                  <w:noWrap w:val="0"/>
                  <w:vAlign w:val="center"/>
                </w:tcPr>
                <w:p w14:paraId="03D73B4A">
                  <w:pPr>
                    <w:adjustRightInd w:val="0"/>
                    <w:snapToGrid w:val="0"/>
                    <w:jc w:val="center"/>
                    <w:rPr>
                      <w:color w:val="auto"/>
                    </w:rPr>
                  </w:pPr>
                </w:p>
              </w:tc>
              <w:tc>
                <w:tcPr>
                  <w:tcW w:w="690" w:type="dxa"/>
                  <w:tcBorders>
                    <w:tl2br w:val="nil"/>
                    <w:tr2bl w:val="nil"/>
                  </w:tcBorders>
                  <w:noWrap w:val="0"/>
                  <w:vAlign w:val="center"/>
                </w:tcPr>
                <w:p w14:paraId="1418A647">
                  <w:pPr>
                    <w:adjustRightInd w:val="0"/>
                    <w:snapToGrid w:val="0"/>
                    <w:jc w:val="center"/>
                    <w:rPr>
                      <w:rFonts w:hint="default" w:eastAsia="宋体"/>
                      <w:color w:val="auto"/>
                      <w:lang w:val="en-US" w:eastAsia="zh-CN"/>
                    </w:rPr>
                  </w:pPr>
                  <w:r>
                    <w:rPr>
                      <w:rFonts w:hint="eastAsia"/>
                      <w:color w:val="auto"/>
                      <w:lang w:val="en-US" w:eastAsia="zh-CN"/>
                    </w:rPr>
                    <w:t>0.01</w:t>
                  </w:r>
                </w:p>
              </w:tc>
              <w:tc>
                <w:tcPr>
                  <w:tcW w:w="750" w:type="dxa"/>
                  <w:tcBorders>
                    <w:tl2br w:val="nil"/>
                    <w:tr2bl w:val="nil"/>
                  </w:tcBorders>
                  <w:noWrap w:val="0"/>
                  <w:vAlign w:val="center"/>
                </w:tcPr>
                <w:p w14:paraId="5E3B25E1">
                  <w:pPr>
                    <w:keepNext w:val="0"/>
                    <w:keepLines w:val="0"/>
                    <w:widowControl/>
                    <w:suppressLineNumbers w:val="0"/>
                    <w:jc w:val="center"/>
                    <w:textAlignment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2"/>
                      <w:szCs w:val="22"/>
                      <w:u w:val="none"/>
                      <w:lang w:val="en-US" w:eastAsia="zh-CN" w:bidi="ar"/>
                    </w:rPr>
                    <w:t>0.0</w:t>
                  </w:r>
                  <w:r>
                    <w:rPr>
                      <w:rFonts w:hint="eastAsia" w:cs="Times New Roman"/>
                      <w:i w:val="0"/>
                      <w:iCs w:val="0"/>
                      <w:color w:val="auto"/>
                      <w:kern w:val="0"/>
                      <w:sz w:val="22"/>
                      <w:szCs w:val="22"/>
                      <w:u w:val="none"/>
                      <w:lang w:val="en-US" w:eastAsia="zh-CN" w:bidi="ar"/>
                    </w:rPr>
                    <w:t>05</w:t>
                  </w:r>
                </w:p>
              </w:tc>
              <w:tc>
                <w:tcPr>
                  <w:tcW w:w="330" w:type="pct"/>
                  <w:vMerge w:val="continue"/>
                  <w:tcBorders>
                    <w:tl2br w:val="nil"/>
                    <w:tr2bl w:val="nil"/>
                  </w:tcBorders>
                  <w:noWrap w:val="0"/>
                  <w:vAlign w:val="center"/>
                </w:tcPr>
                <w:p w14:paraId="5CEC5A26">
                  <w:pPr>
                    <w:adjustRightInd w:val="0"/>
                    <w:snapToGrid w:val="0"/>
                    <w:jc w:val="center"/>
                    <w:rPr>
                      <w:color w:val="auto"/>
                    </w:rPr>
                  </w:pPr>
                </w:p>
              </w:tc>
              <w:tc>
                <w:tcPr>
                  <w:tcW w:w="354" w:type="pct"/>
                  <w:vMerge w:val="continue"/>
                  <w:tcBorders>
                    <w:tl2br w:val="nil"/>
                    <w:tr2bl w:val="nil"/>
                  </w:tcBorders>
                  <w:noWrap w:val="0"/>
                  <w:vAlign w:val="center"/>
                </w:tcPr>
                <w:p w14:paraId="73D2C381">
                  <w:pPr>
                    <w:adjustRightInd w:val="0"/>
                    <w:snapToGrid w:val="0"/>
                    <w:jc w:val="center"/>
                    <w:rPr>
                      <w:color w:val="auto"/>
                    </w:rPr>
                  </w:pPr>
                </w:p>
              </w:tc>
              <w:tc>
                <w:tcPr>
                  <w:tcW w:w="269" w:type="pct"/>
                  <w:vMerge w:val="continue"/>
                  <w:tcBorders>
                    <w:tl2br w:val="nil"/>
                    <w:tr2bl w:val="nil"/>
                  </w:tcBorders>
                  <w:noWrap w:val="0"/>
                  <w:vAlign w:val="center"/>
                </w:tcPr>
                <w:p w14:paraId="3D88CC42">
                  <w:pPr>
                    <w:adjustRightInd w:val="0"/>
                    <w:snapToGrid w:val="0"/>
                    <w:jc w:val="center"/>
                    <w:rPr>
                      <w:color w:val="auto"/>
                    </w:rPr>
                  </w:pPr>
                </w:p>
              </w:tc>
              <w:tc>
                <w:tcPr>
                  <w:tcW w:w="780" w:type="dxa"/>
                  <w:tcBorders>
                    <w:tl2br w:val="nil"/>
                    <w:tr2bl w:val="nil"/>
                  </w:tcBorders>
                  <w:noWrap w:val="0"/>
                  <w:vAlign w:val="center"/>
                </w:tcPr>
                <w:p w14:paraId="511267C5">
                  <w:pPr>
                    <w:adjustRightInd w:val="0"/>
                    <w:snapToGrid w:val="0"/>
                    <w:jc w:val="center"/>
                    <w:rPr>
                      <w:color w:val="auto"/>
                      <w:kern w:val="2"/>
                      <w:sz w:val="21"/>
                      <w:szCs w:val="24"/>
                      <w:lang w:val="en-US" w:eastAsia="zh-CN" w:bidi="ar-SA"/>
                    </w:rPr>
                  </w:pPr>
                  <w:r>
                    <w:rPr>
                      <w:rFonts w:hint="eastAsia"/>
                      <w:color w:val="auto"/>
                      <w:lang w:val="en-US" w:eastAsia="zh-CN"/>
                    </w:rPr>
                    <w:t>0.01</w:t>
                  </w:r>
                </w:p>
              </w:tc>
              <w:tc>
                <w:tcPr>
                  <w:tcW w:w="720" w:type="dxa"/>
                  <w:tcBorders>
                    <w:tl2br w:val="nil"/>
                    <w:tr2bl w:val="nil"/>
                  </w:tcBorders>
                  <w:noWrap w:val="0"/>
                  <w:vAlign w:val="center"/>
                </w:tcPr>
                <w:p w14:paraId="6CE18022">
                  <w:pPr>
                    <w:keepNext w:val="0"/>
                    <w:keepLines w:val="0"/>
                    <w:widowControl/>
                    <w:suppressLineNumbers w:val="0"/>
                    <w:jc w:val="center"/>
                    <w:textAlignment w:val="center"/>
                    <w:rPr>
                      <w:color w:val="auto"/>
                      <w:kern w:val="2"/>
                      <w:sz w:val="21"/>
                      <w:szCs w:val="24"/>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0.0</w:t>
                  </w:r>
                  <w:r>
                    <w:rPr>
                      <w:rFonts w:hint="eastAsia" w:cs="Times New Roman"/>
                      <w:i w:val="0"/>
                      <w:iCs w:val="0"/>
                      <w:color w:val="auto"/>
                      <w:kern w:val="0"/>
                      <w:sz w:val="22"/>
                      <w:szCs w:val="22"/>
                      <w:u w:val="none"/>
                      <w:lang w:val="en-US" w:eastAsia="zh-CN" w:bidi="ar"/>
                    </w:rPr>
                    <w:t>05</w:t>
                  </w:r>
                </w:p>
              </w:tc>
              <w:tc>
                <w:tcPr>
                  <w:tcW w:w="342" w:type="pct"/>
                  <w:vMerge w:val="continue"/>
                  <w:tcBorders>
                    <w:tl2br w:val="nil"/>
                    <w:tr2bl w:val="nil"/>
                  </w:tcBorders>
                  <w:noWrap w:val="0"/>
                  <w:vAlign w:val="center"/>
                </w:tcPr>
                <w:p w14:paraId="0FBC12FF">
                  <w:pPr>
                    <w:adjustRightInd w:val="0"/>
                    <w:snapToGrid w:val="0"/>
                    <w:jc w:val="center"/>
                    <w:rPr>
                      <w:color w:val="auto"/>
                    </w:rPr>
                  </w:pPr>
                </w:p>
              </w:tc>
              <w:tc>
                <w:tcPr>
                  <w:tcW w:w="293" w:type="pct"/>
                  <w:tcBorders>
                    <w:tl2br w:val="nil"/>
                    <w:tr2bl w:val="nil"/>
                  </w:tcBorders>
                  <w:shd w:val="clear" w:color="auto" w:fill="auto"/>
                  <w:noWrap w:val="0"/>
                  <w:vAlign w:val="center"/>
                </w:tcPr>
                <w:p w14:paraId="48762C5A">
                  <w:pPr>
                    <w:adjustRightInd w:val="0"/>
                    <w:snapToGrid w:val="0"/>
                    <w:jc w:val="center"/>
                    <w:rPr>
                      <w:rFonts w:ascii="Times New Roman" w:hAnsi="Times New Roman" w:eastAsia="宋体" w:cs="Times New Roman"/>
                      <w:color w:val="auto"/>
                      <w:kern w:val="2"/>
                      <w:sz w:val="21"/>
                      <w:szCs w:val="24"/>
                      <w:lang w:val="en-US" w:eastAsia="zh-CN" w:bidi="ar-SA"/>
                    </w:rPr>
                  </w:pPr>
                  <w:r>
                    <w:rPr>
                      <w:rFonts w:hint="eastAsia"/>
                      <w:color w:val="auto"/>
                      <w:lang w:val="en-US" w:eastAsia="zh-CN"/>
                    </w:rPr>
                    <w:t>2000</w:t>
                  </w:r>
                </w:p>
              </w:tc>
              <w:tc>
                <w:tcPr>
                  <w:tcW w:w="361" w:type="pct"/>
                  <w:tcBorders>
                    <w:tl2br w:val="nil"/>
                    <w:tr2bl w:val="nil"/>
                  </w:tcBorders>
                  <w:noWrap w:val="0"/>
                  <w:vAlign w:val="center"/>
                </w:tcPr>
                <w:p w14:paraId="0F20A49A">
                  <w:pPr>
                    <w:adjustRightInd w:val="0"/>
                    <w:snapToGrid w:val="0"/>
                    <w:jc w:val="center"/>
                    <w:rPr>
                      <w:rFonts w:hint="default"/>
                      <w:color w:val="auto"/>
                      <w:highlight w:val="none"/>
                      <w:lang w:val="en-US" w:eastAsia="zh-CN"/>
                    </w:rPr>
                  </w:pPr>
                  <w:r>
                    <w:rPr>
                      <w:rFonts w:hint="eastAsia"/>
                      <w:color w:val="auto"/>
                      <w:highlight w:val="none"/>
                      <w:lang w:val="en-US" w:eastAsia="zh-CN"/>
                    </w:rPr>
                    <w:t>/</w:t>
                  </w:r>
                </w:p>
              </w:tc>
              <w:tc>
                <w:tcPr>
                  <w:tcW w:w="379" w:type="pct"/>
                  <w:tcBorders>
                    <w:tl2br w:val="nil"/>
                    <w:tr2bl w:val="nil"/>
                  </w:tcBorders>
                  <w:noWrap w:val="0"/>
                  <w:vAlign w:val="center"/>
                </w:tcPr>
                <w:p w14:paraId="67DC12F8">
                  <w:pPr>
                    <w:adjustRightInd w:val="0"/>
                    <w:snapToGrid w:val="0"/>
                    <w:jc w:val="center"/>
                    <w:rPr>
                      <w:rFonts w:hint="eastAsia"/>
                      <w:color w:val="auto"/>
                      <w:highlight w:val="none"/>
                      <w:lang w:val="en-US" w:eastAsia="zh-CN"/>
                    </w:rPr>
                  </w:pPr>
                  <w:r>
                    <w:rPr>
                      <w:rFonts w:hint="eastAsia"/>
                      <w:color w:val="auto"/>
                      <w:highlight w:val="none"/>
                      <w:lang w:val="en-US" w:eastAsia="zh-CN"/>
                    </w:rPr>
                    <w:t>4</w:t>
                  </w:r>
                </w:p>
              </w:tc>
              <w:tc>
                <w:tcPr>
                  <w:tcW w:w="277" w:type="pct"/>
                  <w:tcBorders>
                    <w:tl2br w:val="nil"/>
                    <w:tr2bl w:val="nil"/>
                  </w:tcBorders>
                  <w:noWrap w:val="0"/>
                  <w:vAlign w:val="center"/>
                </w:tcPr>
                <w:p w14:paraId="447FC96B">
                  <w:pPr>
                    <w:adjustRightInd w:val="0"/>
                    <w:snapToGrid w:val="0"/>
                    <w:jc w:val="center"/>
                    <w:rPr>
                      <w:rFonts w:hint="default"/>
                      <w:color w:val="auto"/>
                      <w:highlight w:val="none"/>
                      <w:lang w:val="en-US" w:eastAsia="zh-CN"/>
                    </w:rPr>
                  </w:pPr>
                  <w:r>
                    <w:rPr>
                      <w:rFonts w:hint="eastAsia"/>
                      <w:color w:val="auto"/>
                      <w:highlight w:val="none"/>
                      <w:lang w:val="en-US" w:eastAsia="zh-CN"/>
                    </w:rPr>
                    <w:t>达标</w:t>
                  </w:r>
                </w:p>
              </w:tc>
            </w:tr>
            <w:tr w14:paraId="4DE59D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677" w:type="pct"/>
                  <w:gridSpan w:val="2"/>
                  <w:vMerge w:val="restart"/>
                  <w:tcBorders>
                    <w:tl2br w:val="nil"/>
                    <w:tr2bl w:val="nil"/>
                  </w:tcBorders>
                  <w:noWrap w:val="0"/>
                  <w:vAlign w:val="center"/>
                </w:tcPr>
                <w:p w14:paraId="3DF92762">
                  <w:pPr>
                    <w:adjustRightInd w:val="0"/>
                    <w:snapToGrid w:val="0"/>
                    <w:jc w:val="center"/>
                    <w:rPr>
                      <w:rFonts w:hint="default"/>
                      <w:color w:val="auto"/>
                      <w:lang w:val="en-US"/>
                    </w:rPr>
                  </w:pPr>
                  <w:r>
                    <w:rPr>
                      <w:rFonts w:hint="eastAsia"/>
                      <w:color w:val="auto"/>
                      <w:lang w:val="en-US" w:eastAsia="zh-CN"/>
                    </w:rPr>
                    <w:t>变色材料制备废气</w:t>
                  </w:r>
                </w:p>
              </w:tc>
              <w:tc>
                <w:tcPr>
                  <w:tcW w:w="354" w:type="pct"/>
                  <w:tcBorders>
                    <w:tl2br w:val="nil"/>
                    <w:tr2bl w:val="nil"/>
                  </w:tcBorders>
                  <w:noWrap w:val="0"/>
                  <w:vAlign w:val="center"/>
                </w:tcPr>
                <w:p w14:paraId="3347A39D">
                  <w:pPr>
                    <w:adjustRightInd w:val="0"/>
                    <w:snapToGrid w:val="0"/>
                    <w:jc w:val="center"/>
                    <w:rPr>
                      <w:color w:val="auto"/>
                    </w:rPr>
                  </w:pPr>
                  <w:r>
                    <w:rPr>
                      <w:rFonts w:hint="eastAsia"/>
                      <w:color w:val="auto"/>
                    </w:rPr>
                    <w:t>非甲烷总烃</w:t>
                  </w:r>
                </w:p>
              </w:tc>
              <w:tc>
                <w:tcPr>
                  <w:tcW w:w="159" w:type="pct"/>
                  <w:vMerge w:val="continue"/>
                  <w:tcBorders>
                    <w:tl2br w:val="nil"/>
                    <w:tr2bl w:val="nil"/>
                  </w:tcBorders>
                  <w:noWrap w:val="0"/>
                  <w:vAlign w:val="center"/>
                </w:tcPr>
                <w:p w14:paraId="498A870D">
                  <w:pPr>
                    <w:adjustRightInd w:val="0"/>
                    <w:snapToGrid w:val="0"/>
                    <w:jc w:val="center"/>
                    <w:rPr>
                      <w:color w:val="auto"/>
                    </w:rPr>
                  </w:pPr>
                </w:p>
              </w:tc>
              <w:tc>
                <w:tcPr>
                  <w:tcW w:w="690" w:type="dxa"/>
                  <w:tcBorders>
                    <w:tl2br w:val="nil"/>
                    <w:tr2bl w:val="nil"/>
                  </w:tcBorders>
                  <w:noWrap w:val="0"/>
                  <w:vAlign w:val="center"/>
                </w:tcPr>
                <w:p w14:paraId="3180D755">
                  <w:pPr>
                    <w:adjustRightInd w:val="0"/>
                    <w:snapToGrid w:val="0"/>
                    <w:jc w:val="center"/>
                    <w:rPr>
                      <w:rFonts w:hint="default" w:eastAsia="宋体"/>
                      <w:color w:val="auto"/>
                      <w:lang w:val="en-US" w:eastAsia="zh-CN"/>
                    </w:rPr>
                  </w:pPr>
                  <w:r>
                    <w:rPr>
                      <w:rFonts w:hint="eastAsia"/>
                      <w:color w:val="auto"/>
                      <w:lang w:val="en-US" w:eastAsia="zh-CN"/>
                    </w:rPr>
                    <w:t>0.00003</w:t>
                  </w:r>
                </w:p>
              </w:tc>
              <w:tc>
                <w:tcPr>
                  <w:tcW w:w="750" w:type="dxa"/>
                  <w:tcBorders>
                    <w:tl2br w:val="nil"/>
                    <w:tr2bl w:val="nil"/>
                  </w:tcBorders>
                  <w:noWrap w:val="0"/>
                  <w:vAlign w:val="center"/>
                </w:tcPr>
                <w:p w14:paraId="39E0FC06">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2"/>
                      <w:szCs w:val="22"/>
                      <w:u w:val="none"/>
                      <w:lang w:val="en-US" w:eastAsia="zh-CN" w:bidi="ar"/>
                    </w:rPr>
                    <w:t>0.00</w:t>
                  </w:r>
                  <w:r>
                    <w:rPr>
                      <w:rFonts w:hint="eastAsia" w:cs="Times New Roman"/>
                      <w:i w:val="0"/>
                      <w:iCs w:val="0"/>
                      <w:color w:val="auto"/>
                      <w:kern w:val="0"/>
                      <w:sz w:val="22"/>
                      <w:szCs w:val="22"/>
                      <w:u w:val="none"/>
                      <w:lang w:val="en-US" w:eastAsia="zh-CN" w:bidi="ar"/>
                    </w:rPr>
                    <w:t>002</w:t>
                  </w:r>
                </w:p>
              </w:tc>
              <w:tc>
                <w:tcPr>
                  <w:tcW w:w="330" w:type="pct"/>
                  <w:vMerge w:val="continue"/>
                  <w:tcBorders>
                    <w:tl2br w:val="nil"/>
                    <w:tr2bl w:val="nil"/>
                  </w:tcBorders>
                  <w:noWrap w:val="0"/>
                  <w:vAlign w:val="center"/>
                </w:tcPr>
                <w:p w14:paraId="5A39F9D0">
                  <w:pPr>
                    <w:adjustRightInd w:val="0"/>
                    <w:snapToGrid w:val="0"/>
                    <w:jc w:val="center"/>
                    <w:rPr>
                      <w:color w:val="auto"/>
                    </w:rPr>
                  </w:pPr>
                </w:p>
              </w:tc>
              <w:tc>
                <w:tcPr>
                  <w:tcW w:w="354" w:type="pct"/>
                  <w:vMerge w:val="continue"/>
                  <w:tcBorders>
                    <w:tl2br w:val="nil"/>
                    <w:tr2bl w:val="nil"/>
                  </w:tcBorders>
                  <w:noWrap w:val="0"/>
                  <w:vAlign w:val="center"/>
                </w:tcPr>
                <w:p w14:paraId="40A4C8E0">
                  <w:pPr>
                    <w:adjustRightInd w:val="0"/>
                    <w:snapToGrid w:val="0"/>
                    <w:jc w:val="center"/>
                    <w:rPr>
                      <w:color w:val="auto"/>
                    </w:rPr>
                  </w:pPr>
                </w:p>
              </w:tc>
              <w:tc>
                <w:tcPr>
                  <w:tcW w:w="269" w:type="pct"/>
                  <w:vMerge w:val="continue"/>
                  <w:tcBorders>
                    <w:tl2br w:val="nil"/>
                    <w:tr2bl w:val="nil"/>
                  </w:tcBorders>
                  <w:noWrap w:val="0"/>
                  <w:vAlign w:val="center"/>
                </w:tcPr>
                <w:p w14:paraId="294070BF">
                  <w:pPr>
                    <w:adjustRightInd w:val="0"/>
                    <w:snapToGrid w:val="0"/>
                    <w:jc w:val="center"/>
                    <w:rPr>
                      <w:color w:val="auto"/>
                    </w:rPr>
                  </w:pPr>
                </w:p>
              </w:tc>
              <w:tc>
                <w:tcPr>
                  <w:tcW w:w="780" w:type="dxa"/>
                  <w:tcBorders>
                    <w:tl2br w:val="nil"/>
                    <w:tr2bl w:val="nil"/>
                  </w:tcBorders>
                  <w:noWrap w:val="0"/>
                  <w:vAlign w:val="center"/>
                </w:tcPr>
                <w:p w14:paraId="57F56124">
                  <w:pPr>
                    <w:adjustRightInd w:val="0"/>
                    <w:snapToGrid w:val="0"/>
                    <w:jc w:val="center"/>
                    <w:rPr>
                      <w:color w:val="auto"/>
                      <w:kern w:val="2"/>
                      <w:sz w:val="21"/>
                      <w:szCs w:val="24"/>
                      <w:lang w:val="en-US" w:eastAsia="zh-CN" w:bidi="ar-SA"/>
                    </w:rPr>
                  </w:pPr>
                  <w:r>
                    <w:rPr>
                      <w:rFonts w:hint="eastAsia"/>
                      <w:color w:val="auto"/>
                      <w:lang w:val="en-US" w:eastAsia="zh-CN"/>
                    </w:rPr>
                    <w:t>0.00003</w:t>
                  </w:r>
                </w:p>
              </w:tc>
              <w:tc>
                <w:tcPr>
                  <w:tcW w:w="720" w:type="dxa"/>
                  <w:tcBorders>
                    <w:tl2br w:val="nil"/>
                    <w:tr2bl w:val="nil"/>
                  </w:tcBorders>
                  <w:noWrap w:val="0"/>
                  <w:vAlign w:val="center"/>
                </w:tcPr>
                <w:p w14:paraId="0C8029D5">
                  <w:pPr>
                    <w:keepNext w:val="0"/>
                    <w:keepLines w:val="0"/>
                    <w:widowControl/>
                    <w:suppressLineNumbers w:val="0"/>
                    <w:jc w:val="center"/>
                    <w:textAlignment w:val="center"/>
                    <w:rPr>
                      <w:color w:val="auto"/>
                      <w:kern w:val="2"/>
                      <w:sz w:val="21"/>
                      <w:szCs w:val="24"/>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0.00</w:t>
                  </w:r>
                  <w:r>
                    <w:rPr>
                      <w:rFonts w:hint="eastAsia" w:cs="Times New Roman"/>
                      <w:i w:val="0"/>
                      <w:iCs w:val="0"/>
                      <w:color w:val="auto"/>
                      <w:kern w:val="0"/>
                      <w:sz w:val="22"/>
                      <w:szCs w:val="22"/>
                      <w:u w:val="none"/>
                      <w:lang w:val="en-US" w:eastAsia="zh-CN" w:bidi="ar"/>
                    </w:rPr>
                    <w:t>002</w:t>
                  </w:r>
                </w:p>
              </w:tc>
              <w:tc>
                <w:tcPr>
                  <w:tcW w:w="342" w:type="pct"/>
                  <w:vMerge w:val="continue"/>
                  <w:tcBorders>
                    <w:tl2br w:val="nil"/>
                    <w:tr2bl w:val="nil"/>
                  </w:tcBorders>
                  <w:noWrap w:val="0"/>
                  <w:vAlign w:val="center"/>
                </w:tcPr>
                <w:p w14:paraId="72675A67">
                  <w:pPr>
                    <w:adjustRightInd w:val="0"/>
                    <w:snapToGrid w:val="0"/>
                    <w:jc w:val="center"/>
                    <w:rPr>
                      <w:color w:val="auto"/>
                    </w:rPr>
                  </w:pPr>
                </w:p>
              </w:tc>
              <w:tc>
                <w:tcPr>
                  <w:tcW w:w="293" w:type="pct"/>
                  <w:tcBorders>
                    <w:tl2br w:val="nil"/>
                    <w:tr2bl w:val="nil"/>
                  </w:tcBorders>
                  <w:shd w:val="clear" w:color="auto" w:fill="auto"/>
                  <w:noWrap w:val="0"/>
                  <w:vAlign w:val="center"/>
                </w:tcPr>
                <w:p w14:paraId="62E6C9D3">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2000</w:t>
                  </w:r>
                </w:p>
              </w:tc>
              <w:tc>
                <w:tcPr>
                  <w:tcW w:w="361" w:type="pct"/>
                  <w:tcBorders>
                    <w:tl2br w:val="nil"/>
                    <w:tr2bl w:val="nil"/>
                  </w:tcBorders>
                  <w:noWrap w:val="0"/>
                  <w:vAlign w:val="center"/>
                </w:tcPr>
                <w:p w14:paraId="6EDB73B6">
                  <w:pPr>
                    <w:adjustRightInd w:val="0"/>
                    <w:snapToGrid w:val="0"/>
                    <w:jc w:val="center"/>
                    <w:rPr>
                      <w:rFonts w:hint="default"/>
                      <w:color w:val="auto"/>
                      <w:highlight w:val="none"/>
                      <w:lang w:val="en-US" w:eastAsia="zh-CN"/>
                    </w:rPr>
                  </w:pPr>
                  <w:r>
                    <w:rPr>
                      <w:rFonts w:hint="eastAsia"/>
                      <w:color w:val="auto"/>
                      <w:highlight w:val="none"/>
                      <w:lang w:val="en-US" w:eastAsia="zh-CN"/>
                    </w:rPr>
                    <w:t>/</w:t>
                  </w:r>
                </w:p>
              </w:tc>
              <w:tc>
                <w:tcPr>
                  <w:tcW w:w="379" w:type="pct"/>
                  <w:tcBorders>
                    <w:tl2br w:val="nil"/>
                    <w:tr2bl w:val="nil"/>
                  </w:tcBorders>
                  <w:noWrap w:val="0"/>
                  <w:vAlign w:val="center"/>
                </w:tcPr>
                <w:p w14:paraId="1D1DE9B0">
                  <w:pPr>
                    <w:adjustRightInd w:val="0"/>
                    <w:snapToGrid w:val="0"/>
                    <w:jc w:val="center"/>
                    <w:rPr>
                      <w:rFonts w:hint="eastAsia"/>
                      <w:color w:val="auto"/>
                      <w:highlight w:val="none"/>
                      <w:lang w:val="en-US" w:eastAsia="zh-CN"/>
                    </w:rPr>
                  </w:pPr>
                  <w:r>
                    <w:rPr>
                      <w:rFonts w:hint="eastAsia"/>
                      <w:color w:val="auto"/>
                      <w:highlight w:val="none"/>
                      <w:lang w:val="en-US" w:eastAsia="zh-CN"/>
                    </w:rPr>
                    <w:t>4</w:t>
                  </w:r>
                </w:p>
              </w:tc>
              <w:tc>
                <w:tcPr>
                  <w:tcW w:w="277" w:type="pct"/>
                  <w:tcBorders>
                    <w:tl2br w:val="nil"/>
                    <w:tr2bl w:val="nil"/>
                  </w:tcBorders>
                  <w:noWrap w:val="0"/>
                  <w:vAlign w:val="center"/>
                </w:tcPr>
                <w:p w14:paraId="721C983E">
                  <w:pPr>
                    <w:adjustRightInd w:val="0"/>
                    <w:snapToGrid w:val="0"/>
                    <w:jc w:val="center"/>
                    <w:rPr>
                      <w:rFonts w:hint="default"/>
                      <w:color w:val="auto"/>
                      <w:highlight w:val="none"/>
                      <w:lang w:val="en-US" w:eastAsia="zh-CN"/>
                    </w:rPr>
                  </w:pPr>
                  <w:r>
                    <w:rPr>
                      <w:rFonts w:hint="eastAsia"/>
                      <w:color w:val="auto"/>
                      <w:highlight w:val="none"/>
                      <w:lang w:val="en-US" w:eastAsia="zh-CN"/>
                    </w:rPr>
                    <w:t>达标</w:t>
                  </w:r>
                </w:p>
              </w:tc>
            </w:tr>
            <w:tr w14:paraId="6223A2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77" w:type="pct"/>
                  <w:gridSpan w:val="2"/>
                  <w:vMerge w:val="continue"/>
                  <w:tcBorders>
                    <w:tl2br w:val="nil"/>
                    <w:tr2bl w:val="nil"/>
                  </w:tcBorders>
                  <w:noWrap w:val="0"/>
                  <w:vAlign w:val="center"/>
                </w:tcPr>
                <w:p w14:paraId="71535DF0">
                  <w:pPr>
                    <w:adjustRightInd w:val="0"/>
                    <w:snapToGrid w:val="0"/>
                    <w:jc w:val="center"/>
                    <w:rPr>
                      <w:rFonts w:hint="eastAsia"/>
                      <w:color w:val="auto"/>
                      <w:lang w:val="en-US" w:eastAsia="zh-CN"/>
                    </w:rPr>
                  </w:pPr>
                </w:p>
              </w:tc>
              <w:tc>
                <w:tcPr>
                  <w:tcW w:w="354" w:type="pct"/>
                  <w:tcBorders>
                    <w:tl2br w:val="nil"/>
                    <w:tr2bl w:val="nil"/>
                  </w:tcBorders>
                  <w:noWrap w:val="0"/>
                  <w:vAlign w:val="center"/>
                </w:tcPr>
                <w:p w14:paraId="79EAAA49">
                  <w:pPr>
                    <w:adjustRightInd w:val="0"/>
                    <w:snapToGrid w:val="0"/>
                    <w:jc w:val="center"/>
                    <w:rPr>
                      <w:color w:val="auto"/>
                    </w:rPr>
                  </w:pPr>
                  <w:r>
                    <w:rPr>
                      <w:rFonts w:hint="eastAsia"/>
                      <w:color w:val="auto"/>
                      <w:lang w:val="en-US" w:eastAsia="zh-CN"/>
                    </w:rPr>
                    <w:t>甲醇</w:t>
                  </w:r>
                </w:p>
              </w:tc>
              <w:tc>
                <w:tcPr>
                  <w:tcW w:w="159" w:type="pct"/>
                  <w:vMerge w:val="continue"/>
                  <w:tcBorders>
                    <w:tl2br w:val="nil"/>
                    <w:tr2bl w:val="nil"/>
                  </w:tcBorders>
                  <w:noWrap w:val="0"/>
                  <w:vAlign w:val="center"/>
                </w:tcPr>
                <w:p w14:paraId="5467E2D9">
                  <w:pPr>
                    <w:adjustRightInd w:val="0"/>
                    <w:snapToGrid w:val="0"/>
                    <w:jc w:val="center"/>
                    <w:rPr>
                      <w:color w:val="auto"/>
                    </w:rPr>
                  </w:pPr>
                </w:p>
              </w:tc>
              <w:tc>
                <w:tcPr>
                  <w:tcW w:w="690" w:type="dxa"/>
                  <w:tcBorders>
                    <w:tl2br w:val="nil"/>
                    <w:tr2bl w:val="nil"/>
                  </w:tcBorders>
                  <w:noWrap w:val="0"/>
                  <w:vAlign w:val="center"/>
                </w:tcPr>
                <w:p w14:paraId="0639DDD9">
                  <w:pPr>
                    <w:adjustRightInd w:val="0"/>
                    <w:snapToGrid w:val="0"/>
                    <w:jc w:val="center"/>
                    <w:rPr>
                      <w:rFonts w:hint="eastAsia"/>
                      <w:color w:val="auto"/>
                      <w:lang w:val="en-US" w:eastAsia="zh-CN"/>
                    </w:rPr>
                  </w:pPr>
                  <w:r>
                    <w:rPr>
                      <w:rFonts w:hint="eastAsia"/>
                      <w:color w:val="auto"/>
                      <w:lang w:val="en-US" w:eastAsia="zh-CN"/>
                    </w:rPr>
                    <w:t>0.01</w:t>
                  </w:r>
                </w:p>
              </w:tc>
              <w:tc>
                <w:tcPr>
                  <w:tcW w:w="750" w:type="dxa"/>
                  <w:tcBorders>
                    <w:tl2br w:val="nil"/>
                    <w:tr2bl w:val="nil"/>
                  </w:tcBorders>
                  <w:noWrap w:val="0"/>
                  <w:vAlign w:val="center"/>
                </w:tcPr>
                <w:p w14:paraId="2BA1E3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0.005</w:t>
                  </w:r>
                </w:p>
              </w:tc>
              <w:tc>
                <w:tcPr>
                  <w:tcW w:w="330" w:type="pct"/>
                  <w:vMerge w:val="continue"/>
                  <w:tcBorders>
                    <w:tl2br w:val="nil"/>
                    <w:tr2bl w:val="nil"/>
                  </w:tcBorders>
                  <w:noWrap w:val="0"/>
                  <w:vAlign w:val="center"/>
                </w:tcPr>
                <w:p w14:paraId="2A432E5F">
                  <w:pPr>
                    <w:adjustRightInd w:val="0"/>
                    <w:snapToGrid w:val="0"/>
                    <w:jc w:val="center"/>
                    <w:rPr>
                      <w:color w:val="auto"/>
                    </w:rPr>
                  </w:pPr>
                </w:p>
              </w:tc>
              <w:tc>
                <w:tcPr>
                  <w:tcW w:w="354" w:type="pct"/>
                  <w:vMerge w:val="continue"/>
                  <w:tcBorders>
                    <w:tl2br w:val="nil"/>
                    <w:tr2bl w:val="nil"/>
                  </w:tcBorders>
                  <w:noWrap w:val="0"/>
                  <w:vAlign w:val="center"/>
                </w:tcPr>
                <w:p w14:paraId="64083463">
                  <w:pPr>
                    <w:adjustRightInd w:val="0"/>
                    <w:snapToGrid w:val="0"/>
                    <w:jc w:val="center"/>
                    <w:rPr>
                      <w:color w:val="auto"/>
                    </w:rPr>
                  </w:pPr>
                </w:p>
              </w:tc>
              <w:tc>
                <w:tcPr>
                  <w:tcW w:w="269" w:type="pct"/>
                  <w:vMerge w:val="continue"/>
                  <w:tcBorders>
                    <w:tl2br w:val="nil"/>
                    <w:tr2bl w:val="nil"/>
                  </w:tcBorders>
                  <w:noWrap w:val="0"/>
                  <w:vAlign w:val="center"/>
                </w:tcPr>
                <w:p w14:paraId="39823FB7">
                  <w:pPr>
                    <w:adjustRightInd w:val="0"/>
                    <w:snapToGrid w:val="0"/>
                    <w:jc w:val="center"/>
                    <w:rPr>
                      <w:color w:val="auto"/>
                    </w:rPr>
                  </w:pPr>
                </w:p>
              </w:tc>
              <w:tc>
                <w:tcPr>
                  <w:tcW w:w="780" w:type="dxa"/>
                  <w:tcBorders>
                    <w:tl2br w:val="nil"/>
                    <w:tr2bl w:val="nil"/>
                  </w:tcBorders>
                  <w:noWrap w:val="0"/>
                  <w:vAlign w:val="center"/>
                </w:tcPr>
                <w:p w14:paraId="7D7E8EAE">
                  <w:pPr>
                    <w:adjustRightInd w:val="0"/>
                    <w:snapToGrid w:val="0"/>
                    <w:jc w:val="center"/>
                    <w:rPr>
                      <w:rFonts w:hint="eastAsia"/>
                      <w:color w:val="auto"/>
                      <w:lang w:val="en-US" w:eastAsia="zh-CN"/>
                    </w:rPr>
                  </w:pPr>
                  <w:r>
                    <w:rPr>
                      <w:rFonts w:hint="eastAsia"/>
                      <w:color w:val="auto"/>
                      <w:lang w:val="en-US" w:eastAsia="zh-CN"/>
                    </w:rPr>
                    <w:t>0.01</w:t>
                  </w:r>
                </w:p>
              </w:tc>
              <w:tc>
                <w:tcPr>
                  <w:tcW w:w="720" w:type="dxa"/>
                  <w:tcBorders>
                    <w:tl2br w:val="nil"/>
                    <w:tr2bl w:val="nil"/>
                  </w:tcBorders>
                  <w:noWrap w:val="0"/>
                  <w:vAlign w:val="center"/>
                </w:tcPr>
                <w:p w14:paraId="6864A5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0.005</w:t>
                  </w:r>
                </w:p>
              </w:tc>
              <w:tc>
                <w:tcPr>
                  <w:tcW w:w="342" w:type="pct"/>
                  <w:vMerge w:val="continue"/>
                  <w:tcBorders>
                    <w:tl2br w:val="nil"/>
                    <w:tr2bl w:val="nil"/>
                  </w:tcBorders>
                  <w:noWrap w:val="0"/>
                  <w:vAlign w:val="center"/>
                </w:tcPr>
                <w:p w14:paraId="7A1875A2">
                  <w:pPr>
                    <w:adjustRightInd w:val="0"/>
                    <w:snapToGrid w:val="0"/>
                    <w:jc w:val="center"/>
                    <w:rPr>
                      <w:color w:val="auto"/>
                    </w:rPr>
                  </w:pPr>
                </w:p>
              </w:tc>
              <w:tc>
                <w:tcPr>
                  <w:tcW w:w="293" w:type="pct"/>
                  <w:tcBorders>
                    <w:tl2br w:val="nil"/>
                    <w:tr2bl w:val="nil"/>
                  </w:tcBorders>
                  <w:shd w:val="clear" w:color="auto" w:fill="auto"/>
                  <w:noWrap w:val="0"/>
                  <w:vAlign w:val="center"/>
                </w:tcPr>
                <w:p w14:paraId="7515D47B">
                  <w:pPr>
                    <w:adjustRightInd w:val="0"/>
                    <w:snapToGrid w:val="0"/>
                    <w:jc w:val="center"/>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2000</w:t>
                  </w:r>
                </w:p>
              </w:tc>
              <w:tc>
                <w:tcPr>
                  <w:tcW w:w="361" w:type="pct"/>
                  <w:tcBorders>
                    <w:tl2br w:val="nil"/>
                    <w:tr2bl w:val="nil"/>
                  </w:tcBorders>
                  <w:noWrap w:val="0"/>
                  <w:vAlign w:val="center"/>
                </w:tcPr>
                <w:p w14:paraId="53C224A5">
                  <w:pPr>
                    <w:adjustRightInd w:val="0"/>
                    <w:snapToGrid w:val="0"/>
                    <w:jc w:val="center"/>
                    <w:rPr>
                      <w:rFonts w:hint="default"/>
                      <w:color w:val="auto"/>
                      <w:highlight w:val="none"/>
                      <w:lang w:val="en-US" w:eastAsia="zh-CN"/>
                    </w:rPr>
                  </w:pPr>
                  <w:r>
                    <w:rPr>
                      <w:rFonts w:hint="eastAsia"/>
                      <w:color w:val="auto"/>
                      <w:highlight w:val="none"/>
                      <w:lang w:val="en-US" w:eastAsia="zh-CN"/>
                    </w:rPr>
                    <w:t>/</w:t>
                  </w:r>
                </w:p>
              </w:tc>
              <w:tc>
                <w:tcPr>
                  <w:tcW w:w="379" w:type="pct"/>
                  <w:tcBorders>
                    <w:tl2br w:val="nil"/>
                    <w:tr2bl w:val="nil"/>
                  </w:tcBorders>
                  <w:noWrap w:val="0"/>
                  <w:vAlign w:val="center"/>
                </w:tcPr>
                <w:p w14:paraId="5A2A8D64">
                  <w:pPr>
                    <w:adjustRightInd w:val="0"/>
                    <w:snapToGrid w:val="0"/>
                    <w:jc w:val="center"/>
                    <w:rPr>
                      <w:rFonts w:hint="eastAsia"/>
                      <w:color w:val="auto"/>
                      <w:highlight w:val="none"/>
                      <w:lang w:val="en-US" w:eastAsia="zh-CN"/>
                    </w:rPr>
                  </w:pPr>
                  <w:r>
                    <w:rPr>
                      <w:rFonts w:hint="eastAsia"/>
                      <w:color w:val="auto"/>
                      <w:highlight w:val="none"/>
                      <w:lang w:val="en-US" w:eastAsia="zh-CN"/>
                    </w:rPr>
                    <w:t>12</w:t>
                  </w:r>
                </w:p>
              </w:tc>
              <w:tc>
                <w:tcPr>
                  <w:tcW w:w="277" w:type="pct"/>
                  <w:tcBorders>
                    <w:tl2br w:val="nil"/>
                    <w:tr2bl w:val="nil"/>
                  </w:tcBorders>
                  <w:noWrap w:val="0"/>
                  <w:vAlign w:val="center"/>
                </w:tcPr>
                <w:p w14:paraId="1BC410CA">
                  <w:pPr>
                    <w:adjustRightInd w:val="0"/>
                    <w:snapToGrid w:val="0"/>
                    <w:jc w:val="center"/>
                    <w:rPr>
                      <w:rFonts w:hint="eastAsia"/>
                      <w:color w:val="auto"/>
                      <w:highlight w:val="none"/>
                      <w:lang w:val="en-US" w:eastAsia="zh-CN"/>
                    </w:rPr>
                  </w:pPr>
                  <w:r>
                    <w:rPr>
                      <w:rFonts w:hint="eastAsia"/>
                      <w:color w:val="auto"/>
                      <w:highlight w:val="none"/>
                      <w:lang w:val="en-US" w:eastAsia="zh-CN"/>
                    </w:rPr>
                    <w:t>达标</w:t>
                  </w:r>
                </w:p>
              </w:tc>
            </w:tr>
            <w:tr w14:paraId="3E0DBE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677" w:type="pct"/>
                  <w:gridSpan w:val="2"/>
                  <w:tcBorders>
                    <w:tl2br w:val="nil"/>
                    <w:tr2bl w:val="nil"/>
                  </w:tcBorders>
                  <w:noWrap w:val="0"/>
                  <w:vAlign w:val="center"/>
                </w:tcPr>
                <w:p w14:paraId="186BAA1A">
                  <w:pPr>
                    <w:adjustRightInd w:val="0"/>
                    <w:snapToGrid w:val="0"/>
                    <w:jc w:val="center"/>
                    <w:rPr>
                      <w:rFonts w:hint="default"/>
                      <w:color w:val="auto"/>
                      <w:lang w:val="en-US"/>
                    </w:rPr>
                  </w:pPr>
                  <w:r>
                    <w:rPr>
                      <w:rFonts w:hint="eastAsia"/>
                      <w:color w:val="auto"/>
                      <w:lang w:val="en-US" w:eastAsia="zh-CN"/>
                    </w:rPr>
                    <w:t>敏感层制备废气</w:t>
                  </w:r>
                </w:p>
              </w:tc>
              <w:tc>
                <w:tcPr>
                  <w:tcW w:w="354" w:type="pct"/>
                  <w:tcBorders>
                    <w:tl2br w:val="nil"/>
                    <w:tr2bl w:val="nil"/>
                  </w:tcBorders>
                  <w:noWrap w:val="0"/>
                  <w:vAlign w:val="center"/>
                </w:tcPr>
                <w:p w14:paraId="55FF2AFB">
                  <w:pPr>
                    <w:adjustRightInd w:val="0"/>
                    <w:snapToGrid w:val="0"/>
                    <w:jc w:val="center"/>
                    <w:rPr>
                      <w:color w:val="auto"/>
                    </w:rPr>
                  </w:pPr>
                  <w:r>
                    <w:rPr>
                      <w:rFonts w:hint="eastAsia"/>
                      <w:color w:val="auto"/>
                      <w:lang w:val="en-US" w:eastAsia="zh-CN"/>
                    </w:rPr>
                    <w:t>甲苯</w:t>
                  </w:r>
                </w:p>
              </w:tc>
              <w:tc>
                <w:tcPr>
                  <w:tcW w:w="159" w:type="pct"/>
                  <w:vMerge w:val="continue"/>
                  <w:tcBorders>
                    <w:tl2br w:val="nil"/>
                    <w:tr2bl w:val="nil"/>
                  </w:tcBorders>
                  <w:noWrap w:val="0"/>
                  <w:vAlign w:val="center"/>
                </w:tcPr>
                <w:p w14:paraId="701B9171">
                  <w:pPr>
                    <w:adjustRightInd w:val="0"/>
                    <w:snapToGrid w:val="0"/>
                    <w:jc w:val="center"/>
                    <w:rPr>
                      <w:color w:val="auto"/>
                    </w:rPr>
                  </w:pPr>
                </w:p>
              </w:tc>
              <w:tc>
                <w:tcPr>
                  <w:tcW w:w="690" w:type="dxa"/>
                  <w:tcBorders>
                    <w:tl2br w:val="nil"/>
                    <w:tr2bl w:val="nil"/>
                  </w:tcBorders>
                  <w:noWrap w:val="0"/>
                  <w:vAlign w:val="center"/>
                </w:tcPr>
                <w:p w14:paraId="7B9A7577">
                  <w:pPr>
                    <w:adjustRightInd w:val="0"/>
                    <w:snapToGrid w:val="0"/>
                    <w:jc w:val="center"/>
                    <w:rPr>
                      <w:rFonts w:hint="default" w:eastAsia="宋体"/>
                      <w:color w:val="auto"/>
                      <w:lang w:val="en-US" w:eastAsia="zh-CN"/>
                    </w:rPr>
                  </w:pPr>
                  <w:r>
                    <w:rPr>
                      <w:rFonts w:hint="eastAsia"/>
                      <w:color w:val="auto"/>
                      <w:lang w:val="en-US" w:eastAsia="zh-CN"/>
                    </w:rPr>
                    <w:t>0.002</w:t>
                  </w:r>
                </w:p>
              </w:tc>
              <w:tc>
                <w:tcPr>
                  <w:tcW w:w="750" w:type="dxa"/>
                  <w:tcBorders>
                    <w:tl2br w:val="nil"/>
                    <w:tr2bl w:val="nil"/>
                  </w:tcBorders>
                  <w:noWrap w:val="0"/>
                  <w:vAlign w:val="center"/>
                </w:tcPr>
                <w:p w14:paraId="3EA074A4">
                  <w:pPr>
                    <w:keepNext w:val="0"/>
                    <w:keepLines w:val="0"/>
                    <w:widowControl/>
                    <w:suppressLineNumbers w:val="0"/>
                    <w:jc w:val="center"/>
                    <w:textAlignment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2"/>
                      <w:szCs w:val="22"/>
                      <w:u w:val="none"/>
                      <w:lang w:val="en-US" w:eastAsia="zh-CN" w:bidi="ar"/>
                    </w:rPr>
                    <w:t>0.001</w:t>
                  </w:r>
                </w:p>
              </w:tc>
              <w:tc>
                <w:tcPr>
                  <w:tcW w:w="330" w:type="pct"/>
                  <w:vMerge w:val="continue"/>
                  <w:tcBorders>
                    <w:tl2br w:val="nil"/>
                    <w:tr2bl w:val="nil"/>
                  </w:tcBorders>
                  <w:noWrap w:val="0"/>
                  <w:vAlign w:val="center"/>
                </w:tcPr>
                <w:p w14:paraId="640219F1">
                  <w:pPr>
                    <w:adjustRightInd w:val="0"/>
                    <w:snapToGrid w:val="0"/>
                    <w:jc w:val="center"/>
                    <w:rPr>
                      <w:color w:val="auto"/>
                    </w:rPr>
                  </w:pPr>
                </w:p>
              </w:tc>
              <w:tc>
                <w:tcPr>
                  <w:tcW w:w="354" w:type="pct"/>
                  <w:vMerge w:val="continue"/>
                  <w:tcBorders>
                    <w:tl2br w:val="nil"/>
                    <w:tr2bl w:val="nil"/>
                  </w:tcBorders>
                  <w:noWrap w:val="0"/>
                  <w:vAlign w:val="center"/>
                </w:tcPr>
                <w:p w14:paraId="3A3C102D">
                  <w:pPr>
                    <w:adjustRightInd w:val="0"/>
                    <w:snapToGrid w:val="0"/>
                    <w:jc w:val="center"/>
                    <w:rPr>
                      <w:color w:val="auto"/>
                    </w:rPr>
                  </w:pPr>
                </w:p>
              </w:tc>
              <w:tc>
                <w:tcPr>
                  <w:tcW w:w="269" w:type="pct"/>
                  <w:vMerge w:val="continue"/>
                  <w:tcBorders>
                    <w:tl2br w:val="nil"/>
                    <w:tr2bl w:val="nil"/>
                  </w:tcBorders>
                  <w:noWrap w:val="0"/>
                  <w:vAlign w:val="center"/>
                </w:tcPr>
                <w:p w14:paraId="423F9D7B">
                  <w:pPr>
                    <w:adjustRightInd w:val="0"/>
                    <w:snapToGrid w:val="0"/>
                    <w:jc w:val="center"/>
                    <w:rPr>
                      <w:color w:val="auto"/>
                    </w:rPr>
                  </w:pPr>
                </w:p>
              </w:tc>
              <w:tc>
                <w:tcPr>
                  <w:tcW w:w="780" w:type="dxa"/>
                  <w:tcBorders>
                    <w:tl2br w:val="nil"/>
                    <w:tr2bl w:val="nil"/>
                  </w:tcBorders>
                  <w:noWrap w:val="0"/>
                  <w:vAlign w:val="center"/>
                </w:tcPr>
                <w:p w14:paraId="407F38EE">
                  <w:pPr>
                    <w:adjustRightInd w:val="0"/>
                    <w:snapToGrid w:val="0"/>
                    <w:jc w:val="center"/>
                    <w:rPr>
                      <w:color w:val="auto"/>
                      <w:kern w:val="2"/>
                      <w:sz w:val="21"/>
                      <w:szCs w:val="24"/>
                      <w:lang w:val="en-US" w:eastAsia="zh-CN" w:bidi="ar-SA"/>
                    </w:rPr>
                  </w:pPr>
                  <w:r>
                    <w:rPr>
                      <w:rFonts w:hint="eastAsia"/>
                      <w:color w:val="auto"/>
                      <w:lang w:val="en-US" w:eastAsia="zh-CN"/>
                    </w:rPr>
                    <w:t>0.002</w:t>
                  </w:r>
                </w:p>
              </w:tc>
              <w:tc>
                <w:tcPr>
                  <w:tcW w:w="720" w:type="dxa"/>
                  <w:tcBorders>
                    <w:tl2br w:val="nil"/>
                    <w:tr2bl w:val="nil"/>
                  </w:tcBorders>
                  <w:noWrap w:val="0"/>
                  <w:vAlign w:val="center"/>
                </w:tcPr>
                <w:p w14:paraId="02665465">
                  <w:pPr>
                    <w:keepNext w:val="0"/>
                    <w:keepLines w:val="0"/>
                    <w:widowControl/>
                    <w:suppressLineNumbers w:val="0"/>
                    <w:jc w:val="center"/>
                    <w:textAlignment w:val="center"/>
                    <w:rPr>
                      <w:color w:val="auto"/>
                      <w:kern w:val="2"/>
                      <w:sz w:val="21"/>
                      <w:szCs w:val="24"/>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0.001</w:t>
                  </w:r>
                </w:p>
              </w:tc>
              <w:tc>
                <w:tcPr>
                  <w:tcW w:w="342" w:type="pct"/>
                  <w:vMerge w:val="continue"/>
                  <w:tcBorders>
                    <w:tl2br w:val="nil"/>
                    <w:tr2bl w:val="nil"/>
                  </w:tcBorders>
                  <w:noWrap w:val="0"/>
                  <w:vAlign w:val="center"/>
                </w:tcPr>
                <w:p w14:paraId="2DE66B01">
                  <w:pPr>
                    <w:adjustRightInd w:val="0"/>
                    <w:snapToGrid w:val="0"/>
                    <w:jc w:val="center"/>
                    <w:rPr>
                      <w:color w:val="auto"/>
                    </w:rPr>
                  </w:pPr>
                </w:p>
              </w:tc>
              <w:tc>
                <w:tcPr>
                  <w:tcW w:w="293" w:type="pct"/>
                  <w:tcBorders>
                    <w:tl2br w:val="nil"/>
                    <w:tr2bl w:val="nil"/>
                  </w:tcBorders>
                  <w:shd w:val="clear" w:color="auto" w:fill="auto"/>
                  <w:noWrap w:val="0"/>
                  <w:vAlign w:val="center"/>
                </w:tcPr>
                <w:p w14:paraId="4771EE0C">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2000</w:t>
                  </w:r>
                </w:p>
              </w:tc>
              <w:tc>
                <w:tcPr>
                  <w:tcW w:w="361" w:type="pct"/>
                  <w:tcBorders>
                    <w:tl2br w:val="nil"/>
                    <w:tr2bl w:val="nil"/>
                  </w:tcBorders>
                  <w:noWrap w:val="0"/>
                  <w:vAlign w:val="center"/>
                </w:tcPr>
                <w:p w14:paraId="33A1FF52">
                  <w:pPr>
                    <w:adjustRightInd w:val="0"/>
                    <w:snapToGrid w:val="0"/>
                    <w:jc w:val="center"/>
                    <w:rPr>
                      <w:rFonts w:hint="default"/>
                      <w:color w:val="auto"/>
                      <w:lang w:val="en-US" w:eastAsia="zh-CN"/>
                    </w:rPr>
                  </w:pPr>
                  <w:r>
                    <w:rPr>
                      <w:rFonts w:hint="eastAsia"/>
                      <w:color w:val="auto"/>
                      <w:lang w:val="en-US" w:eastAsia="zh-CN"/>
                    </w:rPr>
                    <w:t>/</w:t>
                  </w:r>
                </w:p>
              </w:tc>
              <w:tc>
                <w:tcPr>
                  <w:tcW w:w="379" w:type="pct"/>
                  <w:tcBorders>
                    <w:tl2br w:val="nil"/>
                    <w:tr2bl w:val="nil"/>
                  </w:tcBorders>
                  <w:noWrap w:val="0"/>
                  <w:vAlign w:val="center"/>
                </w:tcPr>
                <w:p w14:paraId="18456A65">
                  <w:pPr>
                    <w:adjustRightInd w:val="0"/>
                    <w:snapToGrid w:val="0"/>
                    <w:jc w:val="center"/>
                    <w:rPr>
                      <w:rFonts w:hint="eastAsia"/>
                      <w:color w:val="auto"/>
                      <w:lang w:val="en-US" w:eastAsia="zh-CN"/>
                    </w:rPr>
                  </w:pPr>
                  <w:r>
                    <w:rPr>
                      <w:rFonts w:hint="eastAsia"/>
                      <w:color w:val="auto"/>
                      <w:lang w:val="en-US" w:eastAsia="zh-CN"/>
                    </w:rPr>
                    <w:t>2.4</w:t>
                  </w:r>
                </w:p>
              </w:tc>
              <w:tc>
                <w:tcPr>
                  <w:tcW w:w="277" w:type="pct"/>
                  <w:tcBorders>
                    <w:tl2br w:val="nil"/>
                    <w:tr2bl w:val="nil"/>
                  </w:tcBorders>
                  <w:noWrap w:val="0"/>
                  <w:vAlign w:val="center"/>
                </w:tcPr>
                <w:p w14:paraId="7273908A">
                  <w:pPr>
                    <w:adjustRightInd w:val="0"/>
                    <w:snapToGrid w:val="0"/>
                    <w:jc w:val="center"/>
                    <w:rPr>
                      <w:rFonts w:hint="eastAsia"/>
                      <w:color w:val="auto"/>
                      <w:lang w:val="en-US" w:eastAsia="zh-CN"/>
                    </w:rPr>
                  </w:pPr>
                  <w:r>
                    <w:rPr>
                      <w:rFonts w:hint="eastAsia"/>
                      <w:color w:val="auto"/>
                      <w:highlight w:val="none"/>
                      <w:lang w:val="en-US" w:eastAsia="zh-CN"/>
                    </w:rPr>
                    <w:t>达标</w:t>
                  </w:r>
                </w:p>
              </w:tc>
            </w:tr>
          </w:tbl>
          <w:p w14:paraId="7D22E48C">
            <w:pPr>
              <w:pStyle w:val="17"/>
              <w:rPr>
                <w:color w:val="auto"/>
              </w:rPr>
            </w:pPr>
          </w:p>
        </w:tc>
      </w:tr>
    </w:tbl>
    <w:p w14:paraId="6716CFB2">
      <w:pPr>
        <w:pStyle w:val="42"/>
        <w:rPr>
          <w:rFonts w:hint="default"/>
          <w:color w:val="auto"/>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6"/>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86"/>
        <w:gridCol w:w="8695"/>
      </w:tblGrid>
      <w:tr w14:paraId="48E454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9" w:hRule="atLeast"/>
          <w:jc w:val="center"/>
        </w:trPr>
        <w:tc>
          <w:tcPr>
            <w:tcW w:w="468" w:type="dxa"/>
            <w:noWrap w:val="0"/>
            <w:tcMar>
              <w:left w:w="28" w:type="dxa"/>
              <w:right w:w="28" w:type="dxa"/>
            </w:tcMar>
            <w:vAlign w:val="center"/>
          </w:tcPr>
          <w:p w14:paraId="78D499FE">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运营</w:t>
            </w:r>
          </w:p>
          <w:p w14:paraId="4A12301C">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期环</w:t>
            </w:r>
          </w:p>
          <w:p w14:paraId="6085FCB7">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境影</w:t>
            </w:r>
          </w:p>
          <w:p w14:paraId="7AC3DECC">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响和</w:t>
            </w:r>
          </w:p>
          <w:p w14:paraId="51079E6C">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保护</w:t>
            </w:r>
          </w:p>
          <w:p w14:paraId="18D6B5B6">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措施</w:t>
            </w:r>
          </w:p>
        </w:tc>
        <w:tc>
          <w:tcPr>
            <w:tcW w:w="8440" w:type="dxa"/>
            <w:noWrap w:val="0"/>
            <w:vAlign w:val="top"/>
          </w:tcPr>
          <w:p w14:paraId="371C4F89">
            <w:pPr>
              <w:numPr>
                <w:ilvl w:val="1"/>
                <w:numId w:val="10"/>
              </w:numPr>
              <w:adjustRightInd w:val="0"/>
              <w:snapToGrid w:val="0"/>
              <w:spacing w:line="360" w:lineRule="auto"/>
              <w:rPr>
                <w:rFonts w:hint="default" w:ascii="Times New Roman" w:hAnsi="Times New Roman" w:cs="Times New Roman"/>
                <w:b/>
                <w:bCs w:val="0"/>
                <w:color w:val="auto"/>
                <w:spacing w:val="0"/>
                <w:sz w:val="24"/>
                <w:szCs w:val="24"/>
                <w:lang w:val="en-US" w:eastAsia="zh-CN"/>
              </w:rPr>
            </w:pPr>
            <w:r>
              <w:rPr>
                <w:rFonts w:hint="default" w:ascii="Times New Roman" w:hAnsi="Times New Roman" w:cs="Times New Roman"/>
                <w:b/>
                <w:bCs w:val="0"/>
                <w:color w:val="auto"/>
                <w:spacing w:val="0"/>
                <w:sz w:val="24"/>
                <w:szCs w:val="24"/>
                <w:lang w:val="en-US" w:eastAsia="zh-CN"/>
              </w:rPr>
              <w:t>废气源强核算</w:t>
            </w:r>
          </w:p>
          <w:p w14:paraId="7A009B5D">
            <w:pPr>
              <w:numPr>
                <w:ilvl w:val="0"/>
                <w:numId w:val="0"/>
              </w:numPr>
              <w:adjustRightInd w:val="0"/>
              <w:snapToGrid w:val="0"/>
              <w:spacing w:line="360" w:lineRule="auto"/>
              <w:ind w:leftChars="0" w:firstLine="480" w:firstLineChars="200"/>
              <w:rPr>
                <w:rFonts w:hint="default" w:ascii="Times New Roman" w:hAnsi="Times New Roman" w:cs="Times New Roman"/>
                <w:b w:val="0"/>
                <w:bCs/>
                <w:color w:val="auto"/>
                <w:spacing w:val="0"/>
                <w:sz w:val="24"/>
                <w:szCs w:val="24"/>
                <w:lang w:val="en-US" w:eastAsia="zh-CN"/>
              </w:rPr>
            </w:pPr>
            <w:r>
              <w:rPr>
                <w:rFonts w:hint="default" w:ascii="Times New Roman" w:hAnsi="Times New Roman" w:cs="Times New Roman"/>
                <w:b w:val="0"/>
                <w:bCs/>
                <w:color w:val="auto"/>
                <w:spacing w:val="0"/>
                <w:sz w:val="24"/>
                <w:szCs w:val="24"/>
                <w:lang w:val="en-US" w:eastAsia="zh-CN"/>
              </w:rPr>
              <w:t>本项目产生的废气主要</w:t>
            </w:r>
            <w:r>
              <w:rPr>
                <w:rFonts w:hint="eastAsia" w:cs="Times New Roman"/>
                <w:b w:val="0"/>
                <w:bCs/>
                <w:color w:val="auto"/>
                <w:spacing w:val="0"/>
                <w:sz w:val="24"/>
                <w:szCs w:val="24"/>
                <w:lang w:val="en-US" w:eastAsia="zh-CN"/>
              </w:rPr>
              <w:t>由</w:t>
            </w:r>
            <w:r>
              <w:rPr>
                <w:rFonts w:hint="default" w:ascii="Times New Roman" w:hAnsi="Times New Roman" w:cs="Times New Roman"/>
                <w:b w:val="0"/>
                <w:bCs/>
                <w:color w:val="auto"/>
                <w:spacing w:val="0"/>
                <w:sz w:val="24"/>
                <w:szCs w:val="24"/>
                <w:lang w:val="en-US" w:eastAsia="zh-CN"/>
              </w:rPr>
              <w:t>催化浆料配制工序</w:t>
            </w:r>
            <w:r>
              <w:rPr>
                <w:rFonts w:hint="eastAsia" w:ascii="Times New Roman" w:hAnsi="Times New Roman" w:cs="Times New Roman"/>
                <w:b w:val="0"/>
                <w:bCs/>
                <w:color w:val="auto"/>
                <w:spacing w:val="0"/>
                <w:sz w:val="24"/>
                <w:szCs w:val="24"/>
                <w:lang w:val="en-US" w:eastAsia="zh-CN"/>
              </w:rPr>
              <w:t>、催化剂涂覆膜制备工序、变色材料制备工序、敏感层制备工序</w:t>
            </w:r>
            <w:r>
              <w:rPr>
                <w:rFonts w:hint="default" w:ascii="Times New Roman" w:hAnsi="Times New Roman" w:cs="Times New Roman"/>
                <w:b w:val="0"/>
                <w:bCs/>
                <w:color w:val="auto"/>
                <w:spacing w:val="0"/>
                <w:sz w:val="24"/>
                <w:szCs w:val="24"/>
                <w:lang w:val="en-US" w:eastAsia="zh-CN"/>
              </w:rPr>
              <w:t>产生。</w:t>
            </w:r>
            <w:r>
              <w:rPr>
                <w:rFonts w:hint="eastAsia"/>
                <w:color w:val="auto"/>
                <w:sz w:val="24"/>
                <w:szCs w:val="24"/>
                <w:lang w:val="en-US" w:eastAsia="zh-CN"/>
              </w:rPr>
              <w:t>本项目</w:t>
            </w:r>
            <w:r>
              <w:rPr>
                <w:rFonts w:hint="eastAsia" w:cs="Times New Roman"/>
                <w:b w:val="0"/>
                <w:bCs/>
                <w:color w:val="auto"/>
                <w:spacing w:val="0"/>
                <w:sz w:val="24"/>
                <w:szCs w:val="24"/>
                <w:lang w:val="en-US" w:eastAsia="zh-CN"/>
              </w:rPr>
              <w:t>废气排放走向见附图4。</w:t>
            </w:r>
          </w:p>
          <w:p w14:paraId="3D01FBB3">
            <w:pPr>
              <w:numPr>
                <w:ilvl w:val="0"/>
                <w:numId w:val="0"/>
              </w:numPr>
              <w:adjustRightInd w:val="0"/>
              <w:snapToGrid w:val="0"/>
              <w:spacing w:line="360" w:lineRule="auto"/>
              <w:ind w:left="0" w:leftChars="0" w:firstLine="480" w:firstLineChars="200"/>
              <w:rPr>
                <w:rFonts w:hint="eastAsia" w:ascii="Times New Roman" w:hAnsi="Times New Roman" w:cs="Times New Roman"/>
                <w:b w:val="0"/>
                <w:bCs/>
                <w:color w:val="auto"/>
                <w:spacing w:val="0"/>
                <w:sz w:val="24"/>
                <w:szCs w:val="24"/>
                <w:lang w:val="en-US" w:eastAsia="zh-CN"/>
              </w:rPr>
            </w:pPr>
            <w:r>
              <w:rPr>
                <w:rFonts w:hint="eastAsia" w:ascii="Times New Roman" w:hAnsi="Times New Roman" w:cs="Times New Roman"/>
                <w:b w:val="0"/>
                <w:bCs/>
                <w:color w:val="auto"/>
                <w:spacing w:val="0"/>
                <w:sz w:val="24"/>
                <w:szCs w:val="24"/>
                <w:lang w:val="en-US" w:eastAsia="zh-CN"/>
              </w:rPr>
              <w:t>（1）</w:t>
            </w:r>
            <w:r>
              <w:rPr>
                <w:rFonts w:hint="default" w:ascii="Times New Roman" w:hAnsi="Times New Roman" w:cs="Times New Roman"/>
                <w:b w:val="0"/>
                <w:bCs/>
                <w:color w:val="auto"/>
                <w:spacing w:val="0"/>
                <w:sz w:val="24"/>
                <w:szCs w:val="24"/>
                <w:lang w:val="en-US" w:eastAsia="zh-CN"/>
              </w:rPr>
              <w:t>催化浆料配制工序</w:t>
            </w:r>
            <w:r>
              <w:rPr>
                <w:rFonts w:hint="eastAsia" w:ascii="Times New Roman" w:hAnsi="Times New Roman" w:cs="Times New Roman"/>
                <w:b w:val="0"/>
                <w:bCs/>
                <w:color w:val="auto"/>
                <w:spacing w:val="0"/>
                <w:sz w:val="24"/>
                <w:szCs w:val="24"/>
                <w:lang w:val="en-US" w:eastAsia="zh-CN"/>
              </w:rPr>
              <w:t>废气</w:t>
            </w:r>
          </w:p>
          <w:p w14:paraId="7DDFDF95">
            <w:pPr>
              <w:spacing w:line="360" w:lineRule="auto"/>
              <w:ind w:firstLine="480" w:firstLineChars="200"/>
              <w:rPr>
                <w:rFonts w:hint="default" w:ascii="Times New Roman" w:hAnsi="Times New Roman" w:cs="Times New Roman"/>
                <w:b w:val="0"/>
                <w:bCs/>
                <w:color w:val="auto"/>
                <w:spacing w:val="0"/>
                <w:sz w:val="24"/>
                <w:szCs w:val="24"/>
                <w:lang w:val="en-US" w:eastAsia="zh-CN"/>
              </w:rPr>
            </w:pPr>
            <w:r>
              <w:rPr>
                <w:rFonts w:hint="default" w:ascii="Times New Roman" w:hAnsi="Times New Roman" w:eastAsia="宋体" w:cs="Times New Roman"/>
                <w:color w:val="auto"/>
                <w:kern w:val="0"/>
                <w:sz w:val="24"/>
                <w:szCs w:val="24"/>
                <w:lang w:val="en-US" w:eastAsia="zh-CN" w:bidi="ar-SA"/>
              </w:rPr>
              <w:t>在</w:t>
            </w:r>
            <w:r>
              <w:rPr>
                <w:rFonts w:hint="eastAsia" w:ascii="Times New Roman" w:hAnsi="Times New Roman" w:eastAsia="宋体" w:cs="Times New Roman"/>
                <w:color w:val="auto"/>
                <w:kern w:val="0"/>
                <w:sz w:val="24"/>
                <w:szCs w:val="24"/>
                <w:lang w:val="en-US" w:eastAsia="zh-CN" w:bidi="ar-SA"/>
              </w:rPr>
              <w:t>催化浆配制</w:t>
            </w:r>
            <w:r>
              <w:rPr>
                <w:rFonts w:hint="default" w:ascii="Times New Roman" w:hAnsi="Times New Roman" w:eastAsia="宋体" w:cs="Times New Roman"/>
                <w:color w:val="auto"/>
                <w:kern w:val="0"/>
                <w:sz w:val="24"/>
                <w:szCs w:val="24"/>
                <w:lang w:val="en-US" w:eastAsia="zh-CN" w:bidi="ar-SA"/>
              </w:rPr>
              <w:t>过程中，主要原料为</w:t>
            </w:r>
            <w:r>
              <w:rPr>
                <w:rFonts w:hint="default" w:ascii="Times New Roman" w:hAnsi="Times New Roman" w:cs="Times New Roman"/>
                <w:color w:val="auto"/>
                <w:sz w:val="24"/>
                <w:szCs w:val="24"/>
                <w:lang w:val="en-US" w:eastAsia="zh-CN"/>
              </w:rPr>
              <w:t>全氟磺酸树脂、催化剂、</w:t>
            </w:r>
            <w:r>
              <w:rPr>
                <w:rFonts w:hint="eastAsia" w:ascii="Times New Roman" w:hAnsi="Times New Roman" w:cs="Times New Roman"/>
                <w:color w:val="auto"/>
                <w:sz w:val="24"/>
                <w:szCs w:val="24"/>
                <w:lang w:val="en-US" w:eastAsia="zh-CN"/>
              </w:rPr>
              <w:t>催化剂</w:t>
            </w:r>
            <w:r>
              <w:rPr>
                <w:rFonts w:hint="default" w:ascii="Times New Roman" w:hAnsi="Times New Roman" w:cs="Times New Roman"/>
                <w:color w:val="auto"/>
                <w:sz w:val="24"/>
                <w:szCs w:val="24"/>
                <w:lang w:val="en-US" w:eastAsia="zh-CN"/>
              </w:rPr>
              <w:t>溶剂</w:t>
            </w:r>
            <w:r>
              <w:rPr>
                <w:rFonts w:hint="default" w:ascii="Times New Roman" w:hAnsi="Times New Roman" w:eastAsia="宋体" w:cs="Times New Roman"/>
                <w:color w:val="auto"/>
                <w:kern w:val="0"/>
                <w:sz w:val="24"/>
                <w:szCs w:val="24"/>
                <w:lang w:val="en-US" w:eastAsia="zh-CN" w:bidi="ar-SA"/>
              </w:rPr>
              <w:t>，</w:t>
            </w:r>
            <w:r>
              <w:rPr>
                <w:rFonts w:hint="eastAsia" w:ascii="Times New Roman" w:hAnsi="Times New Roman" w:cs="Times New Roman"/>
                <w:color w:val="auto"/>
                <w:sz w:val="24"/>
                <w:szCs w:val="24"/>
                <w:lang w:val="en-US" w:eastAsia="zh-CN"/>
              </w:rPr>
              <w:t>催化剂</w:t>
            </w:r>
            <w:r>
              <w:rPr>
                <w:rFonts w:hint="default" w:ascii="Times New Roman" w:hAnsi="Times New Roman" w:cs="Times New Roman"/>
                <w:color w:val="auto"/>
                <w:sz w:val="24"/>
                <w:szCs w:val="24"/>
                <w:lang w:val="en-US" w:eastAsia="zh-CN"/>
              </w:rPr>
              <w:t>溶剂</w:t>
            </w:r>
            <w:r>
              <w:rPr>
                <w:rFonts w:hint="eastAsia" w:ascii="Times New Roman" w:hAnsi="Times New Roman" w:cs="Times New Roman"/>
                <w:color w:val="auto"/>
                <w:sz w:val="24"/>
                <w:szCs w:val="24"/>
                <w:lang w:val="en-US" w:eastAsia="zh-CN"/>
              </w:rPr>
              <w:t>主要成分为N-甲基吡络烷酮、乙二醇二甲醚、去离子水、异丙醇，N-甲基吡络烷酮</w:t>
            </w:r>
            <w:r>
              <w:rPr>
                <w:rFonts w:hint="default" w:ascii="Times New Roman" w:hAnsi="Times New Roman" w:cs="Times New Roman"/>
                <w:color w:val="auto"/>
                <w:sz w:val="24"/>
                <w:szCs w:val="24"/>
                <w:lang w:val="en-US" w:eastAsia="zh-CN"/>
              </w:rPr>
              <w:t>常温下是稳定的，</w:t>
            </w:r>
            <w:r>
              <w:rPr>
                <w:rFonts w:hint="eastAsia" w:cs="Times New Roman"/>
                <w:color w:val="auto"/>
                <w:sz w:val="24"/>
                <w:szCs w:val="24"/>
                <w:lang w:val="en-US" w:eastAsia="zh-CN"/>
              </w:rPr>
              <w:t>不易</w:t>
            </w:r>
            <w:r>
              <w:rPr>
                <w:rFonts w:hint="default" w:ascii="Times New Roman" w:hAnsi="Times New Roman" w:cs="Times New Roman"/>
                <w:color w:val="auto"/>
                <w:sz w:val="24"/>
                <w:szCs w:val="24"/>
                <w:lang w:val="en-US" w:eastAsia="zh-CN"/>
              </w:rPr>
              <w:t>挥发，</w:t>
            </w:r>
            <w:r>
              <w:rPr>
                <w:rFonts w:hint="eastAsia" w:ascii="Times New Roman" w:hAnsi="Times New Roman" w:cs="Times New Roman"/>
                <w:color w:val="auto"/>
                <w:sz w:val="24"/>
                <w:szCs w:val="24"/>
                <w:lang w:val="en-US" w:eastAsia="zh-CN"/>
              </w:rPr>
              <w:t>沸点为202</w:t>
            </w:r>
            <w:r>
              <w:rPr>
                <w:rFonts w:hint="default" w:ascii="Times New Roman" w:hAnsi="Times New Roman" w:cs="Times New Roman"/>
                <w:color w:val="auto"/>
                <w:sz w:val="24"/>
                <w:szCs w:val="24"/>
                <w:lang w:val="en-US" w:eastAsia="zh-CN"/>
              </w:rPr>
              <w:t>℃；全氟磺酸树脂具有良好的热稳定性，在200℃左右的温度下长期保持稳定，其热分解温度一般在350℃以上；</w:t>
            </w:r>
            <w:r>
              <w:rPr>
                <w:rFonts w:hint="eastAsia" w:ascii="Times New Roman" w:hAnsi="Times New Roman" w:cs="Times New Roman"/>
                <w:color w:val="auto"/>
                <w:sz w:val="24"/>
                <w:szCs w:val="24"/>
                <w:lang w:val="en-US" w:eastAsia="zh-CN"/>
              </w:rPr>
              <w:t>乙二醇二甲醚</w:t>
            </w:r>
            <w:r>
              <w:rPr>
                <w:rFonts w:hint="default" w:ascii="Times New Roman" w:hAnsi="Times New Roman" w:cs="Times New Roman"/>
                <w:color w:val="auto"/>
                <w:sz w:val="24"/>
                <w:szCs w:val="24"/>
                <w:lang w:val="en-US" w:eastAsia="zh-CN"/>
              </w:rPr>
              <w:t>和异丙醇</w:t>
            </w:r>
            <w:r>
              <w:rPr>
                <w:rFonts w:hint="eastAsia" w:ascii="Times New Roman" w:hAnsi="Times New Roman" w:cs="Times New Roman"/>
                <w:color w:val="auto"/>
                <w:sz w:val="24"/>
                <w:szCs w:val="24"/>
                <w:lang w:val="en-US" w:eastAsia="zh-CN"/>
              </w:rPr>
              <w:t>易挥发，故在配制过程</w:t>
            </w:r>
            <w:r>
              <w:rPr>
                <w:rFonts w:hint="default" w:ascii="Times New Roman" w:hAnsi="Times New Roman" w:cs="Times New Roman"/>
                <w:color w:val="auto"/>
                <w:sz w:val="24"/>
                <w:szCs w:val="24"/>
                <w:lang w:val="en-US" w:eastAsia="zh-CN"/>
              </w:rPr>
              <w:t>中会挥发少量废气</w:t>
            </w:r>
            <w:r>
              <w:rPr>
                <w:rFonts w:hint="default" w:ascii="Times New Roman" w:hAnsi="Times New Roman" w:eastAsia="宋体" w:cs="Times New Roman"/>
                <w:color w:val="auto"/>
                <w:kern w:val="0"/>
                <w:sz w:val="24"/>
                <w:szCs w:val="24"/>
                <w:lang w:val="en-US" w:eastAsia="zh-CN" w:bidi="ar-SA"/>
              </w:rPr>
              <w:t>。因配料过程是在密闭混合器中快速混合，</w:t>
            </w:r>
            <w:r>
              <w:rPr>
                <w:rFonts w:hint="eastAsia" w:cs="Times New Roman"/>
                <w:color w:val="auto"/>
                <w:kern w:val="0"/>
                <w:sz w:val="24"/>
                <w:szCs w:val="24"/>
                <w:lang w:val="en-US" w:eastAsia="zh-CN" w:bidi="ar-SA"/>
              </w:rPr>
              <w:t>且在低温或常温条件下进行，每次配料6L，</w:t>
            </w:r>
            <w:r>
              <w:rPr>
                <w:rFonts w:hint="default" w:ascii="Times New Roman" w:hAnsi="Times New Roman" w:eastAsia="宋体" w:cs="Times New Roman"/>
                <w:color w:val="auto"/>
                <w:kern w:val="0"/>
                <w:sz w:val="24"/>
                <w:szCs w:val="24"/>
                <w:lang w:val="en-US" w:eastAsia="zh-CN" w:bidi="ar-SA"/>
              </w:rPr>
              <w:t>故挥发量较少，</w:t>
            </w:r>
            <w:r>
              <w:rPr>
                <w:rFonts w:hint="eastAsia" w:cs="Times New Roman"/>
                <w:color w:val="auto"/>
                <w:kern w:val="0"/>
                <w:sz w:val="24"/>
                <w:szCs w:val="24"/>
                <w:lang w:val="en-US" w:eastAsia="zh-CN" w:bidi="ar-SA"/>
              </w:rPr>
              <w:t>根据企业实验得出挥发量为2%，故以</w:t>
            </w:r>
            <w:r>
              <w:rPr>
                <w:rFonts w:hint="default" w:ascii="Times New Roman" w:hAnsi="Times New Roman" w:eastAsia="宋体" w:cs="Times New Roman"/>
                <w:color w:val="auto"/>
                <w:kern w:val="0"/>
                <w:sz w:val="24"/>
                <w:szCs w:val="24"/>
                <w:lang w:val="en-US" w:eastAsia="zh-CN" w:bidi="ar-SA"/>
              </w:rPr>
              <w:t>膜电极生产线上乙醇和异丙醇使用量（</w:t>
            </w:r>
            <w:r>
              <w:rPr>
                <w:rFonts w:hint="eastAsia" w:ascii="Times New Roman" w:hAnsi="Times New Roman" w:eastAsia="宋体" w:cs="Times New Roman"/>
                <w:color w:val="auto"/>
                <w:kern w:val="0"/>
                <w:sz w:val="24"/>
                <w:szCs w:val="24"/>
                <w:lang w:val="en-US" w:eastAsia="zh-CN" w:bidi="ar-SA"/>
              </w:rPr>
              <w:t>根据催化剂溶剂检测报告知，占比共计23.3%，即</w:t>
            </w:r>
            <w:r>
              <w:rPr>
                <w:rFonts w:hint="eastAsia" w:cs="Times New Roman"/>
                <w:color w:val="auto"/>
                <w:kern w:val="0"/>
                <w:sz w:val="24"/>
                <w:szCs w:val="24"/>
                <w:lang w:val="en-US" w:eastAsia="zh-CN" w:bidi="ar-SA"/>
              </w:rPr>
              <w:t>0.</w:t>
            </w:r>
            <w:r>
              <w:rPr>
                <w:rFonts w:hint="default" w:ascii="Times New Roman" w:hAnsi="Times New Roman" w:eastAsia="宋体" w:cs="Times New Roman"/>
                <w:color w:val="auto"/>
                <w:kern w:val="0"/>
                <w:sz w:val="24"/>
                <w:szCs w:val="24"/>
                <w:lang w:val="en-US" w:eastAsia="zh-CN" w:bidi="ar-SA"/>
              </w:rPr>
              <w:t>1</w:t>
            </w:r>
            <w:r>
              <w:rPr>
                <w:rFonts w:hint="eastAsia" w:ascii="Times New Roman" w:hAnsi="Times New Roman" w:eastAsia="宋体" w:cs="Times New Roman"/>
                <w:color w:val="auto"/>
                <w:kern w:val="0"/>
                <w:sz w:val="24"/>
                <w:szCs w:val="24"/>
                <w:lang w:val="en-US" w:eastAsia="zh-CN" w:bidi="ar-SA"/>
              </w:rPr>
              <w:t>1</w:t>
            </w:r>
            <w:r>
              <w:rPr>
                <w:rFonts w:hint="eastAsia" w:cs="Times New Roman"/>
                <w:color w:val="auto"/>
                <w:kern w:val="0"/>
                <w:sz w:val="24"/>
                <w:szCs w:val="24"/>
                <w:lang w:val="en-US" w:eastAsia="zh-CN" w:bidi="ar-SA"/>
              </w:rPr>
              <w:t>7</w:t>
            </w:r>
            <w:r>
              <w:rPr>
                <w:rFonts w:hint="default" w:ascii="Times New Roman" w:hAnsi="Times New Roman" w:eastAsia="宋体" w:cs="Times New Roman"/>
                <w:color w:val="auto"/>
                <w:kern w:val="0"/>
                <w:sz w:val="24"/>
                <w:szCs w:val="24"/>
                <w:lang w:val="en-US" w:eastAsia="zh-CN" w:bidi="ar-SA"/>
              </w:rPr>
              <w:t>t/a</w:t>
            </w:r>
            <w:r>
              <w:rPr>
                <w:rFonts w:hint="eastAsia" w:ascii="Times New Roman" w:hAnsi="Times New Roman" w:eastAsia="宋体" w:cs="Times New Roman"/>
                <w:color w:val="auto"/>
                <w:kern w:val="0"/>
                <w:sz w:val="24"/>
                <w:szCs w:val="24"/>
                <w:lang w:val="en-US" w:eastAsia="zh-CN" w:bidi="ar-SA"/>
              </w:rPr>
              <w:t>，检测报告见附件</w:t>
            </w:r>
            <w:r>
              <w:rPr>
                <w:rFonts w:hint="eastAsia" w:cs="Times New Roman"/>
                <w:color w:val="auto"/>
                <w:kern w:val="0"/>
                <w:sz w:val="24"/>
                <w:szCs w:val="24"/>
                <w:lang w:val="en-US" w:eastAsia="zh-CN" w:bidi="ar-SA"/>
              </w:rPr>
              <w:t>7</w:t>
            </w:r>
            <w:r>
              <w:rPr>
                <w:rFonts w:hint="default" w:ascii="Times New Roman" w:hAnsi="Times New Roman" w:eastAsia="宋体" w:cs="Times New Roman"/>
                <w:color w:val="auto"/>
                <w:kern w:val="0"/>
                <w:sz w:val="24"/>
                <w:szCs w:val="24"/>
                <w:lang w:val="en-US" w:eastAsia="zh-CN" w:bidi="ar-SA"/>
              </w:rPr>
              <w:t>）的</w:t>
            </w:r>
            <w:r>
              <w:rPr>
                <w:rFonts w:hint="eastAsia" w:cs="Times New Roman"/>
                <w:color w:val="auto"/>
                <w:kern w:val="0"/>
                <w:sz w:val="24"/>
                <w:szCs w:val="24"/>
                <w:lang w:val="en-US" w:eastAsia="zh-CN" w:bidi="ar-SA"/>
              </w:rPr>
              <w:t>2</w:t>
            </w:r>
            <w:r>
              <w:rPr>
                <w:rFonts w:hint="default" w:ascii="Times New Roman" w:hAnsi="Times New Roman" w:eastAsia="宋体" w:cs="Times New Roman"/>
                <w:color w:val="auto"/>
                <w:kern w:val="0"/>
                <w:sz w:val="24"/>
                <w:szCs w:val="24"/>
                <w:lang w:val="en-US" w:eastAsia="zh-CN" w:bidi="ar-SA"/>
              </w:rPr>
              <w:t>%作为挥发量计算，则配料挥发废气量为0.</w:t>
            </w:r>
            <w:r>
              <w:rPr>
                <w:rFonts w:hint="eastAsia" w:cs="Times New Roman"/>
                <w:color w:val="auto"/>
                <w:kern w:val="0"/>
                <w:sz w:val="24"/>
                <w:szCs w:val="24"/>
                <w:lang w:val="en-US" w:eastAsia="zh-CN" w:bidi="ar-SA"/>
              </w:rPr>
              <w:t>0023</w:t>
            </w:r>
            <w:r>
              <w:rPr>
                <w:rFonts w:hint="default" w:ascii="Times New Roman" w:hAnsi="Times New Roman" w:eastAsia="宋体" w:cs="Times New Roman"/>
                <w:color w:val="auto"/>
                <w:kern w:val="0"/>
                <w:sz w:val="24"/>
                <w:szCs w:val="24"/>
                <w:lang w:val="en-US" w:eastAsia="zh-CN" w:bidi="ar-SA"/>
              </w:rPr>
              <w:t>t/a（以非甲烷总烃计）。</w:t>
            </w:r>
            <w:r>
              <w:rPr>
                <w:rFonts w:hint="eastAsia" w:ascii="Times New Roman" w:hAnsi="Times New Roman" w:eastAsia="宋体" w:cs="Times New Roman"/>
                <w:color w:val="auto"/>
                <w:kern w:val="0"/>
                <w:sz w:val="24"/>
                <w:szCs w:val="24"/>
                <w:lang w:val="en-US" w:eastAsia="zh-CN" w:bidi="ar-SA"/>
              </w:rPr>
              <w:t>催化浆配制在</w:t>
            </w:r>
            <w:r>
              <w:rPr>
                <w:rFonts w:hint="eastAsia" w:cs="Times New Roman"/>
                <w:color w:val="auto"/>
                <w:kern w:val="0"/>
                <w:sz w:val="24"/>
                <w:szCs w:val="24"/>
                <w:lang w:val="en-US" w:eastAsia="zh-CN" w:bidi="ar-SA"/>
              </w:rPr>
              <w:t>调配室</w:t>
            </w:r>
            <w:r>
              <w:rPr>
                <w:rFonts w:hint="eastAsia" w:ascii="Times New Roman" w:hAnsi="Times New Roman" w:eastAsia="宋体" w:cs="Times New Roman"/>
                <w:color w:val="auto"/>
                <w:kern w:val="0"/>
                <w:sz w:val="24"/>
                <w:szCs w:val="24"/>
                <w:lang w:val="en-US" w:eastAsia="zh-CN" w:bidi="ar-SA"/>
              </w:rPr>
              <w:t>的通风橱内进行，</w:t>
            </w:r>
            <w:r>
              <w:rPr>
                <w:rFonts w:hint="eastAsia"/>
                <w:color w:val="auto"/>
                <w:sz w:val="24"/>
                <w:lang w:val="en-US" w:eastAsia="zh-CN"/>
              </w:rPr>
              <w:t>通风橱收集效率按90%计</w:t>
            </w:r>
            <w:r>
              <w:rPr>
                <w:rFonts w:hint="eastAsia"/>
                <w:color w:val="auto"/>
                <w:sz w:val="24"/>
              </w:rPr>
              <w:t>，</w:t>
            </w:r>
            <w:r>
              <w:rPr>
                <w:rFonts w:hint="eastAsia"/>
                <w:color w:val="auto"/>
                <w:sz w:val="24"/>
                <w:lang w:val="en-US" w:eastAsia="zh-CN"/>
              </w:rPr>
              <w:t>则有组织废气产生量为0.002</w:t>
            </w:r>
            <w:r>
              <w:rPr>
                <w:rFonts w:hint="default" w:ascii="Times New Roman" w:hAnsi="Times New Roman" w:eastAsia="宋体" w:cs="Times New Roman"/>
                <w:color w:val="auto"/>
                <w:kern w:val="0"/>
                <w:sz w:val="24"/>
                <w:szCs w:val="24"/>
                <w:lang w:val="en-US" w:eastAsia="zh-CN" w:bidi="ar-SA"/>
              </w:rPr>
              <w:t>t/a</w:t>
            </w:r>
            <w:r>
              <w:rPr>
                <w:rFonts w:hint="eastAsia" w:ascii="Times New Roman" w:hAnsi="Times New Roman" w:eastAsia="宋体" w:cs="Times New Roman"/>
                <w:color w:val="auto"/>
                <w:kern w:val="0"/>
                <w:sz w:val="24"/>
                <w:szCs w:val="24"/>
                <w:lang w:val="en-US" w:eastAsia="zh-CN" w:bidi="ar-SA"/>
              </w:rPr>
              <w:t>。</w:t>
            </w:r>
          </w:p>
          <w:p w14:paraId="6261D43A">
            <w:pPr>
              <w:numPr>
                <w:ilvl w:val="0"/>
                <w:numId w:val="0"/>
              </w:numPr>
              <w:adjustRightInd w:val="0"/>
              <w:snapToGrid w:val="0"/>
              <w:spacing w:line="360" w:lineRule="auto"/>
              <w:ind w:leftChars="200"/>
              <w:rPr>
                <w:rFonts w:hint="default" w:ascii="Times New Roman" w:hAnsi="Times New Roman" w:cs="Times New Roman"/>
                <w:b w:val="0"/>
                <w:bCs/>
                <w:color w:val="auto"/>
                <w:spacing w:val="0"/>
                <w:sz w:val="24"/>
                <w:szCs w:val="24"/>
                <w:lang w:val="en-US" w:eastAsia="zh-CN"/>
              </w:rPr>
            </w:pPr>
            <w:r>
              <w:rPr>
                <w:rFonts w:hint="eastAsia" w:ascii="Times New Roman" w:hAnsi="Times New Roman" w:cs="Times New Roman"/>
                <w:b w:val="0"/>
                <w:bCs/>
                <w:color w:val="auto"/>
                <w:spacing w:val="0"/>
                <w:sz w:val="24"/>
                <w:szCs w:val="24"/>
                <w:lang w:val="en-US" w:eastAsia="zh-CN"/>
              </w:rPr>
              <w:t>（2）催化剂涂覆膜制备工序废气</w:t>
            </w:r>
          </w:p>
          <w:p w14:paraId="7DDF0503">
            <w:pPr>
              <w:adjustRightInd w:val="0"/>
              <w:snapToGrid w:val="0"/>
              <w:spacing w:line="360" w:lineRule="auto"/>
              <w:ind w:firstLine="480" w:firstLineChars="200"/>
              <w:rPr>
                <w:rFonts w:hint="default" w:ascii="Times New Roman" w:hAnsi="Times New Roman" w:cs="Times New Roman"/>
                <w:b w:val="0"/>
                <w:bCs/>
                <w:color w:val="auto"/>
                <w:spacing w:val="0"/>
                <w:sz w:val="24"/>
                <w:szCs w:val="24"/>
                <w:lang w:val="en-US" w:eastAsia="zh-CN"/>
              </w:rPr>
            </w:pPr>
            <w:r>
              <w:rPr>
                <w:rFonts w:hint="eastAsia" w:ascii="Times New Roman" w:hAnsi="Times New Roman" w:cs="Times New Roman"/>
                <w:b w:val="0"/>
                <w:bCs/>
                <w:color w:val="auto"/>
                <w:spacing w:val="0"/>
                <w:sz w:val="24"/>
                <w:szCs w:val="24"/>
                <w:lang w:val="en-US" w:eastAsia="zh-CN"/>
              </w:rPr>
              <w:t>在催化剂涂覆膜制备工序中，</w:t>
            </w:r>
            <w:r>
              <w:rPr>
                <w:rFonts w:hint="eastAsia"/>
                <w:color w:val="auto"/>
                <w:sz w:val="24"/>
                <w:szCs w:val="24"/>
                <w:lang w:val="en-US" w:eastAsia="zh-CN"/>
              </w:rPr>
              <w:t>涂布在卷</w:t>
            </w:r>
            <w:r>
              <w:rPr>
                <w:rFonts w:hint="eastAsia" w:ascii="Times New Roman" w:hAnsi="Times New Roman" w:eastAsia="宋体" w:cs="Times New Roman"/>
                <w:color w:val="auto"/>
                <w:sz w:val="24"/>
                <w:szCs w:val="24"/>
                <w:lang w:val="en-US" w:eastAsia="zh-CN"/>
              </w:rPr>
              <w:t>材涂布机上进行，干燥过程在干燥箱中进行，</w:t>
            </w:r>
            <w:r>
              <w:rPr>
                <w:rFonts w:hint="eastAsia" w:cs="Times New Roman"/>
                <w:color w:val="auto"/>
                <w:sz w:val="24"/>
                <w:szCs w:val="24"/>
                <w:lang w:val="en-US" w:eastAsia="zh-CN"/>
              </w:rPr>
              <w:t>均为密闭设备，</w:t>
            </w:r>
            <w:r>
              <w:rPr>
                <w:rFonts w:hint="eastAsia" w:ascii="Times New Roman" w:hAnsi="Times New Roman" w:eastAsia="宋体" w:cs="Times New Roman"/>
                <w:color w:val="auto"/>
                <w:sz w:val="24"/>
                <w:szCs w:val="24"/>
                <w:lang w:val="en-US" w:eastAsia="zh-CN"/>
              </w:rPr>
              <w:t>干燥温度为120</w:t>
            </w:r>
            <w:r>
              <w:rPr>
                <w:rFonts w:hint="default" w:ascii="Times New Roman" w:hAnsi="Times New Roman"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乙二醇二甲醚</w:t>
            </w:r>
            <w:r>
              <w:rPr>
                <w:rFonts w:hint="default" w:ascii="Times New Roman" w:hAnsi="Times New Roman" w:eastAsia="宋体" w:cs="Times New Roman"/>
                <w:color w:val="auto"/>
                <w:sz w:val="24"/>
                <w:lang w:val="en-US" w:eastAsia="zh-CN"/>
              </w:rPr>
              <w:t>沸点为</w:t>
            </w:r>
            <w:r>
              <w:rPr>
                <w:rFonts w:hint="eastAsia" w:ascii="Times New Roman" w:hAnsi="Times New Roman" w:eastAsia="宋体" w:cs="Times New Roman"/>
                <w:color w:val="auto"/>
                <w:sz w:val="24"/>
                <w:lang w:val="en-US" w:eastAsia="zh-CN"/>
              </w:rPr>
              <w:t>85</w:t>
            </w:r>
            <w:r>
              <w:rPr>
                <w:rFonts w:hint="default" w:ascii="Times New Roman" w:hAnsi="Times New Roman" w:eastAsia="宋体" w:cs="Times New Roman"/>
                <w:color w:val="auto"/>
                <w:sz w:val="24"/>
                <w:lang w:val="en-US" w:eastAsia="zh-CN"/>
              </w:rPr>
              <w:t>℃，异丙醇沸点为83℃，</w:t>
            </w:r>
            <w:r>
              <w:rPr>
                <w:rFonts w:hint="eastAsia" w:cs="Times New Roman"/>
                <w:color w:val="auto"/>
                <w:sz w:val="24"/>
                <w:lang w:val="en-US" w:eastAsia="zh-CN"/>
              </w:rPr>
              <w:t>采用真空干燥箱后，</w:t>
            </w:r>
            <w:r>
              <w:rPr>
                <w:rFonts w:hint="eastAsia" w:ascii="Times New Roman" w:hAnsi="Times New Roman" w:cs="Times New Roman"/>
                <w:color w:val="auto"/>
                <w:sz w:val="24"/>
                <w:szCs w:val="24"/>
                <w:lang w:val="en-US" w:eastAsia="zh-CN"/>
              </w:rPr>
              <w:t>N-甲基吡络烷酮</w:t>
            </w:r>
            <w:r>
              <w:rPr>
                <w:rFonts w:hint="eastAsia" w:cs="Times New Roman"/>
                <w:color w:val="auto"/>
                <w:sz w:val="24"/>
                <w:szCs w:val="24"/>
                <w:lang w:val="en-US" w:eastAsia="zh-CN"/>
              </w:rPr>
              <w:t>会挥发，考虑最不利因素，</w:t>
            </w:r>
            <w:r>
              <w:rPr>
                <w:rFonts w:hint="default" w:ascii="Times New Roman" w:hAnsi="Times New Roman" w:eastAsia="宋体" w:cs="Times New Roman"/>
                <w:color w:val="auto"/>
                <w:sz w:val="24"/>
                <w:lang w:val="en-US" w:eastAsia="zh-CN"/>
              </w:rPr>
              <w:t>按</w:t>
            </w:r>
            <w:r>
              <w:rPr>
                <w:rFonts w:hint="eastAsia" w:ascii="Times New Roman" w:hAnsi="Times New Roman" w:cs="Times New Roman"/>
                <w:color w:val="auto"/>
                <w:sz w:val="24"/>
                <w:szCs w:val="24"/>
                <w:lang w:val="en-US" w:eastAsia="zh-CN"/>
              </w:rPr>
              <w:t>乙二醇二甲醚</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异丙醇</w:t>
            </w:r>
            <w:r>
              <w:rPr>
                <w:rFonts w:hint="eastAsia" w:cs="Times New Roman"/>
                <w:color w:val="auto"/>
                <w:sz w:val="24"/>
                <w:lang w:val="en-US" w:eastAsia="zh-CN"/>
              </w:rPr>
              <w:t>、</w:t>
            </w:r>
            <w:r>
              <w:rPr>
                <w:rFonts w:hint="eastAsia" w:ascii="Times New Roman" w:hAnsi="Times New Roman" w:cs="Times New Roman"/>
                <w:color w:val="auto"/>
                <w:sz w:val="24"/>
                <w:szCs w:val="24"/>
                <w:lang w:val="en-US" w:eastAsia="zh-CN"/>
              </w:rPr>
              <w:t>N-甲基吡络烷酮</w:t>
            </w:r>
            <w:r>
              <w:rPr>
                <w:rFonts w:hint="default" w:ascii="Times New Roman" w:hAnsi="Times New Roman" w:eastAsia="宋体" w:cs="Times New Roman"/>
                <w:color w:val="auto"/>
                <w:sz w:val="24"/>
                <w:lang w:val="en-US" w:eastAsia="zh-CN"/>
              </w:rPr>
              <w:t>全部挥发来计算，即挥发量按膜电极生产线</w:t>
            </w:r>
            <w:r>
              <w:rPr>
                <w:rFonts w:hint="eastAsia" w:ascii="Times New Roman" w:hAnsi="Times New Roman" w:cs="Times New Roman"/>
                <w:color w:val="auto"/>
                <w:sz w:val="24"/>
                <w:szCs w:val="24"/>
                <w:lang w:val="en-US" w:eastAsia="zh-CN"/>
              </w:rPr>
              <w:t>乙二醇二甲醚</w:t>
            </w:r>
            <w:r>
              <w:rPr>
                <w:rFonts w:hint="default" w:ascii="Times New Roman" w:hAnsi="Times New Roman" w:eastAsia="宋体" w:cs="Times New Roman"/>
                <w:color w:val="auto"/>
                <w:sz w:val="24"/>
                <w:lang w:val="en-US" w:eastAsia="zh-CN"/>
              </w:rPr>
              <w:t>和异丙醇年使用量（</w:t>
            </w:r>
            <w:r>
              <w:rPr>
                <w:rFonts w:hint="eastAsia" w:cs="Times New Roman"/>
                <w:color w:val="auto"/>
                <w:kern w:val="0"/>
                <w:sz w:val="24"/>
                <w:szCs w:val="24"/>
                <w:lang w:val="en-US" w:eastAsia="zh-CN" w:bidi="ar-SA"/>
              </w:rPr>
              <w:t>0.117</w:t>
            </w:r>
            <w:r>
              <w:rPr>
                <w:rFonts w:hint="default" w:ascii="Times New Roman" w:hAnsi="Times New Roman" w:eastAsia="宋体" w:cs="Times New Roman"/>
                <w:color w:val="auto"/>
                <w:kern w:val="0"/>
                <w:sz w:val="24"/>
                <w:szCs w:val="24"/>
                <w:lang w:val="en-US" w:eastAsia="zh-CN" w:bidi="ar-SA"/>
              </w:rPr>
              <w:t>t/a</w:t>
            </w:r>
            <w:r>
              <w:rPr>
                <w:rFonts w:hint="default" w:ascii="Times New Roman" w:hAnsi="Times New Roman" w:eastAsia="宋体" w:cs="Times New Roman"/>
                <w:color w:val="auto"/>
                <w:sz w:val="24"/>
                <w:lang w:val="en-US" w:eastAsia="zh-CN"/>
              </w:rPr>
              <w:t>）的</w:t>
            </w:r>
            <w:r>
              <w:rPr>
                <w:rFonts w:hint="eastAsia" w:cs="Times New Roman"/>
                <w:color w:val="auto"/>
                <w:sz w:val="24"/>
                <w:lang w:val="en-US" w:eastAsia="zh-CN"/>
              </w:rPr>
              <w:t>98</w:t>
            </w:r>
            <w:r>
              <w:rPr>
                <w:rFonts w:hint="default" w:ascii="Times New Roman" w:hAnsi="Times New Roman" w:eastAsia="宋体" w:cs="Times New Roman"/>
                <w:color w:val="auto"/>
                <w:sz w:val="24"/>
                <w:lang w:val="en-US" w:eastAsia="zh-CN"/>
              </w:rPr>
              <w:t>%（在配料过程中已挥发</w:t>
            </w:r>
            <w:r>
              <w:rPr>
                <w:rFonts w:hint="eastAsia" w:cs="Times New Roman"/>
                <w:color w:val="auto"/>
                <w:sz w:val="24"/>
                <w:lang w:val="en-US" w:eastAsia="zh-CN"/>
              </w:rPr>
              <w:t>2</w:t>
            </w:r>
            <w:r>
              <w:rPr>
                <w:rFonts w:hint="default" w:ascii="Times New Roman" w:hAnsi="Times New Roman" w:eastAsia="宋体" w:cs="Times New Roman"/>
                <w:color w:val="auto"/>
                <w:sz w:val="24"/>
                <w:lang w:val="en-US" w:eastAsia="zh-CN"/>
              </w:rPr>
              <w:t>%）</w:t>
            </w:r>
            <w:r>
              <w:rPr>
                <w:rFonts w:hint="eastAsia" w:cs="Times New Roman"/>
                <w:color w:val="auto"/>
                <w:sz w:val="24"/>
                <w:lang w:val="en-US" w:eastAsia="zh-CN"/>
              </w:rPr>
              <w:t>、</w:t>
            </w:r>
            <w:r>
              <w:rPr>
                <w:rFonts w:hint="eastAsia" w:ascii="Times New Roman" w:hAnsi="Times New Roman" w:cs="Times New Roman"/>
                <w:color w:val="auto"/>
                <w:sz w:val="24"/>
                <w:szCs w:val="24"/>
                <w:lang w:val="en-US" w:eastAsia="zh-CN"/>
              </w:rPr>
              <w:t>N-甲基吡络烷酮</w:t>
            </w:r>
            <w:r>
              <w:rPr>
                <w:rFonts w:hint="default" w:ascii="Times New Roman" w:hAnsi="Times New Roman" w:eastAsia="宋体" w:cs="Times New Roman"/>
                <w:color w:val="auto"/>
                <w:sz w:val="24"/>
                <w:lang w:val="en-US" w:eastAsia="zh-CN"/>
              </w:rPr>
              <w:t>年使用量（</w:t>
            </w:r>
            <w:r>
              <w:rPr>
                <w:rFonts w:hint="eastAsia" w:cs="Times New Roman"/>
                <w:color w:val="auto"/>
                <w:kern w:val="0"/>
                <w:sz w:val="24"/>
                <w:szCs w:val="24"/>
                <w:lang w:val="en-US" w:eastAsia="zh-CN" w:bidi="ar-SA"/>
              </w:rPr>
              <w:t>0.326</w:t>
            </w:r>
            <w:r>
              <w:rPr>
                <w:rFonts w:hint="default" w:ascii="Times New Roman" w:hAnsi="Times New Roman" w:eastAsia="宋体" w:cs="Times New Roman"/>
                <w:color w:val="auto"/>
                <w:kern w:val="0"/>
                <w:sz w:val="24"/>
                <w:szCs w:val="24"/>
                <w:lang w:val="en-US" w:eastAsia="zh-CN" w:bidi="ar-SA"/>
              </w:rPr>
              <w:t>t/a</w:t>
            </w:r>
            <w:r>
              <w:rPr>
                <w:rFonts w:hint="default" w:ascii="Times New Roman" w:hAnsi="Times New Roman" w:eastAsia="宋体" w:cs="Times New Roman"/>
                <w:color w:val="auto"/>
                <w:sz w:val="24"/>
                <w:lang w:val="en-US" w:eastAsia="zh-CN"/>
              </w:rPr>
              <w:t>）的</w:t>
            </w:r>
            <w:r>
              <w:rPr>
                <w:rFonts w:hint="eastAsia" w:cs="Times New Roman"/>
                <w:color w:val="auto"/>
                <w:sz w:val="24"/>
                <w:lang w:val="en-US" w:eastAsia="zh-CN"/>
              </w:rPr>
              <w:t>100</w:t>
            </w:r>
            <w:r>
              <w:rPr>
                <w:rFonts w:hint="default" w:ascii="Times New Roman" w:hAnsi="Times New Roman" w:eastAsia="宋体" w:cs="Times New Roman"/>
                <w:color w:val="auto"/>
                <w:sz w:val="24"/>
                <w:lang w:val="en-US" w:eastAsia="zh-CN"/>
              </w:rPr>
              <w:t>%</w:t>
            </w:r>
            <w:r>
              <w:rPr>
                <w:rFonts w:hint="eastAsia" w:cs="Times New Roman"/>
                <w:color w:val="auto"/>
                <w:sz w:val="24"/>
                <w:lang w:val="en-US" w:eastAsia="zh-CN"/>
              </w:rPr>
              <w:t>计</w:t>
            </w:r>
            <w:r>
              <w:rPr>
                <w:rFonts w:hint="default" w:ascii="Times New Roman" w:hAnsi="Times New Roman" w:eastAsia="宋体" w:cs="Times New Roman"/>
                <w:color w:val="auto"/>
                <w:sz w:val="24"/>
                <w:lang w:val="en-US" w:eastAsia="zh-CN"/>
              </w:rPr>
              <w:t>，则涂布干燥阶段挥发废气量为</w:t>
            </w:r>
            <w:r>
              <w:rPr>
                <w:rFonts w:hint="eastAsia" w:cs="Times New Roman"/>
                <w:color w:val="auto"/>
                <w:sz w:val="24"/>
                <w:lang w:val="en-US" w:eastAsia="zh-CN"/>
              </w:rPr>
              <w:t>0.44</w:t>
            </w:r>
            <w:r>
              <w:rPr>
                <w:rFonts w:hint="default" w:ascii="Times New Roman" w:hAnsi="Times New Roman" w:eastAsia="宋体" w:cs="Times New Roman"/>
                <w:color w:val="auto"/>
                <w:sz w:val="24"/>
                <w:lang w:val="en-US" w:eastAsia="zh-CN"/>
              </w:rPr>
              <w:t>t/a（以非甲烷总烃计）。</w:t>
            </w:r>
            <w:r>
              <w:rPr>
                <w:rFonts w:hint="eastAsia" w:cs="Times New Roman"/>
                <w:color w:val="auto"/>
                <w:sz w:val="24"/>
                <w:lang w:val="en-US" w:eastAsia="zh-CN"/>
              </w:rPr>
              <w:t>涂布干燥为一体化设备、双层密封、</w:t>
            </w:r>
            <w:r>
              <w:rPr>
                <w:rFonts w:hint="default" w:ascii="Times New Roman" w:hAnsi="Times New Roman" w:eastAsia="宋体" w:cs="Times New Roman"/>
                <w:color w:val="auto"/>
                <w:sz w:val="24"/>
                <w:lang w:val="en-US" w:eastAsia="zh-CN"/>
              </w:rPr>
              <w:t>密闭式管道收集，通过分区压力控制</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在生产的洁净核心区维持微正压防止污染，同时在干燥及废气通道维持更强的稳定负压，利用显著压差将废气定向抽入处理系统，</w:t>
            </w:r>
            <w:r>
              <w:rPr>
                <w:rFonts w:hint="eastAsia" w:cs="Times New Roman"/>
                <w:color w:val="auto"/>
                <w:sz w:val="24"/>
                <w:lang w:val="en-US" w:eastAsia="zh-CN"/>
              </w:rPr>
              <w:t>则</w:t>
            </w:r>
            <w:r>
              <w:rPr>
                <w:rFonts w:hint="default" w:ascii="Times New Roman" w:hAnsi="Times New Roman" w:eastAsia="宋体" w:cs="Times New Roman"/>
                <w:color w:val="auto"/>
                <w:sz w:val="24"/>
                <w:lang w:val="en-US" w:eastAsia="zh-CN"/>
              </w:rPr>
              <w:t>收集效率按98%计，有组织</w:t>
            </w:r>
            <w:r>
              <w:rPr>
                <w:rFonts w:hint="eastAsia" w:ascii="Times New Roman" w:hAnsi="Times New Roman" w:eastAsia="宋体" w:cs="Times New Roman"/>
                <w:color w:val="auto"/>
                <w:sz w:val="24"/>
                <w:lang w:val="en-US" w:eastAsia="zh-CN"/>
              </w:rPr>
              <w:t>废气</w:t>
            </w:r>
            <w:r>
              <w:rPr>
                <w:rFonts w:hint="default" w:ascii="Times New Roman" w:hAnsi="Times New Roman" w:eastAsia="宋体" w:cs="Times New Roman"/>
                <w:color w:val="auto"/>
                <w:sz w:val="24"/>
                <w:lang w:val="en-US" w:eastAsia="zh-CN"/>
              </w:rPr>
              <w:t>产生量为</w:t>
            </w:r>
            <w:r>
              <w:rPr>
                <w:rFonts w:hint="eastAsia" w:cs="Times New Roman"/>
                <w:color w:val="auto"/>
                <w:sz w:val="24"/>
                <w:lang w:val="en-US" w:eastAsia="zh-CN"/>
              </w:rPr>
              <w:t>0.43</w:t>
            </w:r>
            <w:r>
              <w:rPr>
                <w:rFonts w:hint="default" w:ascii="Times New Roman" w:hAnsi="Times New Roman" w:eastAsia="宋体" w:cs="Times New Roman"/>
                <w:color w:val="auto"/>
                <w:sz w:val="24"/>
                <w:lang w:val="en-US" w:eastAsia="zh-CN"/>
              </w:rPr>
              <w:t>t/a。</w:t>
            </w:r>
          </w:p>
          <w:p w14:paraId="236FE2DF">
            <w:pPr>
              <w:numPr>
                <w:ilvl w:val="0"/>
                <w:numId w:val="0"/>
              </w:numPr>
              <w:adjustRightInd w:val="0"/>
              <w:snapToGrid w:val="0"/>
              <w:spacing w:line="360" w:lineRule="auto"/>
              <w:ind w:leftChars="200"/>
              <w:rPr>
                <w:rFonts w:hint="default" w:ascii="Times New Roman" w:hAnsi="Times New Roman" w:cs="Times New Roman"/>
                <w:b w:val="0"/>
                <w:bCs/>
                <w:color w:val="auto"/>
                <w:spacing w:val="0"/>
                <w:sz w:val="24"/>
                <w:szCs w:val="24"/>
                <w:lang w:val="en-US" w:eastAsia="zh-CN"/>
              </w:rPr>
            </w:pPr>
            <w:r>
              <w:rPr>
                <w:rFonts w:hint="eastAsia" w:ascii="Times New Roman" w:hAnsi="Times New Roman" w:cs="Times New Roman"/>
                <w:b w:val="0"/>
                <w:bCs/>
                <w:color w:val="auto"/>
                <w:spacing w:val="0"/>
                <w:sz w:val="24"/>
                <w:szCs w:val="24"/>
                <w:lang w:val="en-US" w:eastAsia="zh-CN"/>
              </w:rPr>
              <w:t>（3）变色材料制备工序废气</w:t>
            </w:r>
          </w:p>
          <w:p w14:paraId="6A7F757D">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kern w:val="0"/>
                <w:sz w:val="24"/>
                <w:szCs w:val="24"/>
                <w:lang w:val="en-US" w:eastAsia="zh-CN" w:bidi="ar"/>
              </w:rPr>
              <w:t>在变色材料制备过程中，主要原料有氧化钼、钯盐溶液、甲醇、甲酸、</w:t>
            </w:r>
            <w:r>
              <w:rPr>
                <w:rFonts w:hint="eastAsia" w:cs="Times New Roman"/>
                <w:color w:val="auto"/>
                <w:kern w:val="0"/>
                <w:sz w:val="24"/>
                <w:szCs w:val="24"/>
                <w:lang w:val="en-US" w:eastAsia="zh-CN" w:bidi="ar"/>
              </w:rPr>
              <w:t>乙酸、</w:t>
            </w:r>
            <w:r>
              <w:rPr>
                <w:rFonts w:hint="eastAsia" w:ascii="Times New Roman" w:hAnsi="Times New Roman" w:eastAsia="宋体" w:cs="Times New Roman"/>
                <w:color w:val="auto"/>
                <w:kern w:val="0"/>
                <w:sz w:val="24"/>
                <w:szCs w:val="24"/>
                <w:lang w:val="en-US" w:eastAsia="zh-CN" w:bidi="ar"/>
              </w:rPr>
              <w:t>双氧水，甲醇</w:t>
            </w:r>
            <w:r>
              <w:rPr>
                <w:rFonts w:hint="eastAsia" w:cs="Times New Roman"/>
                <w:color w:val="auto"/>
                <w:kern w:val="0"/>
                <w:sz w:val="24"/>
                <w:szCs w:val="24"/>
                <w:lang w:val="en-US" w:eastAsia="zh-CN" w:bidi="ar"/>
              </w:rPr>
              <w:t>和甲酸</w:t>
            </w:r>
            <w:r>
              <w:rPr>
                <w:rFonts w:hint="eastAsia" w:ascii="Times New Roman" w:hAnsi="Times New Roman" w:cs="Times New Roman"/>
                <w:color w:val="auto"/>
                <w:sz w:val="24"/>
                <w:szCs w:val="24"/>
                <w:lang w:val="en-US" w:eastAsia="zh-CN"/>
              </w:rPr>
              <w:t>易挥发，故在配制过程</w:t>
            </w:r>
            <w:r>
              <w:rPr>
                <w:rFonts w:hint="default" w:ascii="Times New Roman" w:hAnsi="Times New Roman" w:cs="Times New Roman"/>
                <w:color w:val="auto"/>
                <w:sz w:val="24"/>
                <w:szCs w:val="24"/>
                <w:lang w:val="en-US" w:eastAsia="zh-CN"/>
              </w:rPr>
              <w:t>中会挥发少量废气</w:t>
            </w:r>
            <w:r>
              <w:rPr>
                <w:rFonts w:hint="default" w:ascii="Times New Roman" w:hAnsi="Times New Roman" w:eastAsia="宋体" w:cs="Times New Roman"/>
                <w:color w:val="auto"/>
                <w:kern w:val="0"/>
                <w:sz w:val="24"/>
                <w:szCs w:val="24"/>
                <w:lang w:val="en-US" w:eastAsia="zh-CN" w:bidi="ar-SA"/>
              </w:rPr>
              <w:t>。因配料过程是</w:t>
            </w:r>
            <w:r>
              <w:rPr>
                <w:rFonts w:hint="eastAsia" w:cs="Times New Roman"/>
                <w:color w:val="auto"/>
                <w:kern w:val="0"/>
                <w:sz w:val="24"/>
                <w:szCs w:val="24"/>
                <w:lang w:val="en-US" w:eastAsia="zh-CN" w:bidi="ar-SA"/>
              </w:rPr>
              <w:t>在烧杯中进行添加甲醇</w:t>
            </w:r>
            <w:r>
              <w:rPr>
                <w:rFonts w:hint="default" w:ascii="Times New Roman" w:hAnsi="Times New Roman" w:eastAsia="宋体"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0.</w:t>
            </w:r>
            <w:r>
              <w:rPr>
                <w:rFonts w:hint="eastAsia" w:cs="Times New Roman"/>
                <w:color w:val="auto"/>
                <w:kern w:val="0"/>
                <w:sz w:val="24"/>
                <w:szCs w:val="24"/>
                <w:lang w:val="en-US" w:eastAsia="zh-CN" w:bidi="ar-SA"/>
              </w:rPr>
              <w:t>096</w:t>
            </w:r>
            <w:r>
              <w:rPr>
                <w:rFonts w:hint="default" w:ascii="Times New Roman" w:hAnsi="Times New Roman" w:eastAsia="宋体" w:cs="Times New Roman"/>
                <w:color w:val="auto"/>
                <w:kern w:val="0"/>
                <w:sz w:val="24"/>
                <w:szCs w:val="24"/>
                <w:lang w:val="en-US" w:eastAsia="zh-CN" w:bidi="ar-SA"/>
              </w:rPr>
              <w:t>t/a）</w:t>
            </w:r>
            <w:r>
              <w:rPr>
                <w:rFonts w:hint="eastAsia" w:cs="Times New Roman"/>
                <w:color w:val="auto"/>
                <w:kern w:val="0"/>
                <w:sz w:val="24"/>
                <w:szCs w:val="24"/>
                <w:lang w:val="en-US" w:eastAsia="zh-CN" w:bidi="ar-SA"/>
              </w:rPr>
              <w:t>和甲酸（0.00073</w:t>
            </w:r>
            <w:r>
              <w:rPr>
                <w:rFonts w:hint="default" w:ascii="Times New Roman" w:hAnsi="Times New Roman" w:eastAsia="宋体" w:cs="Times New Roman"/>
                <w:color w:val="auto"/>
                <w:kern w:val="0"/>
                <w:sz w:val="24"/>
                <w:szCs w:val="24"/>
                <w:lang w:val="en-US" w:eastAsia="zh-CN" w:bidi="ar-SA"/>
              </w:rPr>
              <w:t>t/a</w:t>
            </w:r>
            <w:r>
              <w:rPr>
                <w:rFonts w:hint="eastAsia"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w:t>
            </w:r>
            <w:r>
              <w:rPr>
                <w:rFonts w:hint="eastAsia"/>
                <w:color w:val="auto"/>
                <w:sz w:val="24"/>
                <w:szCs w:val="24"/>
                <w:lang w:val="en-US" w:eastAsia="zh-CN"/>
              </w:rPr>
              <w:t>按最不利情况考虑，即100%</w:t>
            </w:r>
            <w:r>
              <w:rPr>
                <w:rFonts w:hint="default" w:ascii="Times New Roman" w:hAnsi="Times New Roman" w:eastAsia="宋体" w:cs="Times New Roman"/>
                <w:color w:val="auto"/>
                <w:kern w:val="0"/>
                <w:sz w:val="24"/>
                <w:szCs w:val="24"/>
                <w:lang w:val="en-US" w:eastAsia="zh-CN" w:bidi="ar-SA"/>
              </w:rPr>
              <w:t>挥发。</w:t>
            </w:r>
            <w:r>
              <w:rPr>
                <w:rFonts w:hint="eastAsia" w:ascii="Times New Roman" w:hAnsi="Times New Roman" w:eastAsia="宋体" w:cs="Times New Roman"/>
                <w:color w:val="auto"/>
                <w:kern w:val="0"/>
                <w:sz w:val="24"/>
                <w:szCs w:val="24"/>
                <w:lang w:val="en-US" w:eastAsia="zh-CN" w:bidi="ar"/>
              </w:rPr>
              <w:t>变色材料制备过程</w:t>
            </w:r>
            <w:r>
              <w:rPr>
                <w:rFonts w:hint="eastAsia" w:ascii="Times New Roman" w:hAnsi="Times New Roman" w:eastAsia="宋体" w:cs="Times New Roman"/>
                <w:color w:val="auto"/>
                <w:sz w:val="24"/>
                <w:highlight w:val="none"/>
              </w:rPr>
              <w:t>全部在</w:t>
            </w:r>
            <w:r>
              <w:rPr>
                <w:rFonts w:hint="eastAsia" w:cs="Times New Roman"/>
                <w:color w:val="auto"/>
                <w:sz w:val="24"/>
                <w:highlight w:val="none"/>
                <w:lang w:val="en-US" w:eastAsia="zh-CN"/>
              </w:rPr>
              <w:t>调配室</w:t>
            </w:r>
            <w:r>
              <w:rPr>
                <w:rFonts w:hint="eastAsia" w:ascii="Times New Roman" w:hAnsi="Times New Roman" w:eastAsia="宋体" w:cs="Times New Roman"/>
                <w:color w:val="auto"/>
                <w:sz w:val="24"/>
                <w:highlight w:val="none"/>
                <w:lang w:val="en-US" w:eastAsia="zh-CN"/>
              </w:rPr>
              <w:t>的</w:t>
            </w:r>
            <w:r>
              <w:rPr>
                <w:rFonts w:hint="eastAsia" w:ascii="Times New Roman" w:hAnsi="Times New Roman" w:eastAsia="宋体" w:cs="Times New Roman"/>
                <w:color w:val="auto"/>
                <w:sz w:val="24"/>
                <w:highlight w:val="none"/>
              </w:rPr>
              <w:t>通风橱内进行</w:t>
            </w:r>
            <w:r>
              <w:rPr>
                <w:rFonts w:hint="eastAsia" w:ascii="Times New Roman" w:hAnsi="Times New Roman" w:eastAsia="宋体" w:cs="Times New Roman"/>
                <w:color w:val="auto"/>
                <w:sz w:val="24"/>
                <w:highlight w:val="none"/>
                <w:lang w:eastAsia="zh-CN"/>
              </w:rPr>
              <w:t>，</w:t>
            </w:r>
            <w:r>
              <w:rPr>
                <w:rFonts w:hint="eastAsia"/>
                <w:color w:val="auto"/>
                <w:sz w:val="24"/>
                <w:lang w:val="en-US" w:eastAsia="zh-CN"/>
              </w:rPr>
              <w:t>通风橱收集效率按90%计</w:t>
            </w:r>
            <w:r>
              <w:rPr>
                <w:rFonts w:hint="eastAsia"/>
                <w:color w:val="auto"/>
                <w:sz w:val="24"/>
              </w:rPr>
              <w:t>，</w:t>
            </w:r>
            <w:r>
              <w:rPr>
                <w:rFonts w:hint="eastAsia"/>
                <w:color w:val="auto"/>
                <w:sz w:val="24"/>
                <w:lang w:val="en-US" w:eastAsia="zh-CN"/>
              </w:rPr>
              <w:t>则有组织甲醇产生量为0.086</w:t>
            </w:r>
            <w:r>
              <w:rPr>
                <w:rFonts w:hint="default" w:ascii="Times New Roman" w:hAnsi="Times New Roman" w:eastAsia="宋体" w:cs="Times New Roman"/>
                <w:color w:val="auto"/>
                <w:kern w:val="0"/>
                <w:sz w:val="24"/>
                <w:szCs w:val="24"/>
                <w:lang w:val="en-US" w:eastAsia="zh-CN" w:bidi="ar-SA"/>
              </w:rPr>
              <w:t>t/a</w:t>
            </w:r>
            <w:r>
              <w:rPr>
                <w:rFonts w:hint="eastAsia" w:cs="Times New Roman"/>
                <w:color w:val="auto"/>
                <w:kern w:val="0"/>
                <w:sz w:val="24"/>
                <w:szCs w:val="24"/>
                <w:lang w:val="en-US" w:eastAsia="zh-CN" w:bidi="ar-SA"/>
              </w:rPr>
              <w:t>，甲酸（以非甲烷总烃计）产生量为0.0007</w:t>
            </w:r>
            <w:r>
              <w:rPr>
                <w:rFonts w:hint="default" w:ascii="Times New Roman" w:hAnsi="Times New Roman" w:eastAsia="宋体" w:cs="Times New Roman"/>
                <w:color w:val="auto"/>
                <w:kern w:val="0"/>
                <w:sz w:val="24"/>
                <w:szCs w:val="24"/>
                <w:lang w:val="en-US" w:eastAsia="zh-CN" w:bidi="ar-SA"/>
              </w:rPr>
              <w:t>t/a</w:t>
            </w:r>
            <w:r>
              <w:rPr>
                <w:rFonts w:hint="eastAsia" w:ascii="Times New Roman" w:hAnsi="Times New Roman" w:eastAsia="宋体" w:cs="Times New Roman"/>
                <w:color w:val="auto"/>
                <w:kern w:val="0"/>
                <w:sz w:val="24"/>
                <w:szCs w:val="24"/>
                <w:lang w:val="en-US" w:eastAsia="zh-CN" w:bidi="ar-SA"/>
              </w:rPr>
              <w:t>。</w:t>
            </w:r>
          </w:p>
          <w:p w14:paraId="42EAECC4">
            <w:pPr>
              <w:numPr>
                <w:ilvl w:val="0"/>
                <w:numId w:val="0"/>
              </w:numPr>
              <w:adjustRightInd w:val="0"/>
              <w:snapToGrid w:val="0"/>
              <w:spacing w:line="360" w:lineRule="auto"/>
              <w:ind w:leftChars="200"/>
              <w:rPr>
                <w:rFonts w:hint="default" w:ascii="Times New Roman" w:hAnsi="Times New Roman" w:cs="Times New Roman"/>
                <w:b w:val="0"/>
                <w:bCs/>
                <w:color w:val="auto"/>
                <w:spacing w:val="0"/>
                <w:sz w:val="24"/>
                <w:szCs w:val="24"/>
                <w:lang w:val="en-US" w:eastAsia="zh-CN"/>
              </w:rPr>
            </w:pPr>
            <w:r>
              <w:rPr>
                <w:rFonts w:hint="eastAsia" w:ascii="Times New Roman" w:hAnsi="Times New Roman" w:cs="Times New Roman"/>
                <w:b w:val="0"/>
                <w:bCs/>
                <w:color w:val="auto"/>
                <w:spacing w:val="0"/>
                <w:sz w:val="24"/>
                <w:szCs w:val="24"/>
                <w:lang w:val="en-US" w:eastAsia="zh-CN"/>
              </w:rPr>
              <w:t>（4）敏感层制备工序</w:t>
            </w:r>
            <w:r>
              <w:rPr>
                <w:rFonts w:hint="default" w:ascii="Times New Roman" w:hAnsi="Times New Roman" w:cs="Times New Roman"/>
                <w:b w:val="0"/>
                <w:bCs/>
                <w:color w:val="auto"/>
                <w:spacing w:val="0"/>
                <w:sz w:val="24"/>
                <w:szCs w:val="24"/>
                <w:lang w:val="en-US" w:eastAsia="zh-CN"/>
              </w:rPr>
              <w:t>废气</w:t>
            </w:r>
          </w:p>
          <w:p w14:paraId="24B9972A">
            <w:pPr>
              <w:numPr>
                <w:ilvl w:val="0"/>
                <w:numId w:val="0"/>
              </w:numPr>
              <w:adjustRightInd w:val="0"/>
              <w:snapToGrid w:val="0"/>
              <w:spacing w:line="360" w:lineRule="auto"/>
              <w:ind w:left="0" w:leftChars="0" w:firstLine="420" w:firstLineChars="175"/>
              <w:rPr>
                <w:rFonts w:hint="default"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color w:val="auto"/>
                <w:kern w:val="0"/>
                <w:sz w:val="24"/>
                <w:szCs w:val="24"/>
                <w:lang w:val="en-US" w:eastAsia="zh-CN" w:bidi="ar-SA"/>
              </w:rPr>
              <w:t>在敏感层制备过程中，主要原料有变色材料、有机硅压敏胶、PET膜，其中有机硅压敏胶含有40%甲苯</w:t>
            </w:r>
            <w:r>
              <w:rPr>
                <w:rFonts w:hint="eastAsia"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有机硅压敏胶化学品安全技术说明书</w:t>
            </w:r>
            <w:r>
              <w:rPr>
                <w:rFonts w:hint="eastAsia" w:cs="Times New Roman"/>
                <w:color w:val="auto"/>
                <w:kern w:val="0"/>
                <w:sz w:val="24"/>
                <w:szCs w:val="24"/>
                <w:lang w:val="en-US" w:eastAsia="zh-CN" w:bidi="ar-SA"/>
              </w:rPr>
              <w:t>见附件8）</w:t>
            </w:r>
            <w:r>
              <w:rPr>
                <w:rFonts w:hint="eastAsia" w:ascii="Times New Roman" w:hAnsi="Times New Roman" w:eastAsia="宋体" w:cs="Times New Roman"/>
                <w:color w:val="auto"/>
                <w:kern w:val="0"/>
                <w:sz w:val="24"/>
                <w:szCs w:val="24"/>
                <w:lang w:val="en-US" w:eastAsia="zh-CN" w:bidi="ar-SA"/>
              </w:rPr>
              <w:t>，甲苯的沸点为110.6</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kern w:val="0"/>
                <w:sz w:val="24"/>
                <w:szCs w:val="24"/>
                <w:lang w:val="en-US" w:eastAsia="zh-CN" w:bidi="ar-SA"/>
              </w:rPr>
              <w:t>在150</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kern w:val="0"/>
                <w:sz w:val="24"/>
                <w:szCs w:val="24"/>
                <w:lang w:val="en-US" w:eastAsia="zh-CN" w:bidi="ar-SA"/>
              </w:rPr>
              <w:t>烘箱中会挥发，</w:t>
            </w:r>
            <w:r>
              <w:rPr>
                <w:rFonts w:hint="default" w:ascii="Times New Roman" w:hAnsi="Times New Roman" w:eastAsia="宋体" w:cs="Times New Roman"/>
                <w:color w:val="auto"/>
                <w:sz w:val="24"/>
                <w:lang w:val="en-US" w:eastAsia="zh-CN"/>
              </w:rPr>
              <w:t>故按</w:t>
            </w:r>
            <w:r>
              <w:rPr>
                <w:rFonts w:hint="eastAsia" w:ascii="Times New Roman" w:hAnsi="Times New Roman" w:cs="Times New Roman"/>
                <w:color w:val="auto"/>
                <w:sz w:val="24"/>
                <w:szCs w:val="24"/>
                <w:lang w:val="en-US" w:eastAsia="zh-CN"/>
              </w:rPr>
              <w:t>甲苯</w:t>
            </w:r>
            <w:r>
              <w:rPr>
                <w:rFonts w:hint="default" w:ascii="Times New Roman" w:hAnsi="Times New Roman" w:eastAsia="宋体" w:cs="Times New Roman"/>
                <w:color w:val="auto"/>
                <w:sz w:val="24"/>
                <w:lang w:val="en-US" w:eastAsia="zh-CN"/>
              </w:rPr>
              <w:t>全部挥发来计算，则</w:t>
            </w:r>
            <w:r>
              <w:rPr>
                <w:rFonts w:hint="eastAsia" w:ascii="Times New Roman" w:hAnsi="Times New Roman" w:cs="Times New Roman"/>
                <w:b w:val="0"/>
                <w:bCs/>
                <w:color w:val="auto"/>
                <w:spacing w:val="0"/>
                <w:sz w:val="24"/>
                <w:szCs w:val="24"/>
                <w:lang w:val="en-US" w:eastAsia="zh-CN"/>
              </w:rPr>
              <w:t>敏感层制备工序</w:t>
            </w:r>
            <w:r>
              <w:rPr>
                <w:rFonts w:hint="default" w:ascii="Times New Roman" w:hAnsi="Times New Roman" w:eastAsia="宋体" w:cs="Times New Roman"/>
                <w:color w:val="auto"/>
                <w:sz w:val="24"/>
                <w:lang w:val="en-US" w:eastAsia="zh-CN"/>
              </w:rPr>
              <w:t>挥发废气量为</w:t>
            </w:r>
            <w:r>
              <w:rPr>
                <w:rFonts w:hint="eastAsia" w:ascii="Times New Roman" w:hAnsi="Times New Roman" w:eastAsia="宋体" w:cs="Times New Roman"/>
                <w:color w:val="auto"/>
                <w:sz w:val="24"/>
                <w:lang w:val="en-US" w:eastAsia="zh-CN"/>
              </w:rPr>
              <w:t>0.12</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干燥</w:t>
            </w:r>
            <w:r>
              <w:rPr>
                <w:rFonts w:hint="eastAsia" w:cs="Times New Roman"/>
                <w:color w:val="auto"/>
                <w:sz w:val="24"/>
                <w:lang w:val="en-US" w:eastAsia="zh-CN"/>
              </w:rPr>
              <w:t>箱双层密封、</w:t>
            </w:r>
            <w:r>
              <w:rPr>
                <w:rFonts w:hint="default" w:ascii="Times New Roman" w:hAnsi="Times New Roman" w:eastAsia="宋体" w:cs="Times New Roman"/>
                <w:color w:val="auto"/>
                <w:sz w:val="24"/>
                <w:lang w:val="en-US" w:eastAsia="zh-CN"/>
              </w:rPr>
              <w:t>密闭式管道收集，收集效率按98%计，有组织</w:t>
            </w:r>
            <w:r>
              <w:rPr>
                <w:rFonts w:hint="eastAsia" w:ascii="Times New Roman" w:hAnsi="Times New Roman" w:eastAsia="宋体" w:cs="Times New Roman"/>
                <w:color w:val="auto"/>
                <w:sz w:val="24"/>
                <w:lang w:val="en-US" w:eastAsia="zh-CN"/>
              </w:rPr>
              <w:t>废气</w:t>
            </w:r>
            <w:r>
              <w:rPr>
                <w:rFonts w:hint="default" w:ascii="Times New Roman" w:hAnsi="Times New Roman" w:eastAsia="宋体" w:cs="Times New Roman"/>
                <w:color w:val="auto"/>
                <w:sz w:val="24"/>
                <w:lang w:val="en-US" w:eastAsia="zh-CN"/>
              </w:rPr>
              <w:t>产生量为</w:t>
            </w:r>
            <w:r>
              <w:rPr>
                <w:rFonts w:hint="eastAsia" w:ascii="Times New Roman" w:hAnsi="Times New Roman" w:eastAsia="宋体" w:cs="Times New Roman"/>
                <w:color w:val="auto"/>
                <w:sz w:val="24"/>
                <w:lang w:val="en-US" w:eastAsia="zh-CN"/>
              </w:rPr>
              <w:t>0.118</w:t>
            </w:r>
            <w:r>
              <w:rPr>
                <w:rFonts w:hint="default" w:ascii="Times New Roman" w:hAnsi="Times New Roman" w:eastAsia="宋体" w:cs="Times New Roman"/>
                <w:color w:val="auto"/>
                <w:sz w:val="24"/>
                <w:lang w:val="en-US" w:eastAsia="zh-CN"/>
              </w:rPr>
              <w:t>t/a</w:t>
            </w:r>
            <w:r>
              <w:rPr>
                <w:rFonts w:hint="default" w:ascii="Times New Roman" w:hAnsi="Times New Roman" w:eastAsia="宋体" w:cs="Times New Roman"/>
                <w:b w:val="0"/>
                <w:bCs w:val="0"/>
                <w:color w:val="auto"/>
                <w:kern w:val="2"/>
                <w:sz w:val="24"/>
                <w:szCs w:val="24"/>
                <w:highlight w:val="none"/>
                <w:lang w:val="en-US" w:eastAsia="zh-CN" w:bidi="ar-SA"/>
              </w:rPr>
              <w:t>。</w:t>
            </w:r>
          </w:p>
          <w:p w14:paraId="2072E6B1">
            <w:pPr>
              <w:spacing w:line="360" w:lineRule="auto"/>
              <w:ind w:firstLine="480" w:firstLineChars="200"/>
              <w:rPr>
                <w:color w:val="auto"/>
              </w:rPr>
            </w:pPr>
            <w:r>
              <w:rPr>
                <w:rFonts w:hint="eastAsia"/>
                <w:color w:val="auto"/>
                <w:sz w:val="24"/>
              </w:rPr>
              <w:t>综上，有组织</w:t>
            </w:r>
            <w:r>
              <w:rPr>
                <w:rFonts w:hint="eastAsia"/>
                <w:color w:val="auto"/>
                <w:sz w:val="24"/>
                <w:lang w:val="en-US" w:eastAsia="zh-CN"/>
              </w:rPr>
              <w:t>废气</w:t>
            </w:r>
            <w:r>
              <w:rPr>
                <w:rFonts w:hint="eastAsia"/>
                <w:color w:val="auto"/>
                <w:sz w:val="24"/>
              </w:rPr>
              <w:t>经</w:t>
            </w:r>
            <w:r>
              <w:rPr>
                <w:rFonts w:hint="eastAsia"/>
                <w:color w:val="auto"/>
                <w:sz w:val="24"/>
                <w:lang w:val="en-US" w:eastAsia="zh-CN"/>
              </w:rPr>
              <w:t>通风橱/密闭式管道</w:t>
            </w:r>
            <w:r>
              <w:rPr>
                <w:rFonts w:hint="eastAsia"/>
                <w:color w:val="auto"/>
                <w:sz w:val="24"/>
              </w:rPr>
              <w:t>+二级活性炭吸附收集处理后，通过</w:t>
            </w:r>
            <w:r>
              <w:rPr>
                <w:rFonts w:hint="eastAsia"/>
                <w:color w:val="auto"/>
                <w:sz w:val="24"/>
                <w:lang w:eastAsia="zh-CN"/>
              </w:rPr>
              <w:t>1</w:t>
            </w:r>
            <w:r>
              <w:rPr>
                <w:rFonts w:hint="eastAsia"/>
                <w:color w:val="auto"/>
                <w:sz w:val="24"/>
                <w:lang w:val="en-US" w:eastAsia="zh-CN"/>
              </w:rPr>
              <w:t>5</w:t>
            </w:r>
            <w:r>
              <w:rPr>
                <w:rFonts w:hint="eastAsia"/>
                <w:color w:val="auto"/>
                <w:sz w:val="24"/>
                <w:lang w:eastAsia="zh-CN"/>
              </w:rPr>
              <w:t>m</w:t>
            </w:r>
            <w:r>
              <w:rPr>
                <w:rFonts w:hint="eastAsia"/>
                <w:color w:val="auto"/>
                <w:sz w:val="24"/>
              </w:rPr>
              <w:t>排气筒排放</w:t>
            </w:r>
            <w:r>
              <w:rPr>
                <w:rFonts w:hint="eastAsia"/>
                <w:color w:val="auto"/>
                <w:sz w:val="24"/>
                <w:lang w:eastAsia="zh-CN"/>
              </w:rPr>
              <w:t>。</w:t>
            </w:r>
            <w:r>
              <w:rPr>
                <w:rFonts w:hint="eastAsia"/>
                <w:color w:val="auto"/>
                <w:sz w:val="24"/>
                <w:lang w:val="en-US" w:eastAsia="zh-CN"/>
              </w:rPr>
              <w:t>通风橱收集效率按90%计</w:t>
            </w:r>
            <w:r>
              <w:rPr>
                <w:rFonts w:hint="eastAsia"/>
                <w:color w:val="auto"/>
                <w:sz w:val="24"/>
              </w:rPr>
              <w:t>，</w:t>
            </w:r>
            <w:r>
              <w:rPr>
                <w:rFonts w:hint="default" w:ascii="Times New Roman" w:hAnsi="Times New Roman" w:eastAsia="宋体" w:cs="Times New Roman"/>
                <w:color w:val="auto"/>
                <w:sz w:val="24"/>
                <w:lang w:val="en-US" w:eastAsia="zh-CN"/>
              </w:rPr>
              <w:t>密闭式管道收集效率按98%计，</w:t>
            </w:r>
            <w:r>
              <w:rPr>
                <w:rFonts w:hint="eastAsia"/>
                <w:color w:val="auto"/>
                <w:sz w:val="24"/>
              </w:rPr>
              <w:t>二级活性炭吸附效率根据《</w:t>
            </w:r>
            <w:r>
              <w:rPr>
                <w:rFonts w:ascii="宋体" w:hAnsi="宋体" w:cs="宋体"/>
                <w:color w:val="auto"/>
                <w:sz w:val="24"/>
              </w:rPr>
              <w:t>主要污染物总量减排核算技术指南</w:t>
            </w:r>
            <w:r>
              <w:rPr>
                <w:color w:val="auto"/>
                <w:sz w:val="24"/>
              </w:rPr>
              <w:t>（2022年修订）</w:t>
            </w:r>
            <w:r>
              <w:rPr>
                <w:rFonts w:hint="eastAsia"/>
                <w:color w:val="auto"/>
                <w:sz w:val="24"/>
              </w:rPr>
              <w:t>》（环办综合函（2022）350号）表2-3 VOCs废气收集率和治理设施去除率通用系数中一次活性炭吸附集中再生并活化VOCs去除效率为50%核算，本项目使用二级活性炭去除效率为75%。</w:t>
            </w:r>
            <w:r>
              <w:rPr>
                <w:rFonts w:hint="eastAsia"/>
                <w:color w:val="auto"/>
                <w:sz w:val="24"/>
                <w:szCs w:val="24"/>
                <w:lang w:val="en-US" w:eastAsia="zh-CN"/>
              </w:rPr>
              <w:t>选用的卷</w:t>
            </w:r>
            <w:r>
              <w:rPr>
                <w:rFonts w:hint="eastAsia" w:ascii="Times New Roman" w:hAnsi="Times New Roman" w:eastAsia="宋体" w:cs="Times New Roman"/>
                <w:color w:val="auto"/>
                <w:sz w:val="24"/>
                <w:szCs w:val="24"/>
                <w:lang w:val="en-US" w:eastAsia="zh-CN"/>
              </w:rPr>
              <w:t>材涂布机和</w:t>
            </w:r>
            <w:r>
              <w:rPr>
                <w:rFonts w:hint="eastAsia"/>
                <w:color w:val="auto"/>
                <w:sz w:val="24"/>
                <w:szCs w:val="24"/>
                <w:lang w:val="en-US" w:eastAsia="zh-CN"/>
              </w:rPr>
              <w:t>烘箱为一体机，膜电极生产线上涂布烘箱一体机风量为3000</w:t>
            </w:r>
            <w:r>
              <w:rPr>
                <w:bCs/>
                <w:color w:val="auto"/>
                <w:sz w:val="24"/>
                <w:szCs w:val="24"/>
              </w:rPr>
              <w:t>m</w:t>
            </w:r>
            <w:r>
              <w:rPr>
                <w:bCs/>
                <w:color w:val="auto"/>
                <w:sz w:val="24"/>
                <w:szCs w:val="24"/>
                <w:vertAlign w:val="superscript"/>
              </w:rPr>
              <w:t>3</w:t>
            </w:r>
            <w:r>
              <w:rPr>
                <w:bCs/>
                <w:color w:val="auto"/>
                <w:sz w:val="24"/>
                <w:szCs w:val="24"/>
              </w:rPr>
              <w:t>/h</w:t>
            </w:r>
            <w:r>
              <w:rPr>
                <w:rFonts w:hint="eastAsia"/>
                <w:color w:val="auto"/>
                <w:sz w:val="24"/>
                <w:szCs w:val="24"/>
                <w:lang w:val="en-US" w:eastAsia="zh-CN"/>
              </w:rPr>
              <w:t>，氢气泄漏检测胶带生产线上涂布烘箱一体机风量为1000</w:t>
            </w:r>
            <w:r>
              <w:rPr>
                <w:bCs/>
                <w:color w:val="auto"/>
                <w:sz w:val="24"/>
                <w:szCs w:val="24"/>
              </w:rPr>
              <w:t>m</w:t>
            </w:r>
            <w:r>
              <w:rPr>
                <w:bCs/>
                <w:color w:val="auto"/>
                <w:sz w:val="24"/>
                <w:szCs w:val="24"/>
                <w:vertAlign w:val="superscript"/>
              </w:rPr>
              <w:t>3</w:t>
            </w:r>
            <w:r>
              <w:rPr>
                <w:bCs/>
                <w:color w:val="auto"/>
                <w:sz w:val="24"/>
                <w:szCs w:val="24"/>
              </w:rPr>
              <w:t>/h，</w:t>
            </w:r>
            <w:r>
              <w:rPr>
                <w:rFonts w:hint="eastAsia"/>
                <w:bCs/>
                <w:color w:val="auto"/>
                <w:sz w:val="24"/>
                <w:szCs w:val="24"/>
                <w:lang w:val="en-US" w:eastAsia="zh-CN"/>
              </w:rPr>
              <w:t>通风橱通风橱宽1.5米，安全操作开启高度0.5米，设计要求面风速0.5米/秒，则所需风量为Q=V×A×3600=0.5×1.5×0.5×3600=1350</w:t>
            </w:r>
            <w:r>
              <w:rPr>
                <w:bCs/>
                <w:color w:val="auto"/>
                <w:sz w:val="24"/>
                <w:szCs w:val="24"/>
              </w:rPr>
              <w:t>m</w:t>
            </w:r>
            <w:r>
              <w:rPr>
                <w:bCs/>
                <w:color w:val="auto"/>
                <w:sz w:val="24"/>
                <w:szCs w:val="24"/>
                <w:vertAlign w:val="superscript"/>
              </w:rPr>
              <w:t>3</w:t>
            </w:r>
            <w:r>
              <w:rPr>
                <w:bCs/>
                <w:color w:val="auto"/>
                <w:sz w:val="24"/>
                <w:szCs w:val="24"/>
              </w:rPr>
              <w:t>/h</w:t>
            </w:r>
            <w:r>
              <w:rPr>
                <w:rFonts w:hint="eastAsia"/>
                <w:bCs/>
                <w:color w:val="auto"/>
                <w:sz w:val="24"/>
                <w:szCs w:val="24"/>
                <w:lang w:eastAsia="zh-CN"/>
              </w:rPr>
              <w:t>，</w:t>
            </w:r>
            <w:r>
              <w:rPr>
                <w:rFonts w:hint="eastAsia"/>
                <w:bCs/>
                <w:color w:val="auto"/>
                <w:sz w:val="24"/>
                <w:szCs w:val="24"/>
                <w:lang w:val="en-US" w:eastAsia="zh-CN"/>
              </w:rPr>
              <w:t>产生的废气经一根排气筒进行排放，则理论上</w:t>
            </w:r>
            <w:r>
              <w:rPr>
                <w:bCs/>
                <w:color w:val="auto"/>
                <w:sz w:val="24"/>
              </w:rPr>
              <w:t>风机风量为</w:t>
            </w:r>
            <w:r>
              <w:rPr>
                <w:rFonts w:hint="eastAsia"/>
                <w:bCs/>
                <w:color w:val="auto"/>
                <w:sz w:val="24"/>
                <w:lang w:val="en-US" w:eastAsia="zh-CN"/>
              </w:rPr>
              <w:t>535</w:t>
            </w:r>
            <w:r>
              <w:rPr>
                <w:bCs/>
                <w:color w:val="auto"/>
                <w:sz w:val="24"/>
              </w:rPr>
              <w:t>0m</w:t>
            </w:r>
            <w:r>
              <w:rPr>
                <w:bCs/>
                <w:color w:val="auto"/>
                <w:sz w:val="24"/>
                <w:vertAlign w:val="superscript"/>
              </w:rPr>
              <w:t>3</w:t>
            </w:r>
            <w:r>
              <w:rPr>
                <w:bCs/>
                <w:color w:val="auto"/>
                <w:sz w:val="24"/>
              </w:rPr>
              <w:t>/h</w:t>
            </w:r>
            <w:r>
              <w:rPr>
                <w:bCs/>
                <w:color w:val="auto"/>
                <w:sz w:val="24"/>
                <w:szCs w:val="24"/>
              </w:rPr>
              <w:t>，</w:t>
            </w:r>
            <w:r>
              <w:rPr>
                <w:rFonts w:hint="eastAsia"/>
                <w:color w:val="auto"/>
                <w:sz w:val="24"/>
                <w:szCs w:val="24"/>
                <w:highlight w:val="none"/>
              </w:rPr>
              <w:t>考虑到管道风量漏风，设计风量取计算风量的1.2倍，则</w:t>
            </w:r>
            <w:r>
              <w:rPr>
                <w:rFonts w:hint="eastAsia"/>
                <w:color w:val="auto"/>
                <w:sz w:val="24"/>
                <w:szCs w:val="24"/>
                <w:highlight w:val="none"/>
                <w:lang w:val="en-US" w:eastAsia="zh-CN"/>
              </w:rPr>
              <w:t>设计</w:t>
            </w:r>
            <w:r>
              <w:rPr>
                <w:rFonts w:hint="eastAsia"/>
                <w:color w:val="auto"/>
                <w:sz w:val="24"/>
                <w:szCs w:val="24"/>
                <w:highlight w:val="none"/>
              </w:rPr>
              <w:t>风量为</w:t>
            </w:r>
            <w:r>
              <w:rPr>
                <w:rFonts w:hint="eastAsia"/>
                <w:color w:val="auto"/>
                <w:sz w:val="24"/>
                <w:szCs w:val="24"/>
                <w:highlight w:val="none"/>
                <w:lang w:val="en-US" w:eastAsia="zh-CN"/>
              </w:rPr>
              <w:t>6420</w:t>
            </w:r>
            <w:r>
              <w:rPr>
                <w:rFonts w:hint="eastAsia"/>
                <w:color w:val="auto"/>
                <w:sz w:val="24"/>
                <w:szCs w:val="24"/>
                <w:highlight w:val="none"/>
              </w:rPr>
              <w:t>m</w:t>
            </w:r>
            <w:r>
              <w:rPr>
                <w:rFonts w:hint="eastAsia"/>
                <w:color w:val="auto"/>
                <w:sz w:val="24"/>
                <w:szCs w:val="24"/>
                <w:highlight w:val="none"/>
                <w:vertAlign w:val="superscript"/>
              </w:rPr>
              <w:t>3</w:t>
            </w:r>
            <w:r>
              <w:rPr>
                <w:rFonts w:hint="eastAsia"/>
                <w:color w:val="auto"/>
                <w:sz w:val="24"/>
                <w:szCs w:val="24"/>
                <w:highlight w:val="none"/>
              </w:rPr>
              <w:t>/h，取整为</w:t>
            </w:r>
            <w:r>
              <w:rPr>
                <w:rFonts w:hint="eastAsia"/>
                <w:color w:val="auto"/>
                <w:sz w:val="24"/>
                <w:szCs w:val="24"/>
                <w:highlight w:val="none"/>
                <w:lang w:val="en-US" w:eastAsia="zh-CN"/>
              </w:rPr>
              <w:t>6500</w:t>
            </w:r>
            <w:r>
              <w:rPr>
                <w:rFonts w:hint="eastAsia"/>
                <w:color w:val="auto"/>
                <w:sz w:val="24"/>
                <w:szCs w:val="24"/>
                <w:highlight w:val="none"/>
              </w:rPr>
              <w:t>m</w:t>
            </w:r>
            <w:r>
              <w:rPr>
                <w:rFonts w:hint="eastAsia"/>
                <w:color w:val="auto"/>
                <w:sz w:val="24"/>
                <w:szCs w:val="24"/>
                <w:highlight w:val="none"/>
                <w:vertAlign w:val="superscript"/>
              </w:rPr>
              <w:t>3</w:t>
            </w:r>
            <w:r>
              <w:rPr>
                <w:rFonts w:hint="eastAsia"/>
                <w:color w:val="auto"/>
                <w:sz w:val="24"/>
                <w:szCs w:val="24"/>
                <w:highlight w:val="none"/>
              </w:rPr>
              <w:t>/h。</w:t>
            </w:r>
            <w:r>
              <w:rPr>
                <w:bCs/>
                <w:color w:val="auto"/>
                <w:sz w:val="24"/>
                <w:highlight w:val="none"/>
              </w:rPr>
              <w:t>年工作</w:t>
            </w:r>
            <w:r>
              <w:rPr>
                <w:rFonts w:hint="eastAsia"/>
                <w:bCs/>
                <w:color w:val="auto"/>
                <w:sz w:val="24"/>
                <w:highlight w:val="none"/>
                <w:lang w:val="en-US" w:eastAsia="zh-CN"/>
              </w:rPr>
              <w:t>2000</w:t>
            </w:r>
            <w:r>
              <w:rPr>
                <w:bCs/>
                <w:color w:val="auto"/>
                <w:sz w:val="24"/>
                <w:highlight w:val="none"/>
              </w:rPr>
              <w:t>h</w:t>
            </w:r>
            <w:r>
              <w:rPr>
                <w:rFonts w:hint="eastAsia"/>
                <w:bCs/>
                <w:color w:val="auto"/>
                <w:sz w:val="24"/>
              </w:rPr>
              <w:t>，具体产污环节、废气产生和排放量见下表所示</w:t>
            </w:r>
            <w:r>
              <w:rPr>
                <w:bCs/>
                <w:color w:val="auto"/>
                <w:sz w:val="24"/>
              </w:rPr>
              <w:t>。</w:t>
            </w:r>
          </w:p>
          <w:p w14:paraId="736104A0">
            <w:pPr>
              <w:tabs>
                <w:tab w:val="left" w:pos="2539"/>
              </w:tabs>
              <w:adjustRightInd w:val="0"/>
              <w:snapToGrid w:val="0"/>
              <w:jc w:val="center"/>
              <w:rPr>
                <w:b/>
                <w:color w:val="auto"/>
                <w:sz w:val="24"/>
              </w:rPr>
            </w:pPr>
            <w:r>
              <w:rPr>
                <w:rFonts w:hint="eastAsia"/>
                <w:b/>
                <w:color w:val="auto"/>
                <w:sz w:val="24"/>
              </w:rPr>
              <w:t xml:space="preserve">表4-2   </w:t>
            </w:r>
            <w:r>
              <w:rPr>
                <w:rFonts w:hint="eastAsia"/>
                <w:b/>
                <w:color w:val="auto"/>
                <w:sz w:val="24"/>
                <w:lang w:val="en-US" w:eastAsia="zh-CN"/>
              </w:rPr>
              <w:t>项目</w:t>
            </w:r>
            <w:r>
              <w:rPr>
                <w:rFonts w:hint="eastAsia"/>
                <w:b/>
                <w:color w:val="auto"/>
                <w:sz w:val="24"/>
              </w:rPr>
              <w:t>废气产生及排放结果汇总表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71"/>
              <w:gridCol w:w="1320"/>
              <w:gridCol w:w="427"/>
              <w:gridCol w:w="899"/>
              <w:gridCol w:w="931"/>
              <w:gridCol w:w="799"/>
              <w:gridCol w:w="899"/>
              <w:gridCol w:w="931"/>
              <w:gridCol w:w="799"/>
            </w:tblGrid>
            <w:tr w14:paraId="2A0276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8" w:type="pct"/>
                  <w:vMerge w:val="restart"/>
                  <w:tcBorders>
                    <w:tl2br w:val="nil"/>
                    <w:tr2bl w:val="nil"/>
                  </w:tcBorders>
                  <w:noWrap w:val="0"/>
                  <w:vAlign w:val="center"/>
                </w:tcPr>
                <w:p w14:paraId="1AB29F8F">
                  <w:pPr>
                    <w:adjustRightInd w:val="0"/>
                    <w:snapToGrid w:val="0"/>
                    <w:jc w:val="center"/>
                    <w:rPr>
                      <w:b/>
                      <w:bCs/>
                      <w:color w:val="auto"/>
                    </w:rPr>
                  </w:pPr>
                  <w:r>
                    <w:rPr>
                      <w:b/>
                      <w:bCs/>
                      <w:color w:val="auto"/>
                    </w:rPr>
                    <w:t>产污环节</w:t>
                  </w:r>
                </w:p>
              </w:tc>
              <w:tc>
                <w:tcPr>
                  <w:tcW w:w="779" w:type="pct"/>
                  <w:vMerge w:val="restart"/>
                  <w:tcBorders>
                    <w:tl2br w:val="nil"/>
                    <w:tr2bl w:val="nil"/>
                  </w:tcBorders>
                  <w:noWrap w:val="0"/>
                  <w:vAlign w:val="center"/>
                </w:tcPr>
                <w:p w14:paraId="6DFD525C">
                  <w:pPr>
                    <w:adjustRightInd w:val="0"/>
                    <w:snapToGrid w:val="0"/>
                    <w:jc w:val="center"/>
                    <w:rPr>
                      <w:b/>
                      <w:bCs/>
                      <w:color w:val="auto"/>
                    </w:rPr>
                  </w:pPr>
                  <w:r>
                    <w:rPr>
                      <w:b/>
                      <w:bCs/>
                      <w:color w:val="auto"/>
                    </w:rPr>
                    <w:t>污染物种类</w:t>
                  </w:r>
                </w:p>
              </w:tc>
              <w:tc>
                <w:tcPr>
                  <w:tcW w:w="251" w:type="pct"/>
                  <w:vMerge w:val="restart"/>
                  <w:tcBorders>
                    <w:tl2br w:val="nil"/>
                    <w:tr2bl w:val="nil"/>
                  </w:tcBorders>
                  <w:noWrap w:val="0"/>
                  <w:vAlign w:val="center"/>
                </w:tcPr>
                <w:p w14:paraId="420B89F2">
                  <w:pPr>
                    <w:adjustRightInd w:val="0"/>
                    <w:snapToGrid w:val="0"/>
                    <w:jc w:val="center"/>
                    <w:rPr>
                      <w:rFonts w:hint="eastAsia" w:eastAsia="宋体"/>
                      <w:b/>
                      <w:bCs/>
                      <w:color w:val="auto"/>
                      <w:lang w:val="en-US" w:eastAsia="zh-CN"/>
                    </w:rPr>
                  </w:pPr>
                  <w:r>
                    <w:rPr>
                      <w:rFonts w:hint="eastAsia"/>
                      <w:b/>
                      <w:bCs/>
                      <w:color w:val="auto"/>
                      <w:lang w:val="en-US" w:eastAsia="zh-CN"/>
                    </w:rPr>
                    <w:t>排放方式</w:t>
                  </w:r>
                </w:p>
              </w:tc>
              <w:tc>
                <w:tcPr>
                  <w:tcW w:w="1550" w:type="pct"/>
                  <w:gridSpan w:val="3"/>
                  <w:tcBorders>
                    <w:tl2br w:val="nil"/>
                    <w:tr2bl w:val="nil"/>
                  </w:tcBorders>
                  <w:noWrap w:val="0"/>
                  <w:vAlign w:val="center"/>
                </w:tcPr>
                <w:p w14:paraId="4D31C378">
                  <w:pPr>
                    <w:adjustRightInd w:val="0"/>
                    <w:snapToGrid w:val="0"/>
                    <w:jc w:val="center"/>
                    <w:rPr>
                      <w:b/>
                      <w:bCs/>
                      <w:color w:val="auto"/>
                    </w:rPr>
                  </w:pPr>
                  <w:r>
                    <w:rPr>
                      <w:b/>
                      <w:bCs/>
                      <w:color w:val="auto"/>
                    </w:rPr>
                    <w:t>污染物产生</w:t>
                  </w:r>
                </w:p>
              </w:tc>
              <w:tc>
                <w:tcPr>
                  <w:tcW w:w="1550" w:type="pct"/>
                  <w:gridSpan w:val="3"/>
                  <w:tcBorders>
                    <w:tl2br w:val="nil"/>
                    <w:tr2bl w:val="nil"/>
                  </w:tcBorders>
                  <w:noWrap w:val="0"/>
                  <w:vAlign w:val="center"/>
                </w:tcPr>
                <w:p w14:paraId="0D97114E">
                  <w:pPr>
                    <w:adjustRightInd w:val="0"/>
                    <w:snapToGrid w:val="0"/>
                    <w:jc w:val="center"/>
                    <w:rPr>
                      <w:b/>
                      <w:bCs/>
                      <w:color w:val="auto"/>
                    </w:rPr>
                  </w:pPr>
                  <w:r>
                    <w:rPr>
                      <w:b/>
                      <w:bCs/>
                      <w:color w:val="auto"/>
                    </w:rPr>
                    <w:t>污染物排放</w:t>
                  </w:r>
                </w:p>
              </w:tc>
            </w:tr>
            <w:tr w14:paraId="03ACF9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8" w:type="pct"/>
                  <w:vMerge w:val="continue"/>
                  <w:tcBorders>
                    <w:tl2br w:val="nil"/>
                    <w:tr2bl w:val="nil"/>
                  </w:tcBorders>
                  <w:noWrap w:val="0"/>
                  <w:vAlign w:val="center"/>
                </w:tcPr>
                <w:p w14:paraId="21786AA8">
                  <w:pPr>
                    <w:adjustRightInd w:val="0"/>
                    <w:snapToGrid w:val="0"/>
                    <w:jc w:val="center"/>
                    <w:rPr>
                      <w:b/>
                      <w:bCs/>
                      <w:color w:val="auto"/>
                    </w:rPr>
                  </w:pPr>
                </w:p>
              </w:tc>
              <w:tc>
                <w:tcPr>
                  <w:tcW w:w="779" w:type="pct"/>
                  <w:vMerge w:val="continue"/>
                  <w:tcBorders>
                    <w:tl2br w:val="nil"/>
                    <w:tr2bl w:val="nil"/>
                  </w:tcBorders>
                  <w:noWrap w:val="0"/>
                  <w:vAlign w:val="center"/>
                </w:tcPr>
                <w:p w14:paraId="36D09444">
                  <w:pPr>
                    <w:adjustRightInd w:val="0"/>
                    <w:snapToGrid w:val="0"/>
                    <w:jc w:val="center"/>
                    <w:rPr>
                      <w:b/>
                      <w:bCs/>
                      <w:color w:val="auto"/>
                    </w:rPr>
                  </w:pPr>
                </w:p>
              </w:tc>
              <w:tc>
                <w:tcPr>
                  <w:tcW w:w="251" w:type="pct"/>
                  <w:vMerge w:val="continue"/>
                  <w:tcBorders>
                    <w:tl2br w:val="nil"/>
                    <w:tr2bl w:val="nil"/>
                  </w:tcBorders>
                  <w:noWrap w:val="0"/>
                  <w:vAlign w:val="center"/>
                </w:tcPr>
                <w:p w14:paraId="2A5AB835">
                  <w:pPr>
                    <w:adjustRightInd w:val="0"/>
                    <w:snapToGrid w:val="0"/>
                    <w:jc w:val="center"/>
                    <w:rPr>
                      <w:b/>
                      <w:bCs/>
                      <w:color w:val="auto"/>
                    </w:rPr>
                  </w:pPr>
                </w:p>
              </w:tc>
              <w:tc>
                <w:tcPr>
                  <w:tcW w:w="530" w:type="pct"/>
                  <w:tcBorders>
                    <w:tl2br w:val="nil"/>
                    <w:tr2bl w:val="nil"/>
                  </w:tcBorders>
                  <w:noWrap w:val="0"/>
                  <w:vAlign w:val="center"/>
                </w:tcPr>
                <w:p w14:paraId="5C18E770">
                  <w:pPr>
                    <w:pStyle w:val="70"/>
                    <w:adjustRightInd w:val="0"/>
                    <w:snapToGrid w:val="0"/>
                    <w:spacing w:line="240" w:lineRule="auto"/>
                    <w:ind w:firstLine="0"/>
                    <w:jc w:val="center"/>
                    <w:rPr>
                      <w:b/>
                      <w:bCs/>
                      <w:color w:val="auto"/>
                      <w:szCs w:val="21"/>
                    </w:rPr>
                  </w:pPr>
                  <w:r>
                    <w:rPr>
                      <w:b/>
                      <w:bCs/>
                      <w:color w:val="auto"/>
                      <w:szCs w:val="21"/>
                    </w:rPr>
                    <w:t>产生量t/a</w:t>
                  </w:r>
                </w:p>
              </w:tc>
              <w:tc>
                <w:tcPr>
                  <w:tcW w:w="549" w:type="pct"/>
                  <w:tcBorders>
                    <w:tl2br w:val="nil"/>
                    <w:tr2bl w:val="nil"/>
                  </w:tcBorders>
                  <w:noWrap w:val="0"/>
                  <w:vAlign w:val="center"/>
                </w:tcPr>
                <w:p w14:paraId="06E0C664">
                  <w:pPr>
                    <w:pStyle w:val="70"/>
                    <w:adjustRightInd w:val="0"/>
                    <w:snapToGrid w:val="0"/>
                    <w:spacing w:line="240" w:lineRule="auto"/>
                    <w:ind w:firstLine="0"/>
                    <w:jc w:val="center"/>
                    <w:rPr>
                      <w:b/>
                      <w:bCs/>
                      <w:color w:val="auto"/>
                      <w:szCs w:val="21"/>
                    </w:rPr>
                  </w:pPr>
                  <w:r>
                    <w:rPr>
                      <w:rFonts w:hint="eastAsia"/>
                      <w:b/>
                      <w:bCs/>
                      <w:color w:val="auto"/>
                      <w:szCs w:val="21"/>
                    </w:rPr>
                    <w:t>产生</w:t>
                  </w:r>
                  <w:r>
                    <w:rPr>
                      <w:b/>
                      <w:bCs/>
                      <w:color w:val="auto"/>
                      <w:szCs w:val="21"/>
                    </w:rPr>
                    <w:t>速率kg/h</w:t>
                  </w:r>
                </w:p>
              </w:tc>
              <w:tc>
                <w:tcPr>
                  <w:tcW w:w="470" w:type="pct"/>
                  <w:tcBorders>
                    <w:tl2br w:val="nil"/>
                    <w:tr2bl w:val="nil"/>
                  </w:tcBorders>
                  <w:noWrap w:val="0"/>
                  <w:vAlign w:val="center"/>
                </w:tcPr>
                <w:p w14:paraId="7FAFB1B7">
                  <w:pPr>
                    <w:pStyle w:val="70"/>
                    <w:adjustRightInd w:val="0"/>
                    <w:snapToGrid w:val="0"/>
                    <w:spacing w:line="240" w:lineRule="auto"/>
                    <w:ind w:firstLine="0"/>
                    <w:jc w:val="center"/>
                    <w:rPr>
                      <w:b/>
                      <w:bCs/>
                      <w:color w:val="auto"/>
                      <w:szCs w:val="21"/>
                    </w:rPr>
                  </w:pPr>
                  <w:r>
                    <w:rPr>
                      <w:b/>
                      <w:bCs/>
                      <w:color w:val="auto"/>
                      <w:szCs w:val="21"/>
                    </w:rPr>
                    <w:t>产生</w:t>
                  </w:r>
                </w:p>
                <w:p w14:paraId="67D5E7E4">
                  <w:pPr>
                    <w:pStyle w:val="70"/>
                    <w:adjustRightInd w:val="0"/>
                    <w:snapToGrid w:val="0"/>
                    <w:spacing w:line="240" w:lineRule="auto"/>
                    <w:ind w:firstLine="0"/>
                    <w:jc w:val="center"/>
                    <w:rPr>
                      <w:b/>
                      <w:bCs/>
                      <w:color w:val="auto"/>
                      <w:szCs w:val="21"/>
                    </w:rPr>
                  </w:pPr>
                  <w:r>
                    <w:rPr>
                      <w:b/>
                      <w:bCs/>
                      <w:color w:val="auto"/>
                      <w:szCs w:val="21"/>
                    </w:rPr>
                    <w:t>浓度mg/m</w:t>
                  </w:r>
                  <w:r>
                    <w:rPr>
                      <w:b/>
                      <w:bCs/>
                      <w:color w:val="auto"/>
                      <w:szCs w:val="21"/>
                      <w:vertAlign w:val="superscript"/>
                    </w:rPr>
                    <w:t>3</w:t>
                  </w:r>
                </w:p>
              </w:tc>
              <w:tc>
                <w:tcPr>
                  <w:tcW w:w="530" w:type="pct"/>
                  <w:tcBorders>
                    <w:tl2br w:val="nil"/>
                    <w:tr2bl w:val="nil"/>
                  </w:tcBorders>
                  <w:noWrap w:val="0"/>
                  <w:vAlign w:val="center"/>
                </w:tcPr>
                <w:p w14:paraId="4E8AA285">
                  <w:pPr>
                    <w:pStyle w:val="70"/>
                    <w:adjustRightInd w:val="0"/>
                    <w:snapToGrid w:val="0"/>
                    <w:spacing w:line="240" w:lineRule="auto"/>
                    <w:ind w:firstLine="0"/>
                    <w:jc w:val="center"/>
                    <w:rPr>
                      <w:b/>
                      <w:bCs/>
                      <w:color w:val="auto"/>
                      <w:szCs w:val="21"/>
                    </w:rPr>
                  </w:pPr>
                  <w:r>
                    <w:rPr>
                      <w:b/>
                      <w:bCs/>
                      <w:color w:val="auto"/>
                      <w:szCs w:val="21"/>
                    </w:rPr>
                    <w:t>排放量t/a</w:t>
                  </w:r>
                </w:p>
              </w:tc>
              <w:tc>
                <w:tcPr>
                  <w:tcW w:w="549" w:type="pct"/>
                  <w:tcBorders>
                    <w:tl2br w:val="nil"/>
                    <w:tr2bl w:val="nil"/>
                  </w:tcBorders>
                  <w:noWrap w:val="0"/>
                  <w:vAlign w:val="center"/>
                </w:tcPr>
                <w:p w14:paraId="604C1EAF">
                  <w:pPr>
                    <w:pStyle w:val="70"/>
                    <w:adjustRightInd w:val="0"/>
                    <w:snapToGrid w:val="0"/>
                    <w:spacing w:line="240" w:lineRule="auto"/>
                    <w:ind w:firstLine="0"/>
                    <w:jc w:val="center"/>
                    <w:rPr>
                      <w:b/>
                      <w:bCs/>
                      <w:color w:val="auto"/>
                      <w:szCs w:val="21"/>
                    </w:rPr>
                  </w:pPr>
                  <w:r>
                    <w:rPr>
                      <w:rFonts w:hint="eastAsia"/>
                      <w:b/>
                      <w:bCs/>
                      <w:color w:val="auto"/>
                      <w:szCs w:val="21"/>
                    </w:rPr>
                    <w:t>排放</w:t>
                  </w:r>
                  <w:r>
                    <w:rPr>
                      <w:b/>
                      <w:bCs/>
                      <w:color w:val="auto"/>
                      <w:szCs w:val="21"/>
                    </w:rPr>
                    <w:t>速率kg/h</w:t>
                  </w:r>
                </w:p>
              </w:tc>
              <w:tc>
                <w:tcPr>
                  <w:tcW w:w="471" w:type="pct"/>
                  <w:tcBorders>
                    <w:tl2br w:val="nil"/>
                    <w:tr2bl w:val="nil"/>
                  </w:tcBorders>
                  <w:noWrap w:val="0"/>
                  <w:vAlign w:val="center"/>
                </w:tcPr>
                <w:p w14:paraId="3DC58671">
                  <w:pPr>
                    <w:pStyle w:val="70"/>
                    <w:adjustRightInd w:val="0"/>
                    <w:snapToGrid w:val="0"/>
                    <w:spacing w:line="240" w:lineRule="auto"/>
                    <w:ind w:firstLine="0"/>
                    <w:jc w:val="center"/>
                    <w:rPr>
                      <w:b/>
                      <w:bCs/>
                      <w:color w:val="auto"/>
                      <w:szCs w:val="21"/>
                    </w:rPr>
                  </w:pPr>
                  <w:r>
                    <w:rPr>
                      <w:b/>
                      <w:bCs/>
                      <w:color w:val="auto"/>
                      <w:szCs w:val="21"/>
                    </w:rPr>
                    <w:t>排放</w:t>
                  </w:r>
                </w:p>
                <w:p w14:paraId="340F6F53">
                  <w:pPr>
                    <w:pStyle w:val="70"/>
                    <w:adjustRightInd w:val="0"/>
                    <w:snapToGrid w:val="0"/>
                    <w:spacing w:line="240" w:lineRule="auto"/>
                    <w:ind w:firstLine="0"/>
                    <w:jc w:val="center"/>
                    <w:rPr>
                      <w:b/>
                      <w:bCs/>
                      <w:color w:val="auto"/>
                      <w:szCs w:val="21"/>
                    </w:rPr>
                  </w:pPr>
                  <w:r>
                    <w:rPr>
                      <w:b/>
                      <w:bCs/>
                      <w:color w:val="auto"/>
                      <w:szCs w:val="21"/>
                    </w:rPr>
                    <w:t>浓度mg/m</w:t>
                  </w:r>
                  <w:r>
                    <w:rPr>
                      <w:b/>
                      <w:bCs/>
                      <w:color w:val="auto"/>
                      <w:szCs w:val="21"/>
                      <w:vertAlign w:val="superscript"/>
                    </w:rPr>
                    <w:t>3</w:t>
                  </w:r>
                </w:p>
              </w:tc>
            </w:tr>
            <w:tr w14:paraId="6D16DE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8" w:type="pct"/>
                  <w:tcBorders>
                    <w:tl2br w:val="nil"/>
                    <w:tr2bl w:val="nil"/>
                  </w:tcBorders>
                  <w:noWrap w:val="0"/>
                  <w:vAlign w:val="center"/>
                </w:tcPr>
                <w:p w14:paraId="0F3576C9">
                  <w:pPr>
                    <w:adjustRightInd w:val="0"/>
                    <w:snapToGrid w:val="0"/>
                    <w:jc w:val="center"/>
                    <w:rPr>
                      <w:color w:val="auto"/>
                    </w:rPr>
                  </w:pPr>
                  <w:r>
                    <w:rPr>
                      <w:rFonts w:hint="default"/>
                      <w:color w:val="auto"/>
                      <w:lang w:val="en-US" w:eastAsia="zh-CN"/>
                    </w:rPr>
                    <w:t>催化浆料配制工序</w:t>
                  </w:r>
                </w:p>
              </w:tc>
              <w:tc>
                <w:tcPr>
                  <w:tcW w:w="779" w:type="pct"/>
                  <w:tcBorders>
                    <w:tl2br w:val="nil"/>
                    <w:tr2bl w:val="nil"/>
                  </w:tcBorders>
                  <w:noWrap w:val="0"/>
                  <w:vAlign w:val="center"/>
                </w:tcPr>
                <w:p w14:paraId="4ADCEF7B">
                  <w:pPr>
                    <w:adjustRightInd w:val="0"/>
                    <w:snapToGrid w:val="0"/>
                    <w:jc w:val="center"/>
                    <w:rPr>
                      <w:color w:val="auto"/>
                    </w:rPr>
                  </w:pPr>
                  <w:r>
                    <w:rPr>
                      <w:rFonts w:hint="eastAsia"/>
                      <w:color w:val="auto"/>
                    </w:rPr>
                    <w:t>非甲烷总烃</w:t>
                  </w:r>
                </w:p>
              </w:tc>
              <w:tc>
                <w:tcPr>
                  <w:tcW w:w="251" w:type="pct"/>
                  <w:vMerge w:val="restart"/>
                  <w:tcBorders>
                    <w:tl2br w:val="nil"/>
                    <w:tr2bl w:val="nil"/>
                  </w:tcBorders>
                  <w:noWrap w:val="0"/>
                  <w:vAlign w:val="center"/>
                </w:tcPr>
                <w:p w14:paraId="28F83495">
                  <w:pPr>
                    <w:adjustRightInd w:val="0"/>
                    <w:snapToGrid w:val="0"/>
                    <w:jc w:val="center"/>
                    <w:rPr>
                      <w:rFonts w:hint="eastAsia" w:eastAsia="宋体"/>
                      <w:color w:val="auto"/>
                      <w:lang w:val="en-US" w:eastAsia="zh-CN"/>
                    </w:rPr>
                  </w:pPr>
                  <w:r>
                    <w:rPr>
                      <w:rFonts w:hint="eastAsia"/>
                      <w:color w:val="auto"/>
                      <w:lang w:val="en-US" w:eastAsia="zh-CN"/>
                    </w:rPr>
                    <w:t>有组织</w:t>
                  </w:r>
                </w:p>
              </w:tc>
              <w:tc>
                <w:tcPr>
                  <w:tcW w:w="530" w:type="pct"/>
                  <w:tcBorders>
                    <w:tl2br w:val="nil"/>
                    <w:tr2bl w:val="nil"/>
                  </w:tcBorders>
                  <w:noWrap w:val="0"/>
                  <w:vAlign w:val="center"/>
                </w:tcPr>
                <w:p w14:paraId="454819F3">
                  <w:pPr>
                    <w:adjustRightInd w:val="0"/>
                    <w:snapToGrid w:val="0"/>
                    <w:jc w:val="center"/>
                    <w:rPr>
                      <w:rFonts w:hint="default" w:eastAsia="宋体"/>
                      <w:color w:val="auto"/>
                      <w:lang w:val="en-US" w:eastAsia="zh-CN"/>
                    </w:rPr>
                  </w:pPr>
                  <w:r>
                    <w:rPr>
                      <w:rFonts w:hint="eastAsia"/>
                      <w:color w:val="auto"/>
                      <w:lang w:val="en-US" w:eastAsia="zh-CN"/>
                    </w:rPr>
                    <w:t>0.002</w:t>
                  </w:r>
                </w:p>
              </w:tc>
              <w:tc>
                <w:tcPr>
                  <w:tcW w:w="549" w:type="pct"/>
                  <w:vMerge w:val="restart"/>
                  <w:tcBorders>
                    <w:tl2br w:val="nil"/>
                    <w:tr2bl w:val="nil"/>
                  </w:tcBorders>
                  <w:noWrap w:val="0"/>
                  <w:vAlign w:val="center"/>
                </w:tcPr>
                <w:p w14:paraId="056575E6">
                  <w:pPr>
                    <w:adjustRightInd w:val="0"/>
                    <w:snapToGrid w:val="0"/>
                    <w:jc w:val="center"/>
                    <w:rPr>
                      <w:rFonts w:hint="default" w:eastAsia="宋体"/>
                      <w:color w:val="auto"/>
                      <w:lang w:val="en-US" w:eastAsia="zh-CN"/>
                    </w:rPr>
                  </w:pPr>
                  <w:r>
                    <w:rPr>
                      <w:rFonts w:hint="eastAsia"/>
                      <w:color w:val="auto"/>
                      <w:lang w:val="en-US" w:eastAsia="zh-CN"/>
                    </w:rPr>
                    <w:t>0.216</w:t>
                  </w:r>
                </w:p>
              </w:tc>
              <w:tc>
                <w:tcPr>
                  <w:tcW w:w="470" w:type="pct"/>
                  <w:vMerge w:val="restart"/>
                  <w:tcBorders>
                    <w:tl2br w:val="nil"/>
                    <w:tr2bl w:val="nil"/>
                  </w:tcBorders>
                  <w:noWrap w:val="0"/>
                  <w:vAlign w:val="center"/>
                </w:tcPr>
                <w:p w14:paraId="29B06FFD">
                  <w:pPr>
                    <w:adjustRightInd w:val="0"/>
                    <w:snapToGrid w:val="0"/>
                    <w:jc w:val="center"/>
                    <w:rPr>
                      <w:rFonts w:hint="default" w:eastAsia="宋体"/>
                      <w:color w:val="auto"/>
                      <w:lang w:val="en-US" w:eastAsia="zh-CN"/>
                    </w:rPr>
                  </w:pPr>
                  <w:r>
                    <w:rPr>
                      <w:rFonts w:hint="eastAsia"/>
                      <w:color w:val="auto"/>
                      <w:lang w:val="en-US" w:eastAsia="zh-CN"/>
                    </w:rPr>
                    <w:t>33.23</w:t>
                  </w:r>
                </w:p>
              </w:tc>
              <w:tc>
                <w:tcPr>
                  <w:tcW w:w="530" w:type="pct"/>
                  <w:vMerge w:val="restart"/>
                  <w:tcBorders>
                    <w:tl2br w:val="nil"/>
                    <w:tr2bl w:val="nil"/>
                  </w:tcBorders>
                  <w:noWrap w:val="0"/>
                  <w:vAlign w:val="center"/>
                </w:tcPr>
                <w:p w14:paraId="1C26E6D5">
                  <w:pPr>
                    <w:adjustRightInd w:val="0"/>
                    <w:snapToGrid w:val="0"/>
                    <w:jc w:val="center"/>
                    <w:rPr>
                      <w:rFonts w:hint="default" w:eastAsia="宋体"/>
                      <w:color w:val="auto"/>
                      <w:lang w:val="en-US" w:eastAsia="zh-CN"/>
                    </w:rPr>
                  </w:pPr>
                  <w:r>
                    <w:rPr>
                      <w:rFonts w:hint="eastAsia"/>
                      <w:color w:val="auto"/>
                      <w:lang w:val="en-US" w:eastAsia="zh-CN"/>
                    </w:rPr>
                    <w:t>0.108</w:t>
                  </w:r>
                </w:p>
              </w:tc>
              <w:tc>
                <w:tcPr>
                  <w:tcW w:w="549" w:type="pct"/>
                  <w:vMerge w:val="restart"/>
                  <w:tcBorders>
                    <w:tl2br w:val="nil"/>
                    <w:tr2bl w:val="nil"/>
                  </w:tcBorders>
                  <w:noWrap w:val="0"/>
                  <w:vAlign w:val="center"/>
                </w:tcPr>
                <w:p w14:paraId="2FC23776">
                  <w:pPr>
                    <w:adjustRightInd w:val="0"/>
                    <w:snapToGrid w:val="0"/>
                    <w:jc w:val="center"/>
                    <w:rPr>
                      <w:rFonts w:hint="default" w:eastAsia="宋体"/>
                      <w:color w:val="auto"/>
                      <w:lang w:val="en-US" w:eastAsia="zh-CN"/>
                    </w:rPr>
                  </w:pPr>
                  <w:r>
                    <w:rPr>
                      <w:rFonts w:hint="eastAsia"/>
                      <w:color w:val="auto"/>
                      <w:lang w:val="en-US" w:eastAsia="zh-CN"/>
                    </w:rPr>
                    <w:t>0.054</w:t>
                  </w:r>
                </w:p>
              </w:tc>
              <w:tc>
                <w:tcPr>
                  <w:tcW w:w="471" w:type="pct"/>
                  <w:vMerge w:val="restart"/>
                  <w:tcBorders>
                    <w:tl2br w:val="nil"/>
                    <w:tr2bl w:val="nil"/>
                  </w:tcBorders>
                  <w:noWrap w:val="0"/>
                  <w:vAlign w:val="center"/>
                </w:tcPr>
                <w:p w14:paraId="4D709A97">
                  <w:pPr>
                    <w:adjustRightInd w:val="0"/>
                    <w:snapToGrid w:val="0"/>
                    <w:jc w:val="center"/>
                    <w:rPr>
                      <w:rFonts w:hint="default" w:eastAsia="宋体"/>
                      <w:color w:val="auto"/>
                      <w:lang w:val="en-US" w:eastAsia="zh-CN"/>
                    </w:rPr>
                  </w:pPr>
                  <w:r>
                    <w:rPr>
                      <w:rFonts w:hint="eastAsia"/>
                      <w:color w:val="auto"/>
                      <w:lang w:val="en-US" w:eastAsia="zh-CN"/>
                    </w:rPr>
                    <w:t>8.31</w:t>
                  </w:r>
                </w:p>
              </w:tc>
            </w:tr>
            <w:tr w14:paraId="5FE062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8" w:type="pct"/>
                  <w:tcBorders>
                    <w:tl2br w:val="nil"/>
                    <w:tr2bl w:val="nil"/>
                  </w:tcBorders>
                  <w:noWrap w:val="0"/>
                  <w:vAlign w:val="center"/>
                </w:tcPr>
                <w:p w14:paraId="30CBF167">
                  <w:pPr>
                    <w:adjustRightInd w:val="0"/>
                    <w:snapToGrid w:val="0"/>
                    <w:jc w:val="center"/>
                    <w:rPr>
                      <w:color w:val="auto"/>
                    </w:rPr>
                  </w:pPr>
                  <w:r>
                    <w:rPr>
                      <w:rFonts w:hint="eastAsia"/>
                      <w:color w:val="auto"/>
                      <w:lang w:val="en-US" w:eastAsia="zh-CN"/>
                    </w:rPr>
                    <w:t>催化剂涂覆膜制备工序</w:t>
                  </w:r>
                </w:p>
              </w:tc>
              <w:tc>
                <w:tcPr>
                  <w:tcW w:w="779" w:type="pct"/>
                  <w:tcBorders>
                    <w:tl2br w:val="nil"/>
                    <w:tr2bl w:val="nil"/>
                  </w:tcBorders>
                  <w:noWrap w:val="0"/>
                  <w:vAlign w:val="center"/>
                </w:tcPr>
                <w:p w14:paraId="11586B59">
                  <w:pPr>
                    <w:adjustRightInd w:val="0"/>
                    <w:snapToGrid w:val="0"/>
                    <w:jc w:val="center"/>
                    <w:rPr>
                      <w:color w:val="auto"/>
                    </w:rPr>
                  </w:pPr>
                  <w:r>
                    <w:rPr>
                      <w:rFonts w:hint="eastAsia"/>
                      <w:color w:val="auto"/>
                    </w:rPr>
                    <w:t>非甲烷总烃</w:t>
                  </w:r>
                </w:p>
              </w:tc>
              <w:tc>
                <w:tcPr>
                  <w:tcW w:w="251" w:type="pct"/>
                  <w:vMerge w:val="continue"/>
                  <w:tcBorders>
                    <w:tl2br w:val="nil"/>
                    <w:tr2bl w:val="nil"/>
                  </w:tcBorders>
                  <w:noWrap w:val="0"/>
                  <w:vAlign w:val="center"/>
                </w:tcPr>
                <w:p w14:paraId="3BCC87CF">
                  <w:pPr>
                    <w:adjustRightInd w:val="0"/>
                    <w:snapToGrid w:val="0"/>
                    <w:jc w:val="center"/>
                    <w:rPr>
                      <w:rFonts w:hint="eastAsia"/>
                      <w:color w:val="auto"/>
                    </w:rPr>
                  </w:pPr>
                </w:p>
              </w:tc>
              <w:tc>
                <w:tcPr>
                  <w:tcW w:w="530" w:type="pct"/>
                  <w:tcBorders>
                    <w:tl2br w:val="nil"/>
                    <w:tr2bl w:val="nil"/>
                  </w:tcBorders>
                  <w:noWrap w:val="0"/>
                  <w:vAlign w:val="center"/>
                </w:tcPr>
                <w:p w14:paraId="5C9A62B8">
                  <w:pPr>
                    <w:adjustRightInd w:val="0"/>
                    <w:snapToGrid w:val="0"/>
                    <w:jc w:val="center"/>
                    <w:rPr>
                      <w:rFonts w:hint="default" w:eastAsia="宋体"/>
                      <w:color w:val="auto"/>
                      <w:lang w:val="en-US" w:eastAsia="zh-CN"/>
                    </w:rPr>
                  </w:pPr>
                  <w:r>
                    <w:rPr>
                      <w:rFonts w:hint="eastAsia"/>
                      <w:color w:val="auto"/>
                      <w:lang w:val="en-US" w:eastAsia="zh-CN"/>
                    </w:rPr>
                    <w:t>0.43</w:t>
                  </w:r>
                </w:p>
              </w:tc>
              <w:tc>
                <w:tcPr>
                  <w:tcW w:w="549" w:type="pct"/>
                  <w:vMerge w:val="continue"/>
                  <w:tcBorders>
                    <w:tl2br w:val="nil"/>
                    <w:tr2bl w:val="nil"/>
                  </w:tcBorders>
                  <w:noWrap w:val="0"/>
                  <w:vAlign w:val="center"/>
                </w:tcPr>
                <w:p w14:paraId="7B7DC638">
                  <w:pPr>
                    <w:adjustRightInd w:val="0"/>
                    <w:snapToGrid w:val="0"/>
                    <w:jc w:val="center"/>
                    <w:rPr>
                      <w:color w:val="auto"/>
                    </w:rPr>
                  </w:pPr>
                </w:p>
              </w:tc>
              <w:tc>
                <w:tcPr>
                  <w:tcW w:w="470" w:type="pct"/>
                  <w:vMerge w:val="continue"/>
                  <w:tcBorders>
                    <w:tl2br w:val="nil"/>
                    <w:tr2bl w:val="nil"/>
                  </w:tcBorders>
                  <w:noWrap w:val="0"/>
                  <w:vAlign w:val="center"/>
                </w:tcPr>
                <w:p w14:paraId="7AA35EE7">
                  <w:pPr>
                    <w:adjustRightInd w:val="0"/>
                    <w:snapToGrid w:val="0"/>
                    <w:jc w:val="center"/>
                    <w:rPr>
                      <w:color w:val="auto"/>
                    </w:rPr>
                  </w:pPr>
                </w:p>
              </w:tc>
              <w:tc>
                <w:tcPr>
                  <w:tcW w:w="530" w:type="pct"/>
                  <w:vMerge w:val="continue"/>
                  <w:tcBorders>
                    <w:tl2br w:val="nil"/>
                    <w:tr2bl w:val="nil"/>
                  </w:tcBorders>
                  <w:noWrap w:val="0"/>
                  <w:vAlign w:val="center"/>
                </w:tcPr>
                <w:p w14:paraId="7412A17A">
                  <w:pPr>
                    <w:adjustRightInd w:val="0"/>
                    <w:snapToGrid w:val="0"/>
                    <w:jc w:val="center"/>
                    <w:rPr>
                      <w:color w:val="auto"/>
                    </w:rPr>
                  </w:pPr>
                </w:p>
              </w:tc>
              <w:tc>
                <w:tcPr>
                  <w:tcW w:w="549" w:type="pct"/>
                  <w:vMerge w:val="continue"/>
                  <w:tcBorders>
                    <w:tl2br w:val="nil"/>
                    <w:tr2bl w:val="nil"/>
                  </w:tcBorders>
                  <w:noWrap w:val="0"/>
                  <w:vAlign w:val="center"/>
                </w:tcPr>
                <w:p w14:paraId="7924B275">
                  <w:pPr>
                    <w:adjustRightInd w:val="0"/>
                    <w:snapToGrid w:val="0"/>
                    <w:jc w:val="center"/>
                    <w:rPr>
                      <w:color w:val="auto"/>
                    </w:rPr>
                  </w:pPr>
                </w:p>
              </w:tc>
              <w:tc>
                <w:tcPr>
                  <w:tcW w:w="471" w:type="pct"/>
                  <w:vMerge w:val="continue"/>
                  <w:tcBorders>
                    <w:tl2br w:val="nil"/>
                    <w:tr2bl w:val="nil"/>
                  </w:tcBorders>
                  <w:noWrap w:val="0"/>
                  <w:vAlign w:val="center"/>
                </w:tcPr>
                <w:p w14:paraId="0301226E">
                  <w:pPr>
                    <w:adjustRightInd w:val="0"/>
                    <w:snapToGrid w:val="0"/>
                    <w:jc w:val="center"/>
                    <w:rPr>
                      <w:color w:val="auto"/>
                    </w:rPr>
                  </w:pPr>
                </w:p>
              </w:tc>
            </w:tr>
            <w:tr w14:paraId="641C2A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868" w:type="pct"/>
                  <w:vMerge w:val="restart"/>
                  <w:tcBorders>
                    <w:tl2br w:val="nil"/>
                    <w:tr2bl w:val="nil"/>
                  </w:tcBorders>
                  <w:noWrap w:val="0"/>
                  <w:vAlign w:val="center"/>
                </w:tcPr>
                <w:p w14:paraId="426C3779">
                  <w:pPr>
                    <w:adjustRightInd w:val="0"/>
                    <w:snapToGrid w:val="0"/>
                    <w:jc w:val="center"/>
                    <w:rPr>
                      <w:color w:val="auto"/>
                    </w:rPr>
                  </w:pPr>
                  <w:r>
                    <w:rPr>
                      <w:rFonts w:hint="eastAsia"/>
                      <w:color w:val="auto"/>
                      <w:lang w:val="en-US" w:eastAsia="zh-CN"/>
                    </w:rPr>
                    <w:t>变色材料制备工序</w:t>
                  </w:r>
                </w:p>
              </w:tc>
              <w:tc>
                <w:tcPr>
                  <w:tcW w:w="779" w:type="pct"/>
                  <w:tcBorders>
                    <w:tl2br w:val="nil"/>
                    <w:tr2bl w:val="nil"/>
                  </w:tcBorders>
                  <w:noWrap w:val="0"/>
                  <w:vAlign w:val="center"/>
                </w:tcPr>
                <w:p w14:paraId="1B023766">
                  <w:pPr>
                    <w:adjustRightInd w:val="0"/>
                    <w:snapToGrid w:val="0"/>
                    <w:jc w:val="center"/>
                    <w:rPr>
                      <w:rFonts w:hint="default" w:eastAsia="宋体"/>
                      <w:color w:val="auto"/>
                      <w:lang w:val="en-US" w:eastAsia="zh-CN"/>
                    </w:rPr>
                  </w:pPr>
                  <w:r>
                    <w:rPr>
                      <w:rFonts w:hint="eastAsia"/>
                      <w:color w:val="auto"/>
                    </w:rPr>
                    <w:t>非甲烷总烃</w:t>
                  </w:r>
                </w:p>
              </w:tc>
              <w:tc>
                <w:tcPr>
                  <w:tcW w:w="251" w:type="pct"/>
                  <w:vMerge w:val="continue"/>
                  <w:tcBorders>
                    <w:tl2br w:val="nil"/>
                    <w:tr2bl w:val="nil"/>
                  </w:tcBorders>
                  <w:noWrap w:val="0"/>
                  <w:vAlign w:val="center"/>
                </w:tcPr>
                <w:p w14:paraId="5A295C99">
                  <w:pPr>
                    <w:adjustRightInd w:val="0"/>
                    <w:snapToGrid w:val="0"/>
                    <w:jc w:val="center"/>
                    <w:rPr>
                      <w:rFonts w:hint="eastAsia"/>
                      <w:color w:val="auto"/>
                    </w:rPr>
                  </w:pPr>
                </w:p>
              </w:tc>
              <w:tc>
                <w:tcPr>
                  <w:tcW w:w="530" w:type="pct"/>
                  <w:tcBorders>
                    <w:tl2br w:val="nil"/>
                    <w:tr2bl w:val="nil"/>
                  </w:tcBorders>
                  <w:noWrap w:val="0"/>
                  <w:vAlign w:val="center"/>
                </w:tcPr>
                <w:p w14:paraId="0C7B8434">
                  <w:pPr>
                    <w:adjustRightInd w:val="0"/>
                    <w:snapToGrid w:val="0"/>
                    <w:jc w:val="center"/>
                    <w:rPr>
                      <w:rFonts w:hint="default" w:eastAsia="宋体"/>
                      <w:color w:val="auto"/>
                      <w:lang w:val="en-US" w:eastAsia="zh-CN"/>
                    </w:rPr>
                  </w:pPr>
                  <w:r>
                    <w:rPr>
                      <w:rFonts w:hint="eastAsia"/>
                      <w:color w:val="auto"/>
                      <w:lang w:val="en-US" w:eastAsia="zh-CN"/>
                    </w:rPr>
                    <w:t>0.0007</w:t>
                  </w:r>
                </w:p>
              </w:tc>
              <w:tc>
                <w:tcPr>
                  <w:tcW w:w="549" w:type="pct"/>
                  <w:vMerge w:val="continue"/>
                  <w:tcBorders>
                    <w:tl2br w:val="nil"/>
                    <w:tr2bl w:val="nil"/>
                  </w:tcBorders>
                  <w:noWrap w:val="0"/>
                  <w:vAlign w:val="center"/>
                </w:tcPr>
                <w:p w14:paraId="08BCDDDD">
                  <w:pPr>
                    <w:adjustRightInd w:val="0"/>
                    <w:snapToGrid w:val="0"/>
                    <w:jc w:val="center"/>
                    <w:rPr>
                      <w:color w:val="auto"/>
                    </w:rPr>
                  </w:pPr>
                </w:p>
              </w:tc>
              <w:tc>
                <w:tcPr>
                  <w:tcW w:w="470" w:type="pct"/>
                  <w:vMerge w:val="continue"/>
                  <w:tcBorders>
                    <w:tl2br w:val="nil"/>
                    <w:tr2bl w:val="nil"/>
                  </w:tcBorders>
                  <w:noWrap w:val="0"/>
                  <w:vAlign w:val="center"/>
                </w:tcPr>
                <w:p w14:paraId="0BE0749B">
                  <w:pPr>
                    <w:adjustRightInd w:val="0"/>
                    <w:snapToGrid w:val="0"/>
                    <w:jc w:val="center"/>
                    <w:rPr>
                      <w:color w:val="auto"/>
                    </w:rPr>
                  </w:pPr>
                </w:p>
              </w:tc>
              <w:tc>
                <w:tcPr>
                  <w:tcW w:w="530" w:type="pct"/>
                  <w:vMerge w:val="continue"/>
                  <w:tcBorders>
                    <w:tl2br w:val="nil"/>
                    <w:tr2bl w:val="nil"/>
                  </w:tcBorders>
                  <w:noWrap w:val="0"/>
                  <w:vAlign w:val="center"/>
                </w:tcPr>
                <w:p w14:paraId="608EC958">
                  <w:pPr>
                    <w:adjustRightInd w:val="0"/>
                    <w:snapToGrid w:val="0"/>
                    <w:jc w:val="center"/>
                    <w:rPr>
                      <w:color w:val="auto"/>
                    </w:rPr>
                  </w:pPr>
                </w:p>
              </w:tc>
              <w:tc>
                <w:tcPr>
                  <w:tcW w:w="549" w:type="pct"/>
                  <w:vMerge w:val="continue"/>
                  <w:tcBorders>
                    <w:tl2br w:val="nil"/>
                    <w:tr2bl w:val="nil"/>
                  </w:tcBorders>
                  <w:noWrap w:val="0"/>
                  <w:vAlign w:val="center"/>
                </w:tcPr>
                <w:p w14:paraId="1E9E23FA">
                  <w:pPr>
                    <w:adjustRightInd w:val="0"/>
                    <w:snapToGrid w:val="0"/>
                    <w:jc w:val="center"/>
                    <w:rPr>
                      <w:color w:val="auto"/>
                    </w:rPr>
                  </w:pPr>
                </w:p>
              </w:tc>
              <w:tc>
                <w:tcPr>
                  <w:tcW w:w="471" w:type="pct"/>
                  <w:vMerge w:val="continue"/>
                  <w:tcBorders>
                    <w:tl2br w:val="nil"/>
                    <w:tr2bl w:val="nil"/>
                  </w:tcBorders>
                  <w:noWrap w:val="0"/>
                  <w:vAlign w:val="center"/>
                </w:tcPr>
                <w:p w14:paraId="33EFB3D3">
                  <w:pPr>
                    <w:adjustRightInd w:val="0"/>
                    <w:snapToGrid w:val="0"/>
                    <w:jc w:val="center"/>
                    <w:rPr>
                      <w:color w:val="auto"/>
                    </w:rPr>
                  </w:pPr>
                </w:p>
              </w:tc>
            </w:tr>
            <w:tr w14:paraId="484023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868" w:type="pct"/>
                  <w:vMerge w:val="continue"/>
                  <w:tcBorders>
                    <w:tl2br w:val="nil"/>
                    <w:tr2bl w:val="nil"/>
                  </w:tcBorders>
                  <w:noWrap w:val="0"/>
                  <w:vAlign w:val="center"/>
                </w:tcPr>
                <w:p w14:paraId="18B2935D">
                  <w:pPr>
                    <w:adjustRightInd w:val="0"/>
                    <w:snapToGrid w:val="0"/>
                    <w:jc w:val="center"/>
                    <w:rPr>
                      <w:color w:val="auto"/>
                    </w:rPr>
                  </w:pPr>
                </w:p>
              </w:tc>
              <w:tc>
                <w:tcPr>
                  <w:tcW w:w="779" w:type="pct"/>
                  <w:tcBorders>
                    <w:tl2br w:val="nil"/>
                    <w:tr2bl w:val="nil"/>
                  </w:tcBorders>
                  <w:noWrap w:val="0"/>
                  <w:vAlign w:val="center"/>
                </w:tcPr>
                <w:p w14:paraId="0797870C">
                  <w:pPr>
                    <w:adjustRightInd w:val="0"/>
                    <w:snapToGrid w:val="0"/>
                    <w:jc w:val="center"/>
                    <w:rPr>
                      <w:rFonts w:hint="eastAsia"/>
                      <w:color w:val="auto"/>
                    </w:rPr>
                  </w:pPr>
                  <w:r>
                    <w:rPr>
                      <w:rFonts w:hint="eastAsia"/>
                      <w:color w:val="auto"/>
                      <w:lang w:val="en-US" w:eastAsia="zh-CN"/>
                    </w:rPr>
                    <w:t>甲醇</w:t>
                  </w:r>
                </w:p>
              </w:tc>
              <w:tc>
                <w:tcPr>
                  <w:tcW w:w="251" w:type="pct"/>
                  <w:vMerge w:val="continue"/>
                  <w:tcBorders>
                    <w:tl2br w:val="nil"/>
                    <w:tr2bl w:val="nil"/>
                  </w:tcBorders>
                  <w:noWrap w:val="0"/>
                  <w:vAlign w:val="center"/>
                </w:tcPr>
                <w:p w14:paraId="67EE2AF3">
                  <w:pPr>
                    <w:adjustRightInd w:val="0"/>
                    <w:snapToGrid w:val="0"/>
                    <w:jc w:val="center"/>
                    <w:rPr>
                      <w:rFonts w:hint="eastAsia"/>
                      <w:color w:val="auto"/>
                      <w:lang w:val="en-US" w:eastAsia="zh-CN"/>
                    </w:rPr>
                  </w:pPr>
                </w:p>
              </w:tc>
              <w:tc>
                <w:tcPr>
                  <w:tcW w:w="530" w:type="pct"/>
                  <w:tcBorders>
                    <w:tl2br w:val="nil"/>
                    <w:tr2bl w:val="nil"/>
                  </w:tcBorders>
                  <w:noWrap w:val="0"/>
                  <w:vAlign w:val="center"/>
                </w:tcPr>
                <w:p w14:paraId="7A95B546">
                  <w:pPr>
                    <w:adjustRightInd w:val="0"/>
                    <w:snapToGrid w:val="0"/>
                    <w:jc w:val="center"/>
                    <w:rPr>
                      <w:rFonts w:hint="default" w:eastAsia="宋体"/>
                      <w:color w:val="auto"/>
                      <w:lang w:val="en-US" w:eastAsia="zh-CN"/>
                    </w:rPr>
                  </w:pPr>
                  <w:r>
                    <w:rPr>
                      <w:rFonts w:hint="eastAsia"/>
                      <w:color w:val="auto"/>
                      <w:lang w:val="en-US" w:eastAsia="zh-CN"/>
                    </w:rPr>
                    <w:t>0.086</w:t>
                  </w:r>
                </w:p>
              </w:tc>
              <w:tc>
                <w:tcPr>
                  <w:tcW w:w="549" w:type="pct"/>
                  <w:tcBorders>
                    <w:tl2br w:val="nil"/>
                    <w:tr2bl w:val="nil"/>
                  </w:tcBorders>
                  <w:noWrap w:val="0"/>
                  <w:vAlign w:val="center"/>
                </w:tcPr>
                <w:p w14:paraId="6234DC06">
                  <w:pPr>
                    <w:adjustRightInd w:val="0"/>
                    <w:snapToGrid w:val="0"/>
                    <w:jc w:val="center"/>
                    <w:rPr>
                      <w:rFonts w:hint="default" w:eastAsia="宋体"/>
                      <w:color w:val="auto"/>
                      <w:lang w:val="en-US" w:eastAsia="zh-CN"/>
                    </w:rPr>
                  </w:pPr>
                  <w:r>
                    <w:rPr>
                      <w:rFonts w:hint="eastAsia"/>
                      <w:color w:val="auto"/>
                      <w:lang w:val="en-US" w:eastAsia="zh-CN"/>
                    </w:rPr>
                    <w:t>0.043</w:t>
                  </w:r>
                </w:p>
              </w:tc>
              <w:tc>
                <w:tcPr>
                  <w:tcW w:w="470" w:type="pct"/>
                  <w:tcBorders>
                    <w:tl2br w:val="nil"/>
                    <w:tr2bl w:val="nil"/>
                  </w:tcBorders>
                  <w:noWrap w:val="0"/>
                  <w:vAlign w:val="center"/>
                </w:tcPr>
                <w:p w14:paraId="3D63322C">
                  <w:pPr>
                    <w:adjustRightInd w:val="0"/>
                    <w:snapToGrid w:val="0"/>
                    <w:jc w:val="center"/>
                    <w:rPr>
                      <w:rFonts w:hint="default" w:eastAsia="宋体"/>
                      <w:color w:val="auto"/>
                      <w:lang w:val="en-US" w:eastAsia="zh-CN"/>
                    </w:rPr>
                  </w:pPr>
                  <w:r>
                    <w:rPr>
                      <w:rFonts w:hint="eastAsia"/>
                      <w:color w:val="auto"/>
                      <w:lang w:val="en-US" w:eastAsia="zh-CN"/>
                    </w:rPr>
                    <w:t>6.62</w:t>
                  </w:r>
                </w:p>
              </w:tc>
              <w:tc>
                <w:tcPr>
                  <w:tcW w:w="530" w:type="pct"/>
                  <w:tcBorders>
                    <w:tl2br w:val="nil"/>
                    <w:tr2bl w:val="nil"/>
                  </w:tcBorders>
                  <w:noWrap w:val="0"/>
                  <w:vAlign w:val="center"/>
                </w:tcPr>
                <w:p w14:paraId="391E5DF3">
                  <w:pPr>
                    <w:adjustRightInd w:val="0"/>
                    <w:snapToGrid w:val="0"/>
                    <w:jc w:val="center"/>
                    <w:rPr>
                      <w:rFonts w:hint="default" w:eastAsia="宋体"/>
                      <w:color w:val="auto"/>
                      <w:lang w:val="en-US" w:eastAsia="zh-CN"/>
                    </w:rPr>
                  </w:pPr>
                  <w:r>
                    <w:rPr>
                      <w:rFonts w:hint="eastAsia"/>
                      <w:color w:val="auto"/>
                      <w:lang w:val="en-US" w:eastAsia="zh-CN"/>
                    </w:rPr>
                    <w:t>0.022</w:t>
                  </w:r>
                </w:p>
              </w:tc>
              <w:tc>
                <w:tcPr>
                  <w:tcW w:w="549" w:type="pct"/>
                  <w:tcBorders>
                    <w:tl2br w:val="nil"/>
                    <w:tr2bl w:val="nil"/>
                  </w:tcBorders>
                  <w:noWrap w:val="0"/>
                  <w:vAlign w:val="center"/>
                </w:tcPr>
                <w:p w14:paraId="7342A776">
                  <w:pPr>
                    <w:adjustRightInd w:val="0"/>
                    <w:snapToGrid w:val="0"/>
                    <w:jc w:val="center"/>
                    <w:rPr>
                      <w:rFonts w:hint="default" w:eastAsia="宋体"/>
                      <w:color w:val="auto"/>
                      <w:lang w:val="en-US" w:eastAsia="zh-CN"/>
                    </w:rPr>
                  </w:pPr>
                  <w:r>
                    <w:rPr>
                      <w:rFonts w:hint="eastAsia"/>
                      <w:color w:val="auto"/>
                      <w:lang w:val="en-US" w:eastAsia="zh-CN"/>
                    </w:rPr>
                    <w:t>0.011</w:t>
                  </w:r>
                </w:p>
              </w:tc>
              <w:tc>
                <w:tcPr>
                  <w:tcW w:w="471" w:type="pct"/>
                  <w:tcBorders>
                    <w:tl2br w:val="nil"/>
                    <w:tr2bl w:val="nil"/>
                  </w:tcBorders>
                  <w:noWrap w:val="0"/>
                  <w:vAlign w:val="center"/>
                </w:tcPr>
                <w:p w14:paraId="4619D786">
                  <w:pPr>
                    <w:adjustRightInd w:val="0"/>
                    <w:snapToGrid w:val="0"/>
                    <w:jc w:val="center"/>
                    <w:rPr>
                      <w:rFonts w:hint="default" w:eastAsia="宋体"/>
                      <w:color w:val="auto"/>
                      <w:lang w:val="en-US" w:eastAsia="zh-CN"/>
                    </w:rPr>
                  </w:pPr>
                  <w:r>
                    <w:rPr>
                      <w:rFonts w:hint="eastAsia"/>
                      <w:color w:val="auto"/>
                      <w:lang w:val="en-US" w:eastAsia="zh-CN"/>
                    </w:rPr>
                    <w:t>1.69</w:t>
                  </w:r>
                </w:p>
              </w:tc>
            </w:tr>
            <w:tr w14:paraId="00A6F3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8" w:type="pct"/>
                  <w:tcBorders>
                    <w:tl2br w:val="nil"/>
                    <w:tr2bl w:val="nil"/>
                  </w:tcBorders>
                  <w:noWrap w:val="0"/>
                  <w:vAlign w:val="center"/>
                </w:tcPr>
                <w:p w14:paraId="0B3E4B58">
                  <w:pPr>
                    <w:adjustRightInd w:val="0"/>
                    <w:snapToGrid w:val="0"/>
                    <w:jc w:val="center"/>
                    <w:rPr>
                      <w:color w:val="auto"/>
                    </w:rPr>
                  </w:pPr>
                  <w:r>
                    <w:rPr>
                      <w:rFonts w:hint="eastAsia"/>
                      <w:color w:val="auto"/>
                      <w:lang w:val="en-US" w:eastAsia="zh-CN"/>
                    </w:rPr>
                    <w:t>敏感层制备工序</w:t>
                  </w:r>
                </w:p>
              </w:tc>
              <w:tc>
                <w:tcPr>
                  <w:tcW w:w="779" w:type="pct"/>
                  <w:tcBorders>
                    <w:tl2br w:val="nil"/>
                    <w:tr2bl w:val="nil"/>
                  </w:tcBorders>
                  <w:noWrap w:val="0"/>
                  <w:vAlign w:val="center"/>
                </w:tcPr>
                <w:p w14:paraId="0F93DF8A">
                  <w:pPr>
                    <w:adjustRightInd w:val="0"/>
                    <w:snapToGrid w:val="0"/>
                    <w:jc w:val="center"/>
                    <w:rPr>
                      <w:rFonts w:hint="eastAsia" w:eastAsia="宋体"/>
                      <w:color w:val="auto"/>
                      <w:lang w:eastAsia="zh-CN"/>
                    </w:rPr>
                  </w:pPr>
                  <w:r>
                    <w:rPr>
                      <w:rFonts w:hint="eastAsia"/>
                      <w:color w:val="auto"/>
                      <w:lang w:val="en-US" w:eastAsia="zh-CN"/>
                    </w:rPr>
                    <w:t>甲苯</w:t>
                  </w:r>
                </w:p>
              </w:tc>
              <w:tc>
                <w:tcPr>
                  <w:tcW w:w="251" w:type="pct"/>
                  <w:vMerge w:val="continue"/>
                  <w:tcBorders>
                    <w:tl2br w:val="nil"/>
                    <w:tr2bl w:val="nil"/>
                  </w:tcBorders>
                  <w:noWrap w:val="0"/>
                  <w:vAlign w:val="center"/>
                </w:tcPr>
                <w:p w14:paraId="1CC5B6D0">
                  <w:pPr>
                    <w:adjustRightInd w:val="0"/>
                    <w:snapToGrid w:val="0"/>
                    <w:jc w:val="center"/>
                    <w:rPr>
                      <w:rFonts w:hint="eastAsia"/>
                      <w:color w:val="auto"/>
                      <w:lang w:val="en-US" w:eastAsia="zh-CN"/>
                    </w:rPr>
                  </w:pPr>
                </w:p>
              </w:tc>
              <w:tc>
                <w:tcPr>
                  <w:tcW w:w="530" w:type="pct"/>
                  <w:tcBorders>
                    <w:tl2br w:val="nil"/>
                    <w:tr2bl w:val="nil"/>
                  </w:tcBorders>
                  <w:noWrap w:val="0"/>
                  <w:vAlign w:val="center"/>
                </w:tcPr>
                <w:p w14:paraId="4EF90F4F">
                  <w:pPr>
                    <w:adjustRightInd w:val="0"/>
                    <w:snapToGrid w:val="0"/>
                    <w:jc w:val="center"/>
                    <w:rPr>
                      <w:rFonts w:hint="default" w:eastAsia="宋体"/>
                      <w:color w:val="auto"/>
                      <w:lang w:val="en-US" w:eastAsia="zh-CN"/>
                    </w:rPr>
                  </w:pPr>
                  <w:r>
                    <w:rPr>
                      <w:rFonts w:hint="eastAsia"/>
                      <w:color w:val="auto"/>
                      <w:lang w:val="en-US" w:eastAsia="zh-CN"/>
                    </w:rPr>
                    <w:t>0.118</w:t>
                  </w:r>
                </w:p>
              </w:tc>
              <w:tc>
                <w:tcPr>
                  <w:tcW w:w="549" w:type="pct"/>
                  <w:tcBorders>
                    <w:tl2br w:val="nil"/>
                    <w:tr2bl w:val="nil"/>
                  </w:tcBorders>
                  <w:noWrap w:val="0"/>
                  <w:vAlign w:val="center"/>
                </w:tcPr>
                <w:p w14:paraId="7DBFFD59">
                  <w:pPr>
                    <w:adjustRightInd w:val="0"/>
                    <w:snapToGrid w:val="0"/>
                    <w:jc w:val="center"/>
                    <w:rPr>
                      <w:rFonts w:hint="default" w:eastAsia="宋体"/>
                      <w:color w:val="auto"/>
                      <w:lang w:val="en-US" w:eastAsia="zh-CN"/>
                    </w:rPr>
                  </w:pPr>
                  <w:r>
                    <w:rPr>
                      <w:rFonts w:hint="eastAsia"/>
                      <w:color w:val="auto"/>
                      <w:lang w:val="en-US" w:eastAsia="zh-CN"/>
                    </w:rPr>
                    <w:t>0.059</w:t>
                  </w:r>
                </w:p>
              </w:tc>
              <w:tc>
                <w:tcPr>
                  <w:tcW w:w="470" w:type="pct"/>
                  <w:tcBorders>
                    <w:tl2br w:val="nil"/>
                    <w:tr2bl w:val="nil"/>
                  </w:tcBorders>
                  <w:noWrap w:val="0"/>
                  <w:vAlign w:val="center"/>
                </w:tcPr>
                <w:p w14:paraId="6BAF0BD0">
                  <w:pPr>
                    <w:adjustRightInd w:val="0"/>
                    <w:snapToGrid w:val="0"/>
                    <w:jc w:val="center"/>
                    <w:rPr>
                      <w:rFonts w:hint="default" w:eastAsia="宋体"/>
                      <w:color w:val="auto"/>
                      <w:lang w:val="en-US" w:eastAsia="zh-CN"/>
                    </w:rPr>
                  </w:pPr>
                  <w:r>
                    <w:rPr>
                      <w:rFonts w:hint="eastAsia"/>
                      <w:color w:val="auto"/>
                      <w:lang w:val="en-US" w:eastAsia="zh-CN"/>
                    </w:rPr>
                    <w:t>9.08</w:t>
                  </w:r>
                </w:p>
              </w:tc>
              <w:tc>
                <w:tcPr>
                  <w:tcW w:w="530" w:type="pct"/>
                  <w:tcBorders>
                    <w:tl2br w:val="nil"/>
                    <w:tr2bl w:val="nil"/>
                  </w:tcBorders>
                  <w:noWrap w:val="0"/>
                  <w:vAlign w:val="center"/>
                </w:tcPr>
                <w:p w14:paraId="1B210D89">
                  <w:pPr>
                    <w:adjustRightInd w:val="0"/>
                    <w:snapToGrid w:val="0"/>
                    <w:jc w:val="center"/>
                    <w:rPr>
                      <w:rFonts w:hint="default" w:eastAsia="宋体"/>
                      <w:color w:val="auto"/>
                      <w:lang w:val="en-US" w:eastAsia="zh-CN"/>
                    </w:rPr>
                  </w:pPr>
                  <w:r>
                    <w:rPr>
                      <w:rFonts w:hint="eastAsia"/>
                      <w:color w:val="auto"/>
                      <w:lang w:val="en-US" w:eastAsia="zh-CN"/>
                    </w:rPr>
                    <w:t>0.03</w:t>
                  </w:r>
                </w:p>
              </w:tc>
              <w:tc>
                <w:tcPr>
                  <w:tcW w:w="549" w:type="pct"/>
                  <w:tcBorders>
                    <w:tl2br w:val="nil"/>
                    <w:tr2bl w:val="nil"/>
                  </w:tcBorders>
                  <w:noWrap w:val="0"/>
                  <w:vAlign w:val="center"/>
                </w:tcPr>
                <w:p w14:paraId="6695C966">
                  <w:pPr>
                    <w:adjustRightInd w:val="0"/>
                    <w:snapToGrid w:val="0"/>
                    <w:jc w:val="center"/>
                    <w:rPr>
                      <w:rFonts w:hint="default" w:eastAsia="宋体"/>
                      <w:color w:val="auto"/>
                      <w:lang w:val="en-US" w:eastAsia="zh-CN"/>
                    </w:rPr>
                  </w:pPr>
                  <w:r>
                    <w:rPr>
                      <w:rFonts w:hint="eastAsia"/>
                      <w:color w:val="auto"/>
                      <w:lang w:val="en-US" w:eastAsia="zh-CN"/>
                    </w:rPr>
                    <w:t>0.015</w:t>
                  </w:r>
                </w:p>
              </w:tc>
              <w:tc>
                <w:tcPr>
                  <w:tcW w:w="471" w:type="pct"/>
                  <w:tcBorders>
                    <w:tl2br w:val="nil"/>
                    <w:tr2bl w:val="nil"/>
                  </w:tcBorders>
                  <w:noWrap w:val="0"/>
                  <w:vAlign w:val="center"/>
                </w:tcPr>
                <w:p w14:paraId="1AD3A78B">
                  <w:pPr>
                    <w:adjustRightInd w:val="0"/>
                    <w:snapToGrid w:val="0"/>
                    <w:jc w:val="center"/>
                    <w:rPr>
                      <w:rFonts w:hint="default" w:eastAsia="宋体"/>
                      <w:color w:val="auto"/>
                      <w:lang w:val="en-US" w:eastAsia="zh-CN"/>
                    </w:rPr>
                  </w:pPr>
                  <w:r>
                    <w:rPr>
                      <w:rFonts w:hint="eastAsia"/>
                      <w:color w:val="auto"/>
                      <w:lang w:val="en-US" w:eastAsia="zh-CN"/>
                    </w:rPr>
                    <w:t>2.31</w:t>
                  </w:r>
                </w:p>
              </w:tc>
            </w:tr>
            <w:tr w14:paraId="60CC87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8" w:type="pct"/>
                  <w:tcBorders>
                    <w:tl2br w:val="nil"/>
                    <w:tr2bl w:val="nil"/>
                  </w:tcBorders>
                  <w:noWrap w:val="0"/>
                  <w:vAlign w:val="center"/>
                </w:tcPr>
                <w:p w14:paraId="49AE2C89">
                  <w:pPr>
                    <w:adjustRightInd w:val="0"/>
                    <w:snapToGrid w:val="0"/>
                    <w:jc w:val="center"/>
                    <w:rPr>
                      <w:rFonts w:hint="eastAsia"/>
                      <w:color w:val="auto"/>
                      <w:kern w:val="2"/>
                      <w:sz w:val="21"/>
                      <w:szCs w:val="24"/>
                      <w:lang w:val="en-US" w:eastAsia="zh-CN" w:bidi="ar-SA"/>
                    </w:rPr>
                  </w:pPr>
                  <w:r>
                    <w:rPr>
                      <w:rFonts w:hint="default"/>
                      <w:color w:val="auto"/>
                      <w:lang w:val="en-US" w:eastAsia="zh-CN"/>
                    </w:rPr>
                    <w:t>催化浆料配制</w:t>
                  </w:r>
                  <w:r>
                    <w:rPr>
                      <w:rFonts w:hint="eastAsia"/>
                      <w:color w:val="auto"/>
                      <w:lang w:val="en-US" w:eastAsia="zh-CN"/>
                    </w:rPr>
                    <w:t>废气</w:t>
                  </w:r>
                </w:p>
              </w:tc>
              <w:tc>
                <w:tcPr>
                  <w:tcW w:w="779" w:type="pct"/>
                  <w:tcBorders>
                    <w:tl2br w:val="nil"/>
                    <w:tr2bl w:val="nil"/>
                  </w:tcBorders>
                  <w:shd w:val="clear" w:color="auto" w:fill="auto"/>
                  <w:noWrap w:val="0"/>
                  <w:vAlign w:val="center"/>
                </w:tcPr>
                <w:p w14:paraId="055B52AA">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eastAsia"/>
                      <w:color w:val="auto"/>
                    </w:rPr>
                    <w:t>非甲烷总烃</w:t>
                  </w:r>
                </w:p>
              </w:tc>
              <w:tc>
                <w:tcPr>
                  <w:tcW w:w="251" w:type="pct"/>
                  <w:vMerge w:val="restart"/>
                  <w:tcBorders>
                    <w:tl2br w:val="nil"/>
                    <w:tr2bl w:val="nil"/>
                  </w:tcBorders>
                  <w:noWrap w:val="0"/>
                  <w:vAlign w:val="center"/>
                </w:tcPr>
                <w:p w14:paraId="63D771CA">
                  <w:pPr>
                    <w:adjustRightInd w:val="0"/>
                    <w:snapToGrid w:val="0"/>
                    <w:jc w:val="center"/>
                    <w:rPr>
                      <w:rFonts w:hint="eastAsia" w:eastAsia="宋体"/>
                      <w:color w:val="auto"/>
                      <w:lang w:val="en-US" w:eastAsia="zh-CN"/>
                    </w:rPr>
                  </w:pPr>
                  <w:r>
                    <w:rPr>
                      <w:rFonts w:hint="eastAsia"/>
                      <w:color w:val="auto"/>
                      <w:lang w:val="en-US" w:eastAsia="zh-CN"/>
                    </w:rPr>
                    <w:t>无组织</w:t>
                  </w:r>
                </w:p>
              </w:tc>
              <w:tc>
                <w:tcPr>
                  <w:tcW w:w="530" w:type="pct"/>
                  <w:tcBorders>
                    <w:tl2br w:val="nil"/>
                    <w:tr2bl w:val="nil"/>
                  </w:tcBorders>
                  <w:noWrap w:val="0"/>
                  <w:vAlign w:val="center"/>
                </w:tcPr>
                <w:p w14:paraId="62C2B28F">
                  <w:pPr>
                    <w:adjustRightInd w:val="0"/>
                    <w:snapToGrid w:val="0"/>
                    <w:jc w:val="center"/>
                    <w:rPr>
                      <w:rFonts w:hint="default" w:eastAsia="宋体"/>
                      <w:color w:val="auto"/>
                      <w:kern w:val="2"/>
                      <w:sz w:val="21"/>
                      <w:szCs w:val="24"/>
                      <w:lang w:val="en-US" w:eastAsia="zh-CN" w:bidi="ar-SA"/>
                    </w:rPr>
                  </w:pPr>
                  <w:r>
                    <w:rPr>
                      <w:rFonts w:hint="eastAsia"/>
                      <w:color w:val="auto"/>
                      <w:lang w:val="en-US" w:eastAsia="zh-CN"/>
                    </w:rPr>
                    <w:t>0.0003</w:t>
                  </w:r>
                </w:p>
              </w:tc>
              <w:tc>
                <w:tcPr>
                  <w:tcW w:w="549" w:type="pct"/>
                  <w:tcBorders>
                    <w:tl2br w:val="nil"/>
                    <w:tr2bl w:val="nil"/>
                  </w:tcBorders>
                  <w:noWrap w:val="0"/>
                  <w:vAlign w:val="center"/>
                </w:tcPr>
                <w:p w14:paraId="318AE551">
                  <w:pPr>
                    <w:keepNext w:val="0"/>
                    <w:keepLines w:val="0"/>
                    <w:widowControl/>
                    <w:suppressLineNumbers w:val="0"/>
                    <w:jc w:val="center"/>
                    <w:textAlignment w:val="center"/>
                    <w:rPr>
                      <w:rFonts w:hint="default" w:ascii="Times New Roman" w:hAnsi="Times New Roman" w:cs="Times New Roman"/>
                      <w:color w:val="auto"/>
                      <w:lang w:val="en-US"/>
                    </w:rPr>
                  </w:pPr>
                  <w:r>
                    <w:rPr>
                      <w:rFonts w:hint="default" w:ascii="Times New Roman" w:hAnsi="Times New Roman" w:eastAsia="宋体" w:cs="Times New Roman"/>
                      <w:i w:val="0"/>
                      <w:iCs w:val="0"/>
                      <w:color w:val="auto"/>
                      <w:kern w:val="0"/>
                      <w:sz w:val="22"/>
                      <w:szCs w:val="22"/>
                      <w:u w:val="none"/>
                      <w:lang w:val="en-US" w:eastAsia="zh-CN" w:bidi="ar"/>
                    </w:rPr>
                    <w:t>0.00</w:t>
                  </w:r>
                  <w:r>
                    <w:rPr>
                      <w:rFonts w:hint="eastAsia" w:cs="Times New Roman"/>
                      <w:i w:val="0"/>
                      <w:iCs w:val="0"/>
                      <w:color w:val="auto"/>
                      <w:kern w:val="0"/>
                      <w:sz w:val="22"/>
                      <w:szCs w:val="22"/>
                      <w:u w:val="none"/>
                      <w:lang w:val="en-US" w:eastAsia="zh-CN" w:bidi="ar"/>
                    </w:rPr>
                    <w:t>02</w:t>
                  </w:r>
                </w:p>
              </w:tc>
              <w:tc>
                <w:tcPr>
                  <w:tcW w:w="470" w:type="pct"/>
                  <w:tcBorders>
                    <w:tl2br w:val="nil"/>
                    <w:tr2bl w:val="nil"/>
                  </w:tcBorders>
                  <w:noWrap w:val="0"/>
                  <w:vAlign w:val="center"/>
                </w:tcPr>
                <w:p w14:paraId="1F747ABC">
                  <w:pPr>
                    <w:adjustRightInd w:val="0"/>
                    <w:snapToGrid w:val="0"/>
                    <w:jc w:val="center"/>
                    <w:rPr>
                      <w:rFonts w:hint="eastAsia" w:eastAsia="宋体"/>
                      <w:color w:val="auto"/>
                      <w:lang w:val="en-US" w:eastAsia="zh-CN"/>
                    </w:rPr>
                  </w:pPr>
                  <w:r>
                    <w:rPr>
                      <w:rFonts w:hint="eastAsia"/>
                      <w:color w:val="auto"/>
                      <w:lang w:val="en-US" w:eastAsia="zh-CN"/>
                    </w:rPr>
                    <w:t>/</w:t>
                  </w:r>
                </w:p>
              </w:tc>
              <w:tc>
                <w:tcPr>
                  <w:tcW w:w="899" w:type="dxa"/>
                  <w:tcBorders>
                    <w:tl2br w:val="nil"/>
                    <w:tr2bl w:val="nil"/>
                  </w:tcBorders>
                  <w:noWrap w:val="0"/>
                  <w:vAlign w:val="center"/>
                </w:tcPr>
                <w:p w14:paraId="3446238C">
                  <w:pPr>
                    <w:adjustRightInd w:val="0"/>
                    <w:snapToGrid w:val="0"/>
                    <w:jc w:val="center"/>
                    <w:rPr>
                      <w:rFonts w:hint="eastAsia" w:eastAsia="宋体"/>
                      <w:color w:val="auto"/>
                      <w:kern w:val="2"/>
                      <w:sz w:val="21"/>
                      <w:szCs w:val="24"/>
                      <w:lang w:val="en-US" w:eastAsia="zh-CN" w:bidi="ar-SA"/>
                    </w:rPr>
                  </w:pPr>
                  <w:r>
                    <w:rPr>
                      <w:rFonts w:hint="eastAsia"/>
                      <w:color w:val="auto"/>
                      <w:lang w:val="en-US" w:eastAsia="zh-CN"/>
                    </w:rPr>
                    <w:t>0.0003</w:t>
                  </w:r>
                </w:p>
              </w:tc>
              <w:tc>
                <w:tcPr>
                  <w:tcW w:w="931" w:type="dxa"/>
                  <w:tcBorders>
                    <w:tl2br w:val="nil"/>
                    <w:tr2bl w:val="nil"/>
                  </w:tcBorders>
                  <w:noWrap w:val="0"/>
                  <w:vAlign w:val="center"/>
                </w:tcPr>
                <w:p w14:paraId="1E5DDF6D">
                  <w:pPr>
                    <w:keepNext w:val="0"/>
                    <w:keepLines w:val="0"/>
                    <w:widowControl/>
                    <w:suppressLineNumbers w:val="0"/>
                    <w:jc w:val="center"/>
                    <w:textAlignment w:val="center"/>
                    <w:rPr>
                      <w:rFonts w:hint="default" w:ascii="Times New Roman" w:hAnsi="Times New Roman"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0.00</w:t>
                  </w:r>
                  <w:r>
                    <w:rPr>
                      <w:rFonts w:hint="eastAsia" w:cs="Times New Roman"/>
                      <w:i w:val="0"/>
                      <w:iCs w:val="0"/>
                      <w:color w:val="auto"/>
                      <w:kern w:val="0"/>
                      <w:sz w:val="22"/>
                      <w:szCs w:val="22"/>
                      <w:u w:val="none"/>
                      <w:lang w:val="en-US" w:eastAsia="zh-CN" w:bidi="ar"/>
                    </w:rPr>
                    <w:t>02</w:t>
                  </w:r>
                </w:p>
              </w:tc>
              <w:tc>
                <w:tcPr>
                  <w:tcW w:w="471" w:type="pct"/>
                  <w:tcBorders>
                    <w:tl2br w:val="nil"/>
                    <w:tr2bl w:val="nil"/>
                  </w:tcBorders>
                  <w:noWrap w:val="0"/>
                  <w:vAlign w:val="center"/>
                </w:tcPr>
                <w:p w14:paraId="08FC978C">
                  <w:pPr>
                    <w:adjustRightInd w:val="0"/>
                    <w:snapToGrid w:val="0"/>
                    <w:jc w:val="center"/>
                    <w:rPr>
                      <w:rFonts w:hint="eastAsia" w:eastAsia="宋体"/>
                      <w:color w:val="auto"/>
                      <w:lang w:val="en-US" w:eastAsia="zh-CN"/>
                    </w:rPr>
                  </w:pPr>
                  <w:r>
                    <w:rPr>
                      <w:rFonts w:hint="eastAsia"/>
                      <w:color w:val="auto"/>
                      <w:lang w:val="en-US" w:eastAsia="zh-CN"/>
                    </w:rPr>
                    <w:t>/</w:t>
                  </w:r>
                </w:p>
              </w:tc>
            </w:tr>
            <w:tr w14:paraId="401623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8" w:type="pct"/>
                  <w:tcBorders>
                    <w:tl2br w:val="nil"/>
                    <w:tr2bl w:val="nil"/>
                  </w:tcBorders>
                  <w:noWrap w:val="0"/>
                  <w:vAlign w:val="center"/>
                </w:tcPr>
                <w:p w14:paraId="5D02B399">
                  <w:pPr>
                    <w:adjustRightInd w:val="0"/>
                    <w:snapToGrid w:val="0"/>
                    <w:jc w:val="center"/>
                    <w:rPr>
                      <w:rFonts w:hint="eastAsia"/>
                      <w:color w:val="auto"/>
                      <w:kern w:val="2"/>
                      <w:sz w:val="21"/>
                      <w:szCs w:val="24"/>
                      <w:lang w:val="en-US" w:eastAsia="zh-CN" w:bidi="ar-SA"/>
                    </w:rPr>
                  </w:pPr>
                  <w:r>
                    <w:rPr>
                      <w:rFonts w:hint="eastAsia"/>
                      <w:color w:val="auto"/>
                      <w:lang w:val="en-US" w:eastAsia="zh-CN"/>
                    </w:rPr>
                    <w:t>催化剂涂覆膜制备废气</w:t>
                  </w:r>
                </w:p>
              </w:tc>
              <w:tc>
                <w:tcPr>
                  <w:tcW w:w="779" w:type="pct"/>
                  <w:tcBorders>
                    <w:tl2br w:val="nil"/>
                    <w:tr2bl w:val="nil"/>
                  </w:tcBorders>
                  <w:shd w:val="clear" w:color="auto" w:fill="auto"/>
                  <w:noWrap w:val="0"/>
                  <w:vAlign w:val="center"/>
                </w:tcPr>
                <w:p w14:paraId="1B94B741">
                  <w:pPr>
                    <w:adjustRightInd w:val="0"/>
                    <w:snapToGrid w:val="0"/>
                    <w:jc w:val="center"/>
                    <w:rPr>
                      <w:rFonts w:hint="eastAsia" w:ascii="Times New Roman" w:hAnsi="Times New Roman" w:eastAsia="宋体" w:cs="Times New Roman"/>
                      <w:color w:val="auto"/>
                      <w:kern w:val="2"/>
                      <w:sz w:val="21"/>
                      <w:szCs w:val="24"/>
                      <w:lang w:val="en-US" w:eastAsia="zh-CN" w:bidi="ar-SA"/>
                    </w:rPr>
                  </w:pPr>
                  <w:r>
                    <w:rPr>
                      <w:rFonts w:hint="eastAsia"/>
                      <w:color w:val="auto"/>
                    </w:rPr>
                    <w:t>非甲烷总烃</w:t>
                  </w:r>
                </w:p>
              </w:tc>
              <w:tc>
                <w:tcPr>
                  <w:tcW w:w="251" w:type="pct"/>
                  <w:vMerge w:val="continue"/>
                  <w:tcBorders>
                    <w:tl2br w:val="nil"/>
                    <w:tr2bl w:val="nil"/>
                  </w:tcBorders>
                  <w:noWrap w:val="0"/>
                  <w:vAlign w:val="center"/>
                </w:tcPr>
                <w:p w14:paraId="773E5038">
                  <w:pPr>
                    <w:adjustRightInd w:val="0"/>
                    <w:snapToGrid w:val="0"/>
                    <w:jc w:val="center"/>
                    <w:rPr>
                      <w:rFonts w:hint="eastAsia"/>
                      <w:color w:val="auto"/>
                    </w:rPr>
                  </w:pPr>
                </w:p>
              </w:tc>
              <w:tc>
                <w:tcPr>
                  <w:tcW w:w="530" w:type="pct"/>
                  <w:tcBorders>
                    <w:tl2br w:val="nil"/>
                    <w:tr2bl w:val="nil"/>
                  </w:tcBorders>
                  <w:noWrap w:val="0"/>
                  <w:vAlign w:val="center"/>
                </w:tcPr>
                <w:p w14:paraId="789309ED">
                  <w:pPr>
                    <w:adjustRightInd w:val="0"/>
                    <w:snapToGrid w:val="0"/>
                    <w:jc w:val="center"/>
                    <w:rPr>
                      <w:rFonts w:hint="default" w:eastAsia="宋体"/>
                      <w:color w:val="auto"/>
                      <w:kern w:val="2"/>
                      <w:sz w:val="21"/>
                      <w:szCs w:val="24"/>
                      <w:lang w:val="en-US" w:eastAsia="zh-CN" w:bidi="ar-SA"/>
                    </w:rPr>
                  </w:pPr>
                  <w:r>
                    <w:rPr>
                      <w:rFonts w:hint="eastAsia"/>
                      <w:color w:val="auto"/>
                      <w:lang w:val="en-US" w:eastAsia="zh-CN"/>
                    </w:rPr>
                    <w:t>0.01</w:t>
                  </w:r>
                </w:p>
              </w:tc>
              <w:tc>
                <w:tcPr>
                  <w:tcW w:w="549" w:type="pct"/>
                  <w:tcBorders>
                    <w:tl2br w:val="nil"/>
                    <w:tr2bl w:val="nil"/>
                  </w:tcBorders>
                  <w:noWrap w:val="0"/>
                  <w:vAlign w:val="center"/>
                </w:tcPr>
                <w:p w14:paraId="5A0C5130">
                  <w:pPr>
                    <w:keepNext w:val="0"/>
                    <w:keepLines w:val="0"/>
                    <w:widowControl/>
                    <w:suppressLineNumbers w:val="0"/>
                    <w:jc w:val="center"/>
                    <w:textAlignment w:val="center"/>
                    <w:rPr>
                      <w:rFonts w:hint="default" w:ascii="Times New Roman" w:hAnsi="Times New Roman" w:cs="Times New Roman"/>
                      <w:color w:val="auto"/>
                      <w:lang w:val="en-US"/>
                    </w:rPr>
                  </w:pPr>
                  <w:r>
                    <w:rPr>
                      <w:rFonts w:hint="default" w:ascii="Times New Roman" w:hAnsi="Times New Roman" w:eastAsia="宋体" w:cs="Times New Roman"/>
                      <w:i w:val="0"/>
                      <w:iCs w:val="0"/>
                      <w:color w:val="auto"/>
                      <w:kern w:val="0"/>
                      <w:sz w:val="22"/>
                      <w:szCs w:val="22"/>
                      <w:u w:val="none"/>
                      <w:lang w:val="en-US" w:eastAsia="zh-CN" w:bidi="ar"/>
                    </w:rPr>
                    <w:t>0.0</w:t>
                  </w:r>
                  <w:r>
                    <w:rPr>
                      <w:rFonts w:hint="eastAsia" w:cs="Times New Roman"/>
                      <w:i w:val="0"/>
                      <w:iCs w:val="0"/>
                      <w:color w:val="auto"/>
                      <w:kern w:val="0"/>
                      <w:sz w:val="22"/>
                      <w:szCs w:val="22"/>
                      <w:u w:val="none"/>
                      <w:lang w:val="en-US" w:eastAsia="zh-CN" w:bidi="ar"/>
                    </w:rPr>
                    <w:t>05</w:t>
                  </w:r>
                </w:p>
              </w:tc>
              <w:tc>
                <w:tcPr>
                  <w:tcW w:w="470" w:type="pct"/>
                  <w:tcBorders>
                    <w:tl2br w:val="nil"/>
                    <w:tr2bl w:val="nil"/>
                  </w:tcBorders>
                  <w:noWrap w:val="0"/>
                  <w:vAlign w:val="center"/>
                </w:tcPr>
                <w:p w14:paraId="7D6590E7">
                  <w:pPr>
                    <w:adjustRightInd w:val="0"/>
                    <w:snapToGrid w:val="0"/>
                    <w:jc w:val="center"/>
                    <w:rPr>
                      <w:rFonts w:hint="eastAsia" w:eastAsia="宋体"/>
                      <w:color w:val="auto"/>
                      <w:lang w:val="en-US" w:eastAsia="zh-CN"/>
                    </w:rPr>
                  </w:pPr>
                  <w:r>
                    <w:rPr>
                      <w:rFonts w:hint="eastAsia"/>
                      <w:color w:val="auto"/>
                      <w:lang w:val="en-US" w:eastAsia="zh-CN"/>
                    </w:rPr>
                    <w:t>/</w:t>
                  </w:r>
                </w:p>
              </w:tc>
              <w:tc>
                <w:tcPr>
                  <w:tcW w:w="899" w:type="dxa"/>
                  <w:tcBorders>
                    <w:tl2br w:val="nil"/>
                    <w:tr2bl w:val="nil"/>
                  </w:tcBorders>
                  <w:noWrap w:val="0"/>
                  <w:vAlign w:val="center"/>
                </w:tcPr>
                <w:p w14:paraId="62FB7687">
                  <w:pPr>
                    <w:adjustRightInd w:val="0"/>
                    <w:snapToGrid w:val="0"/>
                    <w:jc w:val="center"/>
                    <w:rPr>
                      <w:rFonts w:hint="eastAsia" w:eastAsia="宋体"/>
                      <w:color w:val="auto"/>
                      <w:kern w:val="2"/>
                      <w:sz w:val="21"/>
                      <w:szCs w:val="24"/>
                      <w:lang w:val="en-US" w:eastAsia="zh-CN" w:bidi="ar-SA"/>
                    </w:rPr>
                  </w:pPr>
                  <w:r>
                    <w:rPr>
                      <w:rFonts w:hint="eastAsia"/>
                      <w:color w:val="auto"/>
                      <w:lang w:val="en-US" w:eastAsia="zh-CN"/>
                    </w:rPr>
                    <w:t>0.01</w:t>
                  </w:r>
                </w:p>
              </w:tc>
              <w:tc>
                <w:tcPr>
                  <w:tcW w:w="931" w:type="dxa"/>
                  <w:tcBorders>
                    <w:tl2br w:val="nil"/>
                    <w:tr2bl w:val="nil"/>
                  </w:tcBorders>
                  <w:noWrap w:val="0"/>
                  <w:vAlign w:val="center"/>
                </w:tcPr>
                <w:p w14:paraId="55833287">
                  <w:pPr>
                    <w:keepNext w:val="0"/>
                    <w:keepLines w:val="0"/>
                    <w:widowControl/>
                    <w:suppressLineNumbers w:val="0"/>
                    <w:jc w:val="center"/>
                    <w:textAlignment w:val="center"/>
                    <w:rPr>
                      <w:rFonts w:hint="default" w:ascii="Times New Roman" w:hAnsi="Times New Roman"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0.0</w:t>
                  </w:r>
                  <w:r>
                    <w:rPr>
                      <w:rFonts w:hint="eastAsia" w:cs="Times New Roman"/>
                      <w:i w:val="0"/>
                      <w:iCs w:val="0"/>
                      <w:color w:val="auto"/>
                      <w:kern w:val="0"/>
                      <w:sz w:val="22"/>
                      <w:szCs w:val="22"/>
                      <w:u w:val="none"/>
                      <w:lang w:val="en-US" w:eastAsia="zh-CN" w:bidi="ar"/>
                    </w:rPr>
                    <w:t>05</w:t>
                  </w:r>
                </w:p>
              </w:tc>
              <w:tc>
                <w:tcPr>
                  <w:tcW w:w="471" w:type="pct"/>
                  <w:tcBorders>
                    <w:tl2br w:val="nil"/>
                    <w:tr2bl w:val="nil"/>
                  </w:tcBorders>
                  <w:noWrap w:val="0"/>
                  <w:vAlign w:val="center"/>
                </w:tcPr>
                <w:p w14:paraId="7EB019BC">
                  <w:pPr>
                    <w:adjustRightInd w:val="0"/>
                    <w:snapToGrid w:val="0"/>
                    <w:jc w:val="center"/>
                    <w:rPr>
                      <w:rFonts w:hint="eastAsia" w:eastAsia="宋体"/>
                      <w:color w:val="auto"/>
                      <w:lang w:val="en-US" w:eastAsia="zh-CN"/>
                    </w:rPr>
                  </w:pPr>
                  <w:r>
                    <w:rPr>
                      <w:rFonts w:hint="eastAsia"/>
                      <w:color w:val="auto"/>
                      <w:lang w:val="en-US" w:eastAsia="zh-CN"/>
                    </w:rPr>
                    <w:t>/</w:t>
                  </w:r>
                </w:p>
              </w:tc>
            </w:tr>
            <w:tr w14:paraId="51C33F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68" w:type="pct"/>
                  <w:vMerge w:val="restart"/>
                  <w:tcBorders>
                    <w:tl2br w:val="nil"/>
                    <w:tr2bl w:val="nil"/>
                  </w:tcBorders>
                  <w:noWrap w:val="0"/>
                  <w:vAlign w:val="center"/>
                </w:tcPr>
                <w:p w14:paraId="34B87AB3">
                  <w:pPr>
                    <w:adjustRightInd w:val="0"/>
                    <w:snapToGrid w:val="0"/>
                    <w:jc w:val="center"/>
                    <w:rPr>
                      <w:rFonts w:hint="eastAsia"/>
                      <w:color w:val="auto"/>
                      <w:kern w:val="2"/>
                      <w:sz w:val="21"/>
                      <w:szCs w:val="24"/>
                      <w:lang w:val="en-US" w:eastAsia="zh-CN" w:bidi="ar-SA"/>
                    </w:rPr>
                  </w:pPr>
                  <w:r>
                    <w:rPr>
                      <w:rFonts w:hint="eastAsia"/>
                      <w:color w:val="auto"/>
                      <w:lang w:val="en-US" w:eastAsia="zh-CN"/>
                    </w:rPr>
                    <w:t>变色材料制备废气</w:t>
                  </w:r>
                </w:p>
              </w:tc>
              <w:tc>
                <w:tcPr>
                  <w:tcW w:w="779" w:type="pct"/>
                  <w:tcBorders>
                    <w:tl2br w:val="nil"/>
                    <w:tr2bl w:val="nil"/>
                  </w:tcBorders>
                  <w:shd w:val="clear" w:color="auto" w:fill="auto"/>
                  <w:noWrap w:val="0"/>
                  <w:vAlign w:val="center"/>
                </w:tcPr>
                <w:p w14:paraId="2C68EA54">
                  <w:pPr>
                    <w:adjustRightInd w:val="0"/>
                    <w:snapToGrid w:val="0"/>
                    <w:jc w:val="center"/>
                    <w:rPr>
                      <w:rFonts w:hint="eastAsia" w:ascii="Times New Roman" w:hAnsi="Times New Roman" w:eastAsia="宋体" w:cs="Times New Roman"/>
                      <w:color w:val="auto"/>
                      <w:kern w:val="2"/>
                      <w:sz w:val="21"/>
                      <w:szCs w:val="24"/>
                      <w:lang w:val="en-US" w:eastAsia="zh-CN" w:bidi="ar-SA"/>
                    </w:rPr>
                  </w:pPr>
                  <w:r>
                    <w:rPr>
                      <w:rFonts w:hint="eastAsia"/>
                      <w:color w:val="auto"/>
                    </w:rPr>
                    <w:t>非甲烷总烃</w:t>
                  </w:r>
                </w:p>
              </w:tc>
              <w:tc>
                <w:tcPr>
                  <w:tcW w:w="251" w:type="pct"/>
                  <w:vMerge w:val="continue"/>
                  <w:tcBorders>
                    <w:tl2br w:val="nil"/>
                    <w:tr2bl w:val="nil"/>
                  </w:tcBorders>
                  <w:noWrap w:val="0"/>
                  <w:vAlign w:val="center"/>
                </w:tcPr>
                <w:p w14:paraId="3EF0E6BA">
                  <w:pPr>
                    <w:adjustRightInd w:val="0"/>
                    <w:snapToGrid w:val="0"/>
                    <w:jc w:val="center"/>
                    <w:rPr>
                      <w:rFonts w:hint="eastAsia"/>
                      <w:color w:val="auto"/>
                    </w:rPr>
                  </w:pPr>
                </w:p>
              </w:tc>
              <w:tc>
                <w:tcPr>
                  <w:tcW w:w="530" w:type="pct"/>
                  <w:tcBorders>
                    <w:tl2br w:val="nil"/>
                    <w:tr2bl w:val="nil"/>
                  </w:tcBorders>
                  <w:noWrap w:val="0"/>
                  <w:vAlign w:val="center"/>
                </w:tcPr>
                <w:p w14:paraId="3A96C9B4">
                  <w:pPr>
                    <w:adjustRightInd w:val="0"/>
                    <w:snapToGrid w:val="0"/>
                    <w:jc w:val="center"/>
                    <w:rPr>
                      <w:rFonts w:hint="default" w:eastAsia="宋体"/>
                      <w:color w:val="auto"/>
                      <w:kern w:val="2"/>
                      <w:sz w:val="21"/>
                      <w:szCs w:val="24"/>
                      <w:lang w:val="en-US" w:eastAsia="zh-CN" w:bidi="ar-SA"/>
                    </w:rPr>
                  </w:pPr>
                  <w:r>
                    <w:rPr>
                      <w:rFonts w:hint="eastAsia"/>
                      <w:color w:val="auto"/>
                      <w:lang w:val="en-US" w:eastAsia="zh-CN"/>
                    </w:rPr>
                    <w:t>0.00003</w:t>
                  </w:r>
                </w:p>
              </w:tc>
              <w:tc>
                <w:tcPr>
                  <w:tcW w:w="549" w:type="pct"/>
                  <w:tcBorders>
                    <w:tl2br w:val="nil"/>
                    <w:tr2bl w:val="nil"/>
                  </w:tcBorders>
                  <w:noWrap w:val="0"/>
                  <w:vAlign w:val="center"/>
                </w:tcPr>
                <w:p w14:paraId="177FD342">
                  <w:pPr>
                    <w:keepNext w:val="0"/>
                    <w:keepLines w:val="0"/>
                    <w:widowControl/>
                    <w:suppressLineNumbers w:val="0"/>
                    <w:jc w:val="center"/>
                    <w:textAlignment w:val="center"/>
                    <w:rPr>
                      <w:rFonts w:hint="default" w:ascii="Times New Roman" w:hAnsi="Times New Roman" w:cs="Times New Roman"/>
                      <w:color w:val="auto"/>
                      <w:lang w:val="en-US"/>
                    </w:rPr>
                  </w:pPr>
                  <w:r>
                    <w:rPr>
                      <w:rFonts w:hint="default" w:ascii="Times New Roman" w:hAnsi="Times New Roman" w:eastAsia="宋体" w:cs="Times New Roman"/>
                      <w:i w:val="0"/>
                      <w:iCs w:val="0"/>
                      <w:color w:val="auto"/>
                      <w:kern w:val="0"/>
                      <w:sz w:val="22"/>
                      <w:szCs w:val="22"/>
                      <w:u w:val="none"/>
                      <w:lang w:val="en-US" w:eastAsia="zh-CN" w:bidi="ar"/>
                    </w:rPr>
                    <w:t>0.00</w:t>
                  </w:r>
                  <w:r>
                    <w:rPr>
                      <w:rFonts w:hint="eastAsia" w:cs="Times New Roman"/>
                      <w:i w:val="0"/>
                      <w:iCs w:val="0"/>
                      <w:color w:val="auto"/>
                      <w:kern w:val="0"/>
                      <w:sz w:val="22"/>
                      <w:szCs w:val="22"/>
                      <w:u w:val="none"/>
                      <w:lang w:val="en-US" w:eastAsia="zh-CN" w:bidi="ar"/>
                    </w:rPr>
                    <w:t>002</w:t>
                  </w:r>
                </w:p>
              </w:tc>
              <w:tc>
                <w:tcPr>
                  <w:tcW w:w="470" w:type="pct"/>
                  <w:tcBorders>
                    <w:tl2br w:val="nil"/>
                    <w:tr2bl w:val="nil"/>
                  </w:tcBorders>
                  <w:noWrap w:val="0"/>
                  <w:vAlign w:val="center"/>
                </w:tcPr>
                <w:p w14:paraId="6171F908">
                  <w:pPr>
                    <w:adjustRightInd w:val="0"/>
                    <w:snapToGrid w:val="0"/>
                    <w:jc w:val="center"/>
                    <w:rPr>
                      <w:rFonts w:hint="eastAsia" w:eastAsia="宋体"/>
                      <w:color w:val="auto"/>
                      <w:lang w:val="en-US" w:eastAsia="zh-CN"/>
                    </w:rPr>
                  </w:pPr>
                  <w:r>
                    <w:rPr>
                      <w:rFonts w:hint="eastAsia"/>
                      <w:color w:val="auto"/>
                      <w:lang w:val="en-US" w:eastAsia="zh-CN"/>
                    </w:rPr>
                    <w:t>/</w:t>
                  </w:r>
                </w:p>
              </w:tc>
              <w:tc>
                <w:tcPr>
                  <w:tcW w:w="530" w:type="pct"/>
                  <w:tcBorders>
                    <w:tl2br w:val="nil"/>
                    <w:tr2bl w:val="nil"/>
                  </w:tcBorders>
                  <w:noWrap w:val="0"/>
                  <w:vAlign w:val="center"/>
                </w:tcPr>
                <w:p w14:paraId="195DC3EE">
                  <w:pPr>
                    <w:adjustRightInd w:val="0"/>
                    <w:snapToGrid w:val="0"/>
                    <w:jc w:val="center"/>
                    <w:rPr>
                      <w:rFonts w:hint="eastAsia" w:eastAsia="宋体"/>
                      <w:color w:val="auto"/>
                      <w:kern w:val="2"/>
                      <w:sz w:val="21"/>
                      <w:szCs w:val="24"/>
                      <w:lang w:val="en-US" w:eastAsia="zh-CN" w:bidi="ar-SA"/>
                    </w:rPr>
                  </w:pPr>
                  <w:r>
                    <w:rPr>
                      <w:rFonts w:hint="eastAsia"/>
                      <w:color w:val="auto"/>
                      <w:lang w:val="en-US" w:eastAsia="zh-CN"/>
                    </w:rPr>
                    <w:t>0.00003</w:t>
                  </w:r>
                </w:p>
              </w:tc>
              <w:tc>
                <w:tcPr>
                  <w:tcW w:w="549" w:type="pct"/>
                  <w:tcBorders>
                    <w:tl2br w:val="nil"/>
                    <w:tr2bl w:val="nil"/>
                  </w:tcBorders>
                  <w:noWrap w:val="0"/>
                  <w:vAlign w:val="center"/>
                </w:tcPr>
                <w:p w14:paraId="1E24E34E">
                  <w:pPr>
                    <w:keepNext w:val="0"/>
                    <w:keepLines w:val="0"/>
                    <w:widowControl/>
                    <w:suppressLineNumbers w:val="0"/>
                    <w:jc w:val="center"/>
                    <w:textAlignment w:val="center"/>
                    <w:rPr>
                      <w:rFonts w:hint="default" w:ascii="Times New Roman" w:hAnsi="Times New Roman"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0.00</w:t>
                  </w:r>
                  <w:r>
                    <w:rPr>
                      <w:rFonts w:hint="eastAsia" w:cs="Times New Roman"/>
                      <w:i w:val="0"/>
                      <w:iCs w:val="0"/>
                      <w:color w:val="auto"/>
                      <w:kern w:val="0"/>
                      <w:sz w:val="22"/>
                      <w:szCs w:val="22"/>
                      <w:u w:val="none"/>
                      <w:lang w:val="en-US" w:eastAsia="zh-CN" w:bidi="ar"/>
                    </w:rPr>
                    <w:t>002</w:t>
                  </w:r>
                </w:p>
              </w:tc>
              <w:tc>
                <w:tcPr>
                  <w:tcW w:w="471" w:type="pct"/>
                  <w:tcBorders>
                    <w:tl2br w:val="nil"/>
                    <w:tr2bl w:val="nil"/>
                  </w:tcBorders>
                  <w:noWrap w:val="0"/>
                  <w:vAlign w:val="center"/>
                </w:tcPr>
                <w:p w14:paraId="767AF118">
                  <w:pPr>
                    <w:adjustRightInd w:val="0"/>
                    <w:snapToGrid w:val="0"/>
                    <w:jc w:val="center"/>
                    <w:rPr>
                      <w:rFonts w:hint="eastAsia" w:eastAsia="宋体"/>
                      <w:color w:val="auto"/>
                      <w:lang w:val="en-US" w:eastAsia="zh-CN"/>
                    </w:rPr>
                  </w:pPr>
                  <w:r>
                    <w:rPr>
                      <w:rFonts w:hint="eastAsia"/>
                      <w:color w:val="auto"/>
                      <w:lang w:val="en-US" w:eastAsia="zh-CN"/>
                    </w:rPr>
                    <w:t>/</w:t>
                  </w:r>
                </w:p>
              </w:tc>
            </w:tr>
            <w:tr w14:paraId="3139F1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68" w:type="pct"/>
                  <w:vMerge w:val="continue"/>
                  <w:tcBorders>
                    <w:tl2br w:val="nil"/>
                    <w:tr2bl w:val="nil"/>
                  </w:tcBorders>
                  <w:noWrap w:val="0"/>
                  <w:vAlign w:val="center"/>
                </w:tcPr>
                <w:p w14:paraId="10B9EEA1">
                  <w:pPr>
                    <w:adjustRightInd w:val="0"/>
                    <w:snapToGrid w:val="0"/>
                    <w:jc w:val="center"/>
                    <w:rPr>
                      <w:rFonts w:hint="eastAsia"/>
                      <w:color w:val="auto"/>
                      <w:lang w:val="en-US" w:eastAsia="zh-CN"/>
                    </w:rPr>
                  </w:pPr>
                </w:p>
              </w:tc>
              <w:tc>
                <w:tcPr>
                  <w:tcW w:w="779" w:type="pct"/>
                  <w:tcBorders>
                    <w:tl2br w:val="nil"/>
                    <w:tr2bl w:val="nil"/>
                  </w:tcBorders>
                  <w:shd w:val="clear" w:color="auto" w:fill="auto"/>
                  <w:noWrap w:val="0"/>
                  <w:vAlign w:val="center"/>
                </w:tcPr>
                <w:p w14:paraId="2233F5C9">
                  <w:pPr>
                    <w:adjustRightInd w:val="0"/>
                    <w:snapToGrid w:val="0"/>
                    <w:jc w:val="center"/>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甲醇</w:t>
                  </w:r>
                </w:p>
              </w:tc>
              <w:tc>
                <w:tcPr>
                  <w:tcW w:w="251" w:type="pct"/>
                  <w:vMerge w:val="continue"/>
                  <w:tcBorders>
                    <w:tl2br w:val="nil"/>
                    <w:tr2bl w:val="nil"/>
                  </w:tcBorders>
                  <w:noWrap w:val="0"/>
                  <w:vAlign w:val="center"/>
                </w:tcPr>
                <w:p w14:paraId="3268394A">
                  <w:pPr>
                    <w:adjustRightInd w:val="0"/>
                    <w:snapToGrid w:val="0"/>
                    <w:jc w:val="center"/>
                    <w:rPr>
                      <w:rFonts w:hint="eastAsia"/>
                      <w:color w:val="auto"/>
                      <w:lang w:val="en-US" w:eastAsia="zh-CN"/>
                    </w:rPr>
                  </w:pPr>
                </w:p>
              </w:tc>
              <w:tc>
                <w:tcPr>
                  <w:tcW w:w="530" w:type="pct"/>
                  <w:tcBorders>
                    <w:tl2br w:val="nil"/>
                    <w:tr2bl w:val="nil"/>
                  </w:tcBorders>
                  <w:noWrap w:val="0"/>
                  <w:vAlign w:val="center"/>
                </w:tcPr>
                <w:p w14:paraId="6A9325DC">
                  <w:pPr>
                    <w:adjustRightInd w:val="0"/>
                    <w:snapToGrid w:val="0"/>
                    <w:jc w:val="center"/>
                    <w:rPr>
                      <w:rFonts w:hint="default"/>
                      <w:color w:val="auto"/>
                      <w:lang w:val="en-US" w:eastAsia="zh-CN"/>
                    </w:rPr>
                  </w:pPr>
                  <w:r>
                    <w:rPr>
                      <w:rFonts w:hint="eastAsia"/>
                      <w:color w:val="auto"/>
                      <w:lang w:val="en-US" w:eastAsia="zh-CN"/>
                    </w:rPr>
                    <w:t>0.01</w:t>
                  </w:r>
                </w:p>
              </w:tc>
              <w:tc>
                <w:tcPr>
                  <w:tcW w:w="549" w:type="pct"/>
                  <w:tcBorders>
                    <w:tl2br w:val="nil"/>
                    <w:tr2bl w:val="nil"/>
                  </w:tcBorders>
                  <w:noWrap w:val="0"/>
                  <w:vAlign w:val="center"/>
                </w:tcPr>
                <w:p w14:paraId="5E0782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0.005</w:t>
                  </w:r>
                </w:p>
              </w:tc>
              <w:tc>
                <w:tcPr>
                  <w:tcW w:w="470" w:type="pct"/>
                  <w:tcBorders>
                    <w:tl2br w:val="nil"/>
                    <w:tr2bl w:val="nil"/>
                  </w:tcBorders>
                  <w:noWrap w:val="0"/>
                  <w:vAlign w:val="center"/>
                </w:tcPr>
                <w:p w14:paraId="5960E498">
                  <w:pPr>
                    <w:adjustRightInd w:val="0"/>
                    <w:snapToGrid w:val="0"/>
                    <w:jc w:val="center"/>
                    <w:rPr>
                      <w:rFonts w:hint="eastAsia"/>
                      <w:color w:val="auto"/>
                      <w:lang w:val="en-US" w:eastAsia="zh-CN"/>
                    </w:rPr>
                  </w:pPr>
                </w:p>
              </w:tc>
              <w:tc>
                <w:tcPr>
                  <w:tcW w:w="530" w:type="pct"/>
                  <w:tcBorders>
                    <w:tl2br w:val="nil"/>
                    <w:tr2bl w:val="nil"/>
                  </w:tcBorders>
                  <w:noWrap w:val="0"/>
                  <w:vAlign w:val="center"/>
                </w:tcPr>
                <w:p w14:paraId="7347D5FB">
                  <w:pPr>
                    <w:adjustRightInd w:val="0"/>
                    <w:snapToGrid w:val="0"/>
                    <w:jc w:val="center"/>
                    <w:rPr>
                      <w:rFonts w:hint="eastAsia"/>
                      <w:color w:val="auto"/>
                    </w:rPr>
                  </w:pPr>
                  <w:r>
                    <w:rPr>
                      <w:rFonts w:hint="eastAsia"/>
                      <w:color w:val="auto"/>
                      <w:lang w:val="en-US" w:eastAsia="zh-CN"/>
                    </w:rPr>
                    <w:t>0.01</w:t>
                  </w:r>
                </w:p>
              </w:tc>
              <w:tc>
                <w:tcPr>
                  <w:tcW w:w="549" w:type="pct"/>
                  <w:tcBorders>
                    <w:tl2br w:val="nil"/>
                    <w:tr2bl w:val="nil"/>
                  </w:tcBorders>
                  <w:noWrap w:val="0"/>
                  <w:vAlign w:val="center"/>
                </w:tcPr>
                <w:p w14:paraId="45C082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0.005</w:t>
                  </w:r>
                </w:p>
              </w:tc>
              <w:tc>
                <w:tcPr>
                  <w:tcW w:w="471" w:type="pct"/>
                  <w:tcBorders>
                    <w:tl2br w:val="nil"/>
                    <w:tr2bl w:val="nil"/>
                  </w:tcBorders>
                  <w:noWrap w:val="0"/>
                  <w:vAlign w:val="center"/>
                </w:tcPr>
                <w:p w14:paraId="161EDCBB">
                  <w:pPr>
                    <w:adjustRightInd w:val="0"/>
                    <w:snapToGrid w:val="0"/>
                    <w:jc w:val="center"/>
                    <w:rPr>
                      <w:rFonts w:hint="eastAsia"/>
                      <w:color w:val="auto"/>
                      <w:lang w:val="en-US" w:eastAsia="zh-CN"/>
                    </w:rPr>
                  </w:pPr>
                </w:p>
              </w:tc>
            </w:tr>
            <w:tr w14:paraId="0F24DF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8" w:type="pct"/>
                  <w:tcBorders>
                    <w:tl2br w:val="nil"/>
                    <w:tr2bl w:val="nil"/>
                  </w:tcBorders>
                  <w:noWrap w:val="0"/>
                  <w:vAlign w:val="center"/>
                </w:tcPr>
                <w:p w14:paraId="0FCDCC08">
                  <w:pPr>
                    <w:adjustRightInd w:val="0"/>
                    <w:snapToGrid w:val="0"/>
                    <w:jc w:val="center"/>
                    <w:rPr>
                      <w:rFonts w:hint="eastAsia"/>
                      <w:color w:val="auto"/>
                      <w:kern w:val="2"/>
                      <w:sz w:val="21"/>
                      <w:szCs w:val="24"/>
                      <w:lang w:val="en-US" w:eastAsia="zh-CN" w:bidi="ar-SA"/>
                    </w:rPr>
                  </w:pPr>
                  <w:r>
                    <w:rPr>
                      <w:rFonts w:hint="eastAsia"/>
                      <w:color w:val="auto"/>
                      <w:lang w:val="en-US" w:eastAsia="zh-CN"/>
                    </w:rPr>
                    <w:t>敏感层制备废气</w:t>
                  </w:r>
                </w:p>
              </w:tc>
              <w:tc>
                <w:tcPr>
                  <w:tcW w:w="779" w:type="pct"/>
                  <w:tcBorders>
                    <w:tl2br w:val="nil"/>
                    <w:tr2bl w:val="nil"/>
                  </w:tcBorders>
                  <w:shd w:val="clear" w:color="auto" w:fill="auto"/>
                  <w:noWrap w:val="0"/>
                  <w:vAlign w:val="center"/>
                </w:tcPr>
                <w:p w14:paraId="7B77A637">
                  <w:pPr>
                    <w:adjustRightInd w:val="0"/>
                    <w:snapToGrid w:val="0"/>
                    <w:jc w:val="center"/>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甲苯</w:t>
                  </w:r>
                </w:p>
              </w:tc>
              <w:tc>
                <w:tcPr>
                  <w:tcW w:w="251" w:type="pct"/>
                  <w:vMerge w:val="continue"/>
                  <w:tcBorders>
                    <w:tl2br w:val="nil"/>
                    <w:tr2bl w:val="nil"/>
                  </w:tcBorders>
                  <w:noWrap w:val="0"/>
                  <w:vAlign w:val="center"/>
                </w:tcPr>
                <w:p w14:paraId="7C3EAA98">
                  <w:pPr>
                    <w:adjustRightInd w:val="0"/>
                    <w:snapToGrid w:val="0"/>
                    <w:jc w:val="center"/>
                    <w:rPr>
                      <w:rFonts w:hint="eastAsia"/>
                      <w:color w:val="auto"/>
                      <w:lang w:val="en-US" w:eastAsia="zh-CN"/>
                    </w:rPr>
                  </w:pPr>
                </w:p>
              </w:tc>
              <w:tc>
                <w:tcPr>
                  <w:tcW w:w="530" w:type="pct"/>
                  <w:tcBorders>
                    <w:tl2br w:val="nil"/>
                    <w:tr2bl w:val="nil"/>
                  </w:tcBorders>
                  <w:noWrap w:val="0"/>
                  <w:vAlign w:val="center"/>
                </w:tcPr>
                <w:p w14:paraId="15CEDB5E">
                  <w:pPr>
                    <w:adjustRightInd w:val="0"/>
                    <w:snapToGrid w:val="0"/>
                    <w:jc w:val="center"/>
                    <w:rPr>
                      <w:rFonts w:hint="eastAsia" w:eastAsia="宋体"/>
                      <w:color w:val="auto"/>
                      <w:kern w:val="2"/>
                      <w:sz w:val="21"/>
                      <w:szCs w:val="24"/>
                      <w:lang w:val="en-US" w:eastAsia="zh-CN" w:bidi="ar-SA"/>
                    </w:rPr>
                  </w:pPr>
                  <w:r>
                    <w:rPr>
                      <w:rFonts w:hint="eastAsia"/>
                      <w:color w:val="auto"/>
                      <w:lang w:val="en-US" w:eastAsia="zh-CN"/>
                    </w:rPr>
                    <w:t>0.002</w:t>
                  </w:r>
                </w:p>
              </w:tc>
              <w:tc>
                <w:tcPr>
                  <w:tcW w:w="549" w:type="pct"/>
                  <w:tcBorders>
                    <w:tl2br w:val="nil"/>
                    <w:tr2bl w:val="nil"/>
                  </w:tcBorders>
                  <w:noWrap w:val="0"/>
                  <w:vAlign w:val="center"/>
                </w:tcPr>
                <w:p w14:paraId="0AC20917">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2"/>
                      <w:szCs w:val="22"/>
                      <w:u w:val="none"/>
                      <w:lang w:val="en-US" w:eastAsia="zh-CN" w:bidi="ar"/>
                    </w:rPr>
                    <w:t>0.001</w:t>
                  </w:r>
                </w:p>
              </w:tc>
              <w:tc>
                <w:tcPr>
                  <w:tcW w:w="470" w:type="pct"/>
                  <w:tcBorders>
                    <w:tl2br w:val="nil"/>
                    <w:tr2bl w:val="nil"/>
                  </w:tcBorders>
                  <w:noWrap w:val="0"/>
                  <w:vAlign w:val="center"/>
                </w:tcPr>
                <w:p w14:paraId="033BFDDB">
                  <w:pPr>
                    <w:adjustRightInd w:val="0"/>
                    <w:snapToGrid w:val="0"/>
                    <w:jc w:val="center"/>
                    <w:rPr>
                      <w:rFonts w:hint="eastAsia" w:eastAsia="宋体"/>
                      <w:color w:val="auto"/>
                      <w:lang w:val="en-US" w:eastAsia="zh-CN"/>
                    </w:rPr>
                  </w:pPr>
                  <w:r>
                    <w:rPr>
                      <w:rFonts w:hint="eastAsia"/>
                      <w:color w:val="auto"/>
                      <w:lang w:val="en-US" w:eastAsia="zh-CN"/>
                    </w:rPr>
                    <w:t>/</w:t>
                  </w:r>
                </w:p>
              </w:tc>
              <w:tc>
                <w:tcPr>
                  <w:tcW w:w="530" w:type="pct"/>
                  <w:tcBorders>
                    <w:tl2br w:val="nil"/>
                    <w:tr2bl w:val="nil"/>
                  </w:tcBorders>
                  <w:noWrap w:val="0"/>
                  <w:vAlign w:val="center"/>
                </w:tcPr>
                <w:p w14:paraId="21608F0E">
                  <w:pPr>
                    <w:adjustRightInd w:val="0"/>
                    <w:snapToGrid w:val="0"/>
                    <w:jc w:val="center"/>
                    <w:rPr>
                      <w:rFonts w:hint="eastAsia" w:eastAsia="宋体"/>
                      <w:color w:val="auto"/>
                      <w:kern w:val="2"/>
                      <w:sz w:val="21"/>
                      <w:szCs w:val="24"/>
                      <w:lang w:val="en-US" w:eastAsia="zh-CN" w:bidi="ar-SA"/>
                    </w:rPr>
                  </w:pPr>
                  <w:r>
                    <w:rPr>
                      <w:rFonts w:hint="eastAsia"/>
                      <w:color w:val="auto"/>
                      <w:lang w:val="en-US" w:eastAsia="zh-CN"/>
                    </w:rPr>
                    <w:t>0.002</w:t>
                  </w:r>
                </w:p>
              </w:tc>
              <w:tc>
                <w:tcPr>
                  <w:tcW w:w="549" w:type="pct"/>
                  <w:tcBorders>
                    <w:tl2br w:val="nil"/>
                    <w:tr2bl w:val="nil"/>
                  </w:tcBorders>
                  <w:noWrap w:val="0"/>
                  <w:vAlign w:val="center"/>
                </w:tcPr>
                <w:p w14:paraId="5D359D34">
                  <w:pPr>
                    <w:keepNext w:val="0"/>
                    <w:keepLines w:val="0"/>
                    <w:widowControl/>
                    <w:suppressLineNumbers w:val="0"/>
                    <w:jc w:val="center"/>
                    <w:textAlignment w:val="center"/>
                    <w:rPr>
                      <w:rFonts w:hint="default" w:ascii="Times New Roman" w:hAnsi="Times New Roman"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0.001</w:t>
                  </w:r>
                </w:p>
              </w:tc>
              <w:tc>
                <w:tcPr>
                  <w:tcW w:w="471" w:type="pct"/>
                  <w:tcBorders>
                    <w:tl2br w:val="nil"/>
                    <w:tr2bl w:val="nil"/>
                  </w:tcBorders>
                  <w:noWrap w:val="0"/>
                  <w:vAlign w:val="center"/>
                </w:tcPr>
                <w:p w14:paraId="6BA764CD">
                  <w:pPr>
                    <w:adjustRightInd w:val="0"/>
                    <w:snapToGrid w:val="0"/>
                    <w:jc w:val="center"/>
                    <w:rPr>
                      <w:rFonts w:hint="eastAsia" w:eastAsia="宋体"/>
                      <w:color w:val="auto"/>
                      <w:lang w:val="en-US" w:eastAsia="zh-CN"/>
                    </w:rPr>
                  </w:pPr>
                  <w:r>
                    <w:rPr>
                      <w:rFonts w:hint="eastAsia"/>
                      <w:color w:val="auto"/>
                      <w:lang w:val="en-US" w:eastAsia="zh-CN"/>
                    </w:rPr>
                    <w:t>/</w:t>
                  </w:r>
                </w:p>
              </w:tc>
            </w:tr>
          </w:tbl>
          <w:p w14:paraId="4CBEDF99">
            <w:pPr>
              <w:numPr>
                <w:ilvl w:val="1"/>
                <w:numId w:val="10"/>
              </w:numPr>
              <w:adjustRightInd w:val="0"/>
              <w:snapToGrid w:val="0"/>
              <w:spacing w:line="360" w:lineRule="auto"/>
              <w:rPr>
                <w:rFonts w:hint="default" w:ascii="Times New Roman" w:hAnsi="Times New Roman" w:cs="Times New Roman"/>
                <w:b/>
                <w:bCs w:val="0"/>
                <w:color w:val="auto"/>
                <w:spacing w:val="0"/>
                <w:sz w:val="24"/>
                <w:szCs w:val="24"/>
                <w:lang w:val="en-US" w:eastAsia="zh-CN"/>
              </w:rPr>
            </w:pPr>
            <w:r>
              <w:rPr>
                <w:rFonts w:hint="default" w:ascii="Times New Roman" w:hAnsi="Times New Roman" w:cs="Times New Roman"/>
                <w:b/>
                <w:bCs w:val="0"/>
                <w:color w:val="auto"/>
                <w:spacing w:val="0"/>
                <w:sz w:val="24"/>
                <w:szCs w:val="24"/>
                <w:lang w:val="en-US" w:eastAsia="zh-CN"/>
              </w:rPr>
              <w:t>废气达标排放及影响分析</w:t>
            </w:r>
          </w:p>
          <w:p w14:paraId="3A73439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bCs w:val="0"/>
                <w:color w:val="auto"/>
                <w:spacing w:val="0"/>
                <w:sz w:val="24"/>
                <w:szCs w:val="24"/>
                <w:lang w:val="en-US" w:eastAsia="zh-CN"/>
              </w:rPr>
            </w:pPr>
            <w:r>
              <w:rPr>
                <w:rFonts w:hint="default" w:ascii="Times New Roman" w:hAnsi="Times New Roman" w:eastAsia="宋体" w:cs="Times New Roman"/>
                <w:color w:val="auto"/>
                <w:sz w:val="24"/>
                <w:szCs w:val="24"/>
                <w:lang w:val="en-US" w:eastAsia="zh-CN"/>
              </w:rPr>
              <w:t>项目催化浆料配制工序废气</w:t>
            </w:r>
            <w:r>
              <w:rPr>
                <w:rFonts w:hint="eastAsia" w:ascii="Times New Roman" w:hAnsi="Times New Roman" w:eastAsia="宋体" w:cs="Times New Roman"/>
                <w:color w:val="auto"/>
                <w:sz w:val="24"/>
                <w:szCs w:val="24"/>
                <w:lang w:val="en-US" w:eastAsia="zh-CN"/>
              </w:rPr>
              <w:t>、变色材料制备工序废气</w:t>
            </w:r>
            <w:r>
              <w:rPr>
                <w:rFonts w:hint="default" w:ascii="Times New Roman" w:hAnsi="Times New Roman" w:eastAsia="宋体" w:cs="Times New Roman"/>
                <w:color w:val="auto"/>
                <w:kern w:val="0"/>
                <w:sz w:val="24"/>
                <w:szCs w:val="24"/>
                <w:lang w:val="en-US" w:eastAsia="zh-CN" w:bidi="ar-SA"/>
              </w:rPr>
              <w:t>采用</w:t>
            </w:r>
            <w:r>
              <w:rPr>
                <w:rFonts w:hint="eastAsia" w:ascii="Times New Roman" w:hAnsi="Times New Roman" w:eastAsia="宋体" w:cs="Times New Roman"/>
                <w:color w:val="auto"/>
                <w:kern w:val="0"/>
                <w:sz w:val="24"/>
                <w:szCs w:val="24"/>
                <w:lang w:val="en-US" w:eastAsia="zh-CN" w:bidi="ar-SA"/>
              </w:rPr>
              <w:t>通风橱</w:t>
            </w:r>
            <w:r>
              <w:rPr>
                <w:rFonts w:hint="default" w:ascii="Times New Roman" w:hAnsi="Times New Roman" w:eastAsia="宋体" w:cs="Times New Roman"/>
                <w:color w:val="auto"/>
                <w:sz w:val="24"/>
                <w:szCs w:val="24"/>
                <w:lang w:val="en-US" w:eastAsia="zh-CN"/>
              </w:rPr>
              <w:t>收集，催化剂涂覆膜制备工序</w:t>
            </w:r>
            <w:r>
              <w:rPr>
                <w:rFonts w:hint="eastAsia" w:ascii="Times New Roman" w:hAnsi="Times New Roman" w:eastAsia="宋体" w:cs="Times New Roman"/>
                <w:color w:val="auto"/>
                <w:sz w:val="24"/>
                <w:szCs w:val="24"/>
                <w:lang w:val="en-US" w:eastAsia="zh-CN"/>
              </w:rPr>
              <w:t>废气、敏感层制备工序废气采用</w:t>
            </w:r>
            <w:r>
              <w:rPr>
                <w:rFonts w:hint="default" w:ascii="Times New Roman" w:hAnsi="Times New Roman" w:eastAsia="宋体" w:cs="Times New Roman"/>
                <w:color w:val="auto"/>
                <w:sz w:val="24"/>
                <w:lang w:val="en-US" w:eastAsia="zh-CN"/>
              </w:rPr>
              <w:t>密闭式</w:t>
            </w:r>
            <w:r>
              <w:rPr>
                <w:rFonts w:hint="eastAsia" w:ascii="Times New Roman" w:hAnsi="Times New Roman" w:eastAsia="宋体" w:cs="Times New Roman"/>
                <w:color w:val="auto"/>
                <w:sz w:val="24"/>
                <w:szCs w:val="24"/>
                <w:lang w:val="en-US" w:eastAsia="zh-CN"/>
              </w:rPr>
              <w:t>管道收集，</w:t>
            </w:r>
            <w:r>
              <w:rPr>
                <w:rFonts w:hint="default" w:ascii="Times New Roman" w:hAnsi="Times New Roman" w:eastAsia="宋体" w:cs="Times New Roman"/>
                <w:color w:val="auto"/>
                <w:sz w:val="24"/>
                <w:szCs w:val="24"/>
                <w:lang w:val="en-US" w:eastAsia="zh-CN"/>
              </w:rPr>
              <w:t>经</w:t>
            </w:r>
            <w:r>
              <w:rPr>
                <w:rFonts w:hint="eastAsia" w:ascii="Times New Roman" w:hAnsi="Times New Roman" w:eastAsia="宋体" w:cs="Times New Roman"/>
                <w:color w:val="auto"/>
                <w:sz w:val="24"/>
                <w:szCs w:val="24"/>
                <w:lang w:val="en-US" w:eastAsia="zh-CN"/>
              </w:rPr>
              <w:t>“二</w:t>
            </w:r>
            <w:r>
              <w:rPr>
                <w:rFonts w:hint="default" w:ascii="Times New Roman" w:hAnsi="Times New Roman" w:eastAsia="宋体" w:cs="Times New Roman"/>
                <w:color w:val="auto"/>
                <w:sz w:val="24"/>
                <w:szCs w:val="24"/>
                <w:lang w:val="en-US" w:eastAsia="zh-CN"/>
              </w:rPr>
              <w:t>级活性炭吸附装置</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处理后通过</w:t>
            </w:r>
            <w:r>
              <w:rPr>
                <w:rFonts w:hint="eastAsia" w:cs="Times New Roman"/>
                <w:color w:val="auto"/>
                <w:sz w:val="24"/>
                <w:szCs w:val="24"/>
                <w:lang w:val="en-US" w:eastAsia="zh-CN"/>
              </w:rPr>
              <w:t>15m</w:t>
            </w:r>
            <w:r>
              <w:rPr>
                <w:rFonts w:hint="default" w:ascii="Times New Roman" w:hAnsi="Times New Roman" w:eastAsia="宋体" w:cs="Times New Roman"/>
                <w:color w:val="auto"/>
                <w:sz w:val="24"/>
                <w:szCs w:val="24"/>
                <w:lang w:val="en-US" w:eastAsia="zh-CN"/>
              </w:rPr>
              <w:t>高排气</w:t>
            </w:r>
            <w:r>
              <w:rPr>
                <w:rFonts w:hint="default" w:ascii="Times New Roman" w:hAnsi="Times New Roman" w:eastAsia="宋体" w:cs="Times New Roman"/>
                <w:color w:val="auto"/>
                <w:sz w:val="24"/>
                <w:szCs w:val="24"/>
                <w:highlight w:val="none"/>
                <w:lang w:val="en-US" w:eastAsia="zh-CN"/>
              </w:rPr>
              <w:t>筒（DA001）排放</w:t>
            </w:r>
            <w:r>
              <w:rPr>
                <w:rFonts w:hint="default" w:ascii="Times New Roman" w:hAnsi="Times New Roman" w:eastAsia="宋体" w:cs="Times New Roman"/>
                <w:color w:val="auto"/>
                <w:sz w:val="24"/>
                <w:szCs w:val="24"/>
                <w:lang w:val="en-US" w:eastAsia="zh-CN"/>
              </w:rPr>
              <w:t>，排放浓度</w:t>
            </w:r>
            <w:r>
              <w:rPr>
                <w:rFonts w:hint="default" w:ascii="Times New Roman" w:hAnsi="Times New Roman" w:eastAsia="宋体" w:cs="Times New Roman"/>
                <w:color w:val="auto"/>
                <w:w w:val="100"/>
                <w:kern w:val="2"/>
                <w:sz w:val="24"/>
                <w:szCs w:val="24"/>
                <w:lang w:val="en-US" w:eastAsia="zh-CN" w:bidi="ar-SA"/>
              </w:rPr>
              <w:t>满足</w:t>
            </w:r>
            <w:r>
              <w:rPr>
                <w:rFonts w:hint="eastAsia"/>
                <w:color w:val="auto"/>
                <w:sz w:val="24"/>
                <w:lang w:val="en-US" w:eastAsia="zh-CN"/>
              </w:rPr>
              <w:t>《大气污染物综合排放标准》（GB16297-1996）表2二级标准。</w:t>
            </w:r>
          </w:p>
          <w:p w14:paraId="0CD7320A">
            <w:pPr>
              <w:numPr>
                <w:ilvl w:val="1"/>
                <w:numId w:val="10"/>
              </w:numPr>
              <w:adjustRightInd w:val="0"/>
              <w:snapToGrid w:val="0"/>
              <w:spacing w:line="360" w:lineRule="auto"/>
              <w:rPr>
                <w:rFonts w:hint="default" w:ascii="Times New Roman" w:hAnsi="Times New Roman" w:cs="Times New Roman"/>
                <w:b/>
                <w:bCs w:val="0"/>
                <w:color w:val="auto"/>
                <w:spacing w:val="0"/>
                <w:sz w:val="24"/>
                <w:szCs w:val="24"/>
                <w:lang w:val="en-US" w:eastAsia="zh-CN"/>
              </w:rPr>
            </w:pPr>
            <w:r>
              <w:rPr>
                <w:rFonts w:hint="default" w:ascii="Times New Roman" w:hAnsi="Times New Roman" w:cs="Times New Roman"/>
                <w:b/>
                <w:bCs w:val="0"/>
                <w:color w:val="auto"/>
                <w:spacing w:val="0"/>
                <w:sz w:val="24"/>
                <w:szCs w:val="24"/>
                <w:lang w:val="en-US" w:eastAsia="zh-CN"/>
              </w:rPr>
              <w:t>废气治理措施可行性分析</w:t>
            </w:r>
          </w:p>
          <w:p w14:paraId="79132C5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lang w:val="en-US" w:eastAsia="zh-CN"/>
              </w:rPr>
              <w:t>项目催化浆料配制工序废气</w:t>
            </w:r>
            <w:r>
              <w:rPr>
                <w:rFonts w:hint="eastAsia" w:ascii="Times New Roman" w:hAnsi="Times New Roman" w:eastAsia="宋体" w:cs="Times New Roman"/>
                <w:color w:val="auto"/>
                <w:sz w:val="24"/>
                <w:szCs w:val="24"/>
                <w:lang w:val="en-US" w:eastAsia="zh-CN"/>
              </w:rPr>
              <w:t>、变色材料制备工序废气</w:t>
            </w:r>
            <w:r>
              <w:rPr>
                <w:rFonts w:hint="default" w:ascii="Times New Roman" w:hAnsi="Times New Roman" w:eastAsia="宋体" w:cs="Times New Roman"/>
                <w:color w:val="auto"/>
                <w:kern w:val="0"/>
                <w:sz w:val="24"/>
                <w:szCs w:val="24"/>
                <w:lang w:val="en-US" w:eastAsia="zh-CN" w:bidi="ar-SA"/>
              </w:rPr>
              <w:t>采用</w:t>
            </w:r>
            <w:r>
              <w:rPr>
                <w:rFonts w:hint="eastAsia" w:ascii="Times New Roman" w:hAnsi="Times New Roman" w:eastAsia="宋体" w:cs="Times New Roman"/>
                <w:color w:val="auto"/>
                <w:kern w:val="0"/>
                <w:sz w:val="24"/>
                <w:szCs w:val="24"/>
                <w:lang w:val="en-US" w:eastAsia="zh-CN" w:bidi="ar-SA"/>
              </w:rPr>
              <w:t>通风橱</w:t>
            </w:r>
            <w:r>
              <w:rPr>
                <w:rFonts w:hint="default" w:ascii="Times New Roman" w:hAnsi="Times New Roman" w:eastAsia="宋体" w:cs="Times New Roman"/>
                <w:color w:val="auto"/>
                <w:sz w:val="24"/>
                <w:szCs w:val="24"/>
                <w:lang w:val="en-US" w:eastAsia="zh-CN"/>
              </w:rPr>
              <w:t>收集，催化剂涂覆膜制备工序</w:t>
            </w:r>
            <w:r>
              <w:rPr>
                <w:rFonts w:hint="eastAsia" w:ascii="Times New Roman" w:hAnsi="Times New Roman" w:eastAsia="宋体" w:cs="Times New Roman"/>
                <w:color w:val="auto"/>
                <w:sz w:val="24"/>
                <w:szCs w:val="24"/>
                <w:lang w:val="en-US" w:eastAsia="zh-CN"/>
              </w:rPr>
              <w:t>废气、敏感层制备工序废气采用</w:t>
            </w:r>
            <w:r>
              <w:rPr>
                <w:rFonts w:hint="default" w:ascii="Times New Roman" w:hAnsi="Times New Roman" w:eastAsia="宋体" w:cs="Times New Roman"/>
                <w:color w:val="auto"/>
                <w:sz w:val="24"/>
                <w:lang w:val="en-US" w:eastAsia="zh-CN"/>
              </w:rPr>
              <w:t>密闭式</w:t>
            </w:r>
            <w:r>
              <w:rPr>
                <w:rFonts w:hint="eastAsia" w:ascii="Times New Roman" w:hAnsi="Times New Roman" w:eastAsia="宋体" w:cs="Times New Roman"/>
                <w:color w:val="auto"/>
                <w:sz w:val="24"/>
                <w:szCs w:val="24"/>
                <w:lang w:val="en-US" w:eastAsia="zh-CN"/>
              </w:rPr>
              <w:t>管道收集，</w:t>
            </w:r>
            <w:r>
              <w:rPr>
                <w:rFonts w:hint="default" w:ascii="Times New Roman" w:hAnsi="Times New Roman" w:eastAsia="宋体" w:cs="Times New Roman"/>
                <w:color w:val="auto"/>
                <w:sz w:val="24"/>
                <w:szCs w:val="24"/>
                <w:lang w:val="en-US" w:eastAsia="zh-CN"/>
              </w:rPr>
              <w:t>经</w:t>
            </w:r>
            <w:r>
              <w:rPr>
                <w:rFonts w:hint="eastAsia" w:ascii="Times New Roman" w:hAnsi="Times New Roman" w:eastAsia="宋体" w:cs="Times New Roman"/>
                <w:color w:val="auto"/>
                <w:sz w:val="24"/>
                <w:szCs w:val="24"/>
                <w:lang w:val="en-US" w:eastAsia="zh-CN"/>
              </w:rPr>
              <w:t>“二</w:t>
            </w:r>
            <w:r>
              <w:rPr>
                <w:rFonts w:hint="default" w:ascii="Times New Roman" w:hAnsi="Times New Roman" w:eastAsia="宋体" w:cs="Times New Roman"/>
                <w:color w:val="auto"/>
                <w:sz w:val="24"/>
                <w:szCs w:val="24"/>
                <w:lang w:val="en-US" w:eastAsia="zh-CN"/>
              </w:rPr>
              <w:t>级活性炭吸附装置</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处理后通过</w:t>
            </w:r>
            <w:r>
              <w:rPr>
                <w:rFonts w:hint="eastAsia" w:ascii="Times New Roman" w:hAnsi="Times New Roman" w:eastAsia="宋体" w:cs="Times New Roman"/>
                <w:color w:val="auto"/>
                <w:sz w:val="24"/>
                <w:szCs w:val="24"/>
                <w:lang w:val="en-US" w:eastAsia="zh-CN"/>
              </w:rPr>
              <w:t>1</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m高排气</w:t>
            </w:r>
            <w:r>
              <w:rPr>
                <w:rFonts w:hint="default" w:ascii="Times New Roman" w:hAnsi="Times New Roman" w:eastAsia="宋体" w:cs="Times New Roman"/>
                <w:color w:val="auto"/>
                <w:sz w:val="24"/>
                <w:szCs w:val="24"/>
                <w:highlight w:val="none"/>
                <w:lang w:val="en-US" w:eastAsia="zh-CN"/>
              </w:rPr>
              <w:t>筒（DA001）排放</w:t>
            </w:r>
            <w:r>
              <w:rPr>
                <w:rFonts w:hint="default" w:ascii="Times New Roman" w:hAnsi="Times New Roman" w:cs="Times New Roman"/>
                <w:color w:val="auto"/>
                <w:sz w:val="24"/>
                <w:szCs w:val="24"/>
                <w:lang w:val="en-US" w:eastAsia="zh-CN" w:bidi="ar"/>
              </w:rPr>
              <w:t>。</w:t>
            </w:r>
            <w:r>
              <w:rPr>
                <w:rFonts w:hint="eastAsia"/>
                <w:color w:val="auto"/>
                <w:sz w:val="24"/>
                <w:szCs w:val="24"/>
                <w:lang w:val="en-US" w:eastAsia="zh-CN"/>
              </w:rPr>
              <w:t>活性炭是一种广谱吸附剂，对绝大多数有机废气都具有良好的吸附作用，同时对产生的恶臭也有一定的吸附作用。</w:t>
            </w:r>
            <w:r>
              <w:rPr>
                <w:rFonts w:hint="eastAsia"/>
                <w:color w:val="auto"/>
                <w:sz w:val="24"/>
                <w:szCs w:val="24"/>
                <w:highlight w:val="none"/>
                <w:lang w:val="en-US" w:eastAsia="zh-CN"/>
              </w:rPr>
              <w:t>本项目经处理后的废气可以满足</w:t>
            </w:r>
            <w:r>
              <w:rPr>
                <w:rFonts w:hint="eastAsia"/>
                <w:color w:val="auto"/>
                <w:sz w:val="24"/>
                <w:lang w:val="en-US" w:eastAsia="zh-CN"/>
              </w:rPr>
              <w:t>《大气污染物综合排放标准》（GB16297-1996）表2二级标准，</w:t>
            </w:r>
            <w:r>
              <w:rPr>
                <w:rFonts w:hint="eastAsia"/>
                <w:color w:val="auto"/>
                <w:sz w:val="24"/>
                <w:szCs w:val="24"/>
                <w:lang w:val="en-US" w:eastAsia="zh-CN"/>
              </w:rPr>
              <w:t>实现达标排放。因此本项目采用二级活性炭吸附处理措施技术上可行。</w:t>
            </w:r>
          </w:p>
          <w:p w14:paraId="5252AF34">
            <w:pPr>
              <w:numPr>
                <w:ilvl w:val="1"/>
                <w:numId w:val="10"/>
              </w:numPr>
              <w:adjustRightInd w:val="0"/>
              <w:snapToGrid w:val="0"/>
              <w:spacing w:line="360" w:lineRule="auto"/>
              <w:rPr>
                <w:rFonts w:hint="default" w:ascii="Times New Roman" w:hAnsi="Times New Roman" w:cs="Times New Roman"/>
                <w:b/>
                <w:bCs w:val="0"/>
                <w:color w:val="auto"/>
                <w:spacing w:val="0"/>
                <w:sz w:val="24"/>
                <w:szCs w:val="24"/>
                <w:lang w:val="en-US" w:eastAsia="zh-CN"/>
              </w:rPr>
            </w:pPr>
            <w:r>
              <w:rPr>
                <w:rFonts w:hint="default" w:ascii="Times New Roman" w:hAnsi="Times New Roman" w:cs="Times New Roman"/>
                <w:b/>
                <w:bCs w:val="0"/>
                <w:color w:val="auto"/>
                <w:spacing w:val="0"/>
                <w:sz w:val="24"/>
                <w:szCs w:val="24"/>
                <w:lang w:val="en-US" w:eastAsia="zh-CN"/>
              </w:rPr>
              <w:t>排放口基本情况</w:t>
            </w:r>
          </w:p>
          <w:p w14:paraId="784BCA54">
            <w:pPr>
              <w:numPr>
                <w:ilvl w:val="0"/>
                <w:numId w:val="0"/>
              </w:numPr>
              <w:adjustRightInd w:val="0"/>
              <w:snapToGrid w:val="0"/>
              <w:spacing w:line="240" w:lineRule="auto"/>
              <w:ind w:leftChars="0" w:firstLine="480" w:firstLineChars="200"/>
              <w:rPr>
                <w:rFonts w:hint="default" w:ascii="Times New Roman" w:hAnsi="Times New Roman" w:cs="Times New Roman"/>
                <w:b w:val="0"/>
                <w:bCs/>
                <w:color w:val="auto"/>
                <w:spacing w:val="0"/>
                <w:sz w:val="24"/>
                <w:szCs w:val="24"/>
                <w:lang w:val="en-US" w:eastAsia="zh-CN"/>
              </w:rPr>
            </w:pPr>
            <w:r>
              <w:rPr>
                <w:rFonts w:hint="default" w:ascii="Times New Roman" w:hAnsi="Times New Roman" w:cs="Times New Roman"/>
                <w:b w:val="0"/>
                <w:bCs/>
                <w:color w:val="auto"/>
                <w:spacing w:val="0"/>
                <w:sz w:val="24"/>
                <w:szCs w:val="24"/>
                <w:lang w:val="en-US" w:eastAsia="zh-CN"/>
              </w:rPr>
              <w:t>本项目废气排放口基本情况见下表。</w:t>
            </w:r>
          </w:p>
          <w:p w14:paraId="21578024">
            <w:pPr>
              <w:numPr>
                <w:ilvl w:val="0"/>
                <w:numId w:val="0"/>
              </w:numPr>
              <w:adjustRightInd w:val="0"/>
              <w:snapToGrid w:val="0"/>
              <w:spacing w:line="240" w:lineRule="auto"/>
              <w:jc w:val="center"/>
              <w:rPr>
                <w:rFonts w:hint="default" w:ascii="Times New Roman" w:hAnsi="Times New Roman" w:cs="Times New Roman"/>
                <w:b/>
                <w:bCs w:val="0"/>
                <w:color w:val="auto"/>
                <w:spacing w:val="0"/>
                <w:sz w:val="21"/>
                <w:szCs w:val="21"/>
                <w:lang w:val="en-US" w:eastAsia="zh-CN"/>
              </w:rPr>
            </w:pPr>
            <w:r>
              <w:rPr>
                <w:rFonts w:hint="default" w:ascii="Times New Roman" w:hAnsi="Times New Roman" w:cs="Times New Roman"/>
                <w:b/>
                <w:bCs w:val="0"/>
                <w:color w:val="auto"/>
                <w:spacing w:val="0"/>
                <w:sz w:val="24"/>
                <w:szCs w:val="24"/>
                <w:lang w:val="en-US" w:eastAsia="zh-CN"/>
              </w:rPr>
              <w:t>表4-</w:t>
            </w:r>
            <w:r>
              <w:rPr>
                <w:rFonts w:hint="eastAsia" w:ascii="Times New Roman" w:hAnsi="Times New Roman" w:cs="Times New Roman"/>
                <w:b/>
                <w:bCs w:val="0"/>
                <w:color w:val="auto"/>
                <w:spacing w:val="0"/>
                <w:sz w:val="24"/>
                <w:szCs w:val="24"/>
                <w:lang w:val="en-US" w:eastAsia="zh-CN"/>
              </w:rPr>
              <w:t xml:space="preserve">3  </w:t>
            </w:r>
            <w:r>
              <w:rPr>
                <w:rFonts w:hint="default" w:ascii="Times New Roman" w:hAnsi="Times New Roman" w:cs="Times New Roman"/>
                <w:b/>
                <w:bCs w:val="0"/>
                <w:color w:val="auto"/>
                <w:spacing w:val="0"/>
                <w:sz w:val="24"/>
                <w:szCs w:val="24"/>
                <w:lang w:val="en-US" w:eastAsia="zh-CN"/>
              </w:rPr>
              <w:t>废气排放口基本情况一览表</w:t>
            </w:r>
          </w:p>
          <w:tbl>
            <w:tblPr>
              <w:tblStyle w:val="26"/>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1438"/>
              <w:gridCol w:w="1677"/>
              <w:gridCol w:w="451"/>
              <w:gridCol w:w="589"/>
              <w:gridCol w:w="589"/>
              <w:gridCol w:w="814"/>
              <w:gridCol w:w="1951"/>
            </w:tblGrid>
            <w:tr w14:paraId="7D3C0D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571" w:type="pct"/>
                  <w:tcBorders>
                    <w:tl2br w:val="nil"/>
                    <w:tr2bl w:val="nil"/>
                  </w:tcBorders>
                  <w:shd w:val="clear" w:color="auto" w:fill="auto"/>
                  <w:noWrap w:val="0"/>
                  <w:vAlign w:val="center"/>
                </w:tcPr>
                <w:p w14:paraId="73F28CA4">
                  <w:pPr>
                    <w:pStyle w:val="7"/>
                    <w:ind w:firstLine="0" w:firstLineChars="0"/>
                    <w:jc w:val="center"/>
                    <w:rPr>
                      <w:b/>
                      <w:color w:val="auto"/>
                      <w:szCs w:val="21"/>
                    </w:rPr>
                  </w:pPr>
                  <w:r>
                    <w:rPr>
                      <w:b/>
                      <w:color w:val="auto"/>
                      <w:szCs w:val="21"/>
                    </w:rPr>
                    <w:t>编号</w:t>
                  </w:r>
                </w:p>
              </w:tc>
              <w:tc>
                <w:tcPr>
                  <w:tcW w:w="848" w:type="pct"/>
                  <w:tcBorders>
                    <w:tl2br w:val="nil"/>
                    <w:tr2bl w:val="nil"/>
                  </w:tcBorders>
                  <w:shd w:val="clear" w:color="auto" w:fill="FFFFFF"/>
                  <w:noWrap w:val="0"/>
                  <w:vAlign w:val="center"/>
                </w:tcPr>
                <w:p w14:paraId="638F1D71">
                  <w:pPr>
                    <w:pStyle w:val="7"/>
                    <w:ind w:firstLine="0" w:firstLineChars="0"/>
                    <w:jc w:val="center"/>
                    <w:rPr>
                      <w:b/>
                      <w:color w:val="auto"/>
                      <w:szCs w:val="21"/>
                    </w:rPr>
                  </w:pPr>
                  <w:r>
                    <w:rPr>
                      <w:b/>
                      <w:color w:val="auto"/>
                      <w:szCs w:val="21"/>
                    </w:rPr>
                    <w:t>名称</w:t>
                  </w:r>
                </w:p>
              </w:tc>
              <w:tc>
                <w:tcPr>
                  <w:tcW w:w="989" w:type="pct"/>
                  <w:tcBorders>
                    <w:tl2br w:val="nil"/>
                    <w:tr2bl w:val="nil"/>
                  </w:tcBorders>
                  <w:shd w:val="clear" w:color="auto" w:fill="FFFFFF"/>
                  <w:noWrap w:val="0"/>
                  <w:vAlign w:val="center"/>
                </w:tcPr>
                <w:p w14:paraId="42704213">
                  <w:pPr>
                    <w:pStyle w:val="7"/>
                    <w:ind w:firstLine="0" w:firstLineChars="0"/>
                    <w:jc w:val="center"/>
                    <w:rPr>
                      <w:b/>
                      <w:color w:val="auto"/>
                      <w:szCs w:val="21"/>
                    </w:rPr>
                  </w:pPr>
                  <w:r>
                    <w:rPr>
                      <w:b/>
                      <w:color w:val="auto"/>
                      <w:szCs w:val="21"/>
                    </w:rPr>
                    <w:t>排气筒底部中心坐标/°</w:t>
                  </w:r>
                </w:p>
              </w:tc>
              <w:tc>
                <w:tcPr>
                  <w:tcW w:w="266" w:type="pct"/>
                  <w:tcBorders>
                    <w:tl2br w:val="nil"/>
                    <w:tr2bl w:val="nil"/>
                  </w:tcBorders>
                  <w:noWrap w:val="0"/>
                  <w:vAlign w:val="center"/>
                </w:tcPr>
                <w:p w14:paraId="41D43E5B">
                  <w:pPr>
                    <w:pStyle w:val="7"/>
                    <w:ind w:firstLine="0" w:firstLineChars="0"/>
                    <w:jc w:val="center"/>
                    <w:rPr>
                      <w:b/>
                      <w:color w:val="auto"/>
                      <w:szCs w:val="21"/>
                    </w:rPr>
                  </w:pPr>
                  <w:r>
                    <w:rPr>
                      <w:b/>
                      <w:color w:val="auto"/>
                      <w:szCs w:val="21"/>
                    </w:rPr>
                    <w:t>排气筒高度/m</w:t>
                  </w:r>
                </w:p>
              </w:tc>
              <w:tc>
                <w:tcPr>
                  <w:tcW w:w="347" w:type="pct"/>
                  <w:tcBorders>
                    <w:tl2br w:val="nil"/>
                    <w:tr2bl w:val="nil"/>
                  </w:tcBorders>
                  <w:noWrap w:val="0"/>
                  <w:vAlign w:val="center"/>
                </w:tcPr>
                <w:p w14:paraId="3DE1D391">
                  <w:pPr>
                    <w:pStyle w:val="7"/>
                    <w:ind w:firstLine="0" w:firstLineChars="0"/>
                    <w:jc w:val="center"/>
                    <w:rPr>
                      <w:b/>
                      <w:color w:val="auto"/>
                      <w:szCs w:val="21"/>
                    </w:rPr>
                  </w:pPr>
                  <w:r>
                    <w:rPr>
                      <w:b/>
                      <w:color w:val="auto"/>
                      <w:szCs w:val="21"/>
                    </w:rPr>
                    <w:t>排气筒出口内径/m</w:t>
                  </w:r>
                </w:p>
              </w:tc>
              <w:tc>
                <w:tcPr>
                  <w:tcW w:w="347" w:type="pct"/>
                  <w:tcBorders>
                    <w:tl2br w:val="nil"/>
                    <w:tr2bl w:val="nil"/>
                  </w:tcBorders>
                  <w:noWrap w:val="0"/>
                  <w:vAlign w:val="center"/>
                </w:tcPr>
                <w:p w14:paraId="1A6390A2">
                  <w:pPr>
                    <w:pStyle w:val="7"/>
                    <w:ind w:firstLine="0" w:firstLineChars="0"/>
                    <w:jc w:val="center"/>
                    <w:rPr>
                      <w:b/>
                      <w:color w:val="auto"/>
                      <w:szCs w:val="21"/>
                    </w:rPr>
                  </w:pPr>
                  <w:r>
                    <w:rPr>
                      <w:b/>
                      <w:color w:val="auto"/>
                      <w:szCs w:val="21"/>
                    </w:rPr>
                    <w:t>烟气温度/℃</w:t>
                  </w:r>
                </w:p>
              </w:tc>
              <w:tc>
                <w:tcPr>
                  <w:tcW w:w="480" w:type="pct"/>
                  <w:tcBorders>
                    <w:tl2br w:val="nil"/>
                    <w:tr2bl w:val="nil"/>
                  </w:tcBorders>
                  <w:noWrap w:val="0"/>
                  <w:vAlign w:val="center"/>
                </w:tcPr>
                <w:p w14:paraId="25B02522">
                  <w:pPr>
                    <w:pStyle w:val="7"/>
                    <w:ind w:firstLine="0" w:firstLineChars="0"/>
                    <w:jc w:val="center"/>
                    <w:rPr>
                      <w:b/>
                      <w:color w:val="auto"/>
                      <w:szCs w:val="21"/>
                    </w:rPr>
                  </w:pPr>
                  <w:r>
                    <w:rPr>
                      <w:b/>
                      <w:color w:val="auto"/>
                      <w:szCs w:val="21"/>
                    </w:rPr>
                    <w:t>排放口类型</w:t>
                  </w:r>
                </w:p>
              </w:tc>
              <w:tc>
                <w:tcPr>
                  <w:tcW w:w="1150" w:type="pct"/>
                  <w:tcBorders>
                    <w:tl2br w:val="nil"/>
                    <w:tr2bl w:val="nil"/>
                  </w:tcBorders>
                  <w:noWrap w:val="0"/>
                  <w:vAlign w:val="center"/>
                </w:tcPr>
                <w:p w14:paraId="721CE364">
                  <w:pPr>
                    <w:pStyle w:val="7"/>
                    <w:ind w:firstLine="0" w:firstLineChars="0"/>
                    <w:jc w:val="center"/>
                    <w:rPr>
                      <w:b/>
                      <w:color w:val="auto"/>
                      <w:szCs w:val="21"/>
                    </w:rPr>
                  </w:pPr>
                  <w:r>
                    <w:rPr>
                      <w:b/>
                      <w:color w:val="auto"/>
                      <w:szCs w:val="21"/>
                    </w:rPr>
                    <w:t>排放标准</w:t>
                  </w:r>
                </w:p>
              </w:tc>
            </w:tr>
            <w:tr w14:paraId="722C05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571" w:type="pct"/>
                  <w:tcBorders>
                    <w:tl2br w:val="nil"/>
                    <w:tr2bl w:val="nil"/>
                  </w:tcBorders>
                  <w:shd w:val="clear" w:color="auto" w:fill="auto"/>
                  <w:noWrap w:val="0"/>
                  <w:vAlign w:val="center"/>
                </w:tcPr>
                <w:p w14:paraId="7E18A064">
                  <w:pPr>
                    <w:pStyle w:val="7"/>
                    <w:ind w:firstLine="0" w:firstLineChars="0"/>
                    <w:jc w:val="center"/>
                    <w:rPr>
                      <w:color w:val="auto"/>
                      <w:szCs w:val="21"/>
                    </w:rPr>
                  </w:pPr>
                  <w:r>
                    <w:rPr>
                      <w:rFonts w:hint="eastAsia"/>
                      <w:color w:val="auto"/>
                      <w:szCs w:val="21"/>
                    </w:rPr>
                    <w:t>DA001</w:t>
                  </w:r>
                </w:p>
              </w:tc>
              <w:tc>
                <w:tcPr>
                  <w:tcW w:w="848" w:type="pct"/>
                  <w:tcBorders>
                    <w:tl2br w:val="nil"/>
                    <w:tr2bl w:val="nil"/>
                  </w:tcBorders>
                  <w:shd w:val="clear" w:color="auto" w:fill="FFFFFF"/>
                  <w:noWrap w:val="0"/>
                  <w:vAlign w:val="center"/>
                </w:tcPr>
                <w:p w14:paraId="19CD3671">
                  <w:pPr>
                    <w:pStyle w:val="7"/>
                    <w:ind w:firstLine="0" w:firstLineChars="0"/>
                    <w:jc w:val="center"/>
                    <w:rPr>
                      <w:color w:val="auto"/>
                      <w:szCs w:val="21"/>
                    </w:rPr>
                  </w:pPr>
                  <w:r>
                    <w:rPr>
                      <w:rFonts w:hint="eastAsia"/>
                      <w:color w:val="auto"/>
                      <w:szCs w:val="21"/>
                    </w:rPr>
                    <w:t>废气</w:t>
                  </w:r>
                  <w:r>
                    <w:rPr>
                      <w:color w:val="auto"/>
                      <w:szCs w:val="21"/>
                    </w:rPr>
                    <w:t>排气筒</w:t>
                  </w:r>
                </w:p>
              </w:tc>
              <w:tc>
                <w:tcPr>
                  <w:tcW w:w="989" w:type="pct"/>
                  <w:tcBorders>
                    <w:tl2br w:val="nil"/>
                    <w:tr2bl w:val="nil"/>
                  </w:tcBorders>
                  <w:shd w:val="clear" w:color="auto" w:fill="FFFFFF"/>
                  <w:noWrap w:val="0"/>
                  <w:vAlign w:val="center"/>
                </w:tcPr>
                <w:p w14:paraId="6DFC4604">
                  <w:pPr>
                    <w:pStyle w:val="23"/>
                    <w:spacing w:before="0" w:beforeAutospacing="0" w:after="0" w:afterAutospacing="0"/>
                    <w:jc w:val="center"/>
                    <w:rPr>
                      <w:rFonts w:ascii="Times New Roman" w:hAnsi="Times New Roman"/>
                      <w:color w:val="auto"/>
                      <w:sz w:val="21"/>
                      <w:szCs w:val="21"/>
                    </w:rPr>
                  </w:pPr>
                  <w:r>
                    <w:rPr>
                      <w:rFonts w:hint="eastAsia" w:ascii="Times New Roman" w:hAnsi="Times New Roman"/>
                      <w:color w:val="auto"/>
                      <w:sz w:val="21"/>
                      <w:szCs w:val="21"/>
                    </w:rPr>
                    <w:t>108.95802766</w:t>
                  </w:r>
                  <w:r>
                    <w:rPr>
                      <w:rFonts w:hint="eastAsia" w:ascii="Times New Roman" w:hAnsi="Times New Roman"/>
                      <w:color w:val="auto"/>
                      <w:sz w:val="21"/>
                      <w:szCs w:val="21"/>
                      <w:lang w:eastAsia="zh-CN"/>
                    </w:rPr>
                    <w:t>，</w:t>
                  </w:r>
                  <w:r>
                    <w:rPr>
                      <w:rFonts w:hint="eastAsia" w:ascii="Times New Roman" w:hAnsi="Times New Roman"/>
                      <w:color w:val="auto"/>
                      <w:sz w:val="21"/>
                      <w:szCs w:val="21"/>
                    </w:rPr>
                    <w:t>34.53591314</w:t>
                  </w:r>
                </w:p>
              </w:tc>
              <w:tc>
                <w:tcPr>
                  <w:tcW w:w="266" w:type="pct"/>
                  <w:tcBorders>
                    <w:tl2br w:val="nil"/>
                    <w:tr2bl w:val="nil"/>
                  </w:tcBorders>
                  <w:noWrap w:val="0"/>
                  <w:vAlign w:val="center"/>
                </w:tcPr>
                <w:p w14:paraId="311CC4A1">
                  <w:pPr>
                    <w:pStyle w:val="7"/>
                    <w:ind w:firstLine="0" w:firstLineChars="0"/>
                    <w:jc w:val="center"/>
                    <w:rPr>
                      <w:rFonts w:hint="default" w:eastAsia="宋体"/>
                      <w:color w:val="auto"/>
                      <w:szCs w:val="21"/>
                      <w:lang w:val="en-US" w:eastAsia="zh-CN"/>
                    </w:rPr>
                  </w:pPr>
                  <w:r>
                    <w:rPr>
                      <w:rFonts w:hint="eastAsia"/>
                      <w:color w:val="auto"/>
                      <w:szCs w:val="21"/>
                      <w:lang w:val="en-US" w:eastAsia="zh-CN"/>
                    </w:rPr>
                    <w:t>17</w:t>
                  </w:r>
                </w:p>
              </w:tc>
              <w:tc>
                <w:tcPr>
                  <w:tcW w:w="347" w:type="pct"/>
                  <w:tcBorders>
                    <w:tl2br w:val="nil"/>
                    <w:tr2bl w:val="nil"/>
                  </w:tcBorders>
                  <w:noWrap w:val="0"/>
                  <w:vAlign w:val="center"/>
                </w:tcPr>
                <w:p w14:paraId="67C43B2F">
                  <w:pPr>
                    <w:pStyle w:val="7"/>
                    <w:ind w:firstLine="0" w:firstLineChars="0"/>
                    <w:jc w:val="center"/>
                    <w:rPr>
                      <w:color w:val="auto"/>
                      <w:szCs w:val="21"/>
                    </w:rPr>
                  </w:pPr>
                  <w:r>
                    <w:rPr>
                      <w:rFonts w:hint="eastAsia"/>
                      <w:color w:val="auto"/>
                      <w:szCs w:val="21"/>
                    </w:rPr>
                    <w:t>0.4</w:t>
                  </w:r>
                </w:p>
              </w:tc>
              <w:tc>
                <w:tcPr>
                  <w:tcW w:w="347" w:type="pct"/>
                  <w:tcBorders>
                    <w:tl2br w:val="nil"/>
                    <w:tr2bl w:val="nil"/>
                  </w:tcBorders>
                  <w:noWrap w:val="0"/>
                  <w:vAlign w:val="center"/>
                </w:tcPr>
                <w:p w14:paraId="3FC77499">
                  <w:pPr>
                    <w:pStyle w:val="7"/>
                    <w:ind w:firstLine="0" w:firstLineChars="0"/>
                    <w:jc w:val="center"/>
                    <w:rPr>
                      <w:color w:val="auto"/>
                      <w:szCs w:val="21"/>
                    </w:rPr>
                  </w:pPr>
                  <w:r>
                    <w:rPr>
                      <w:color w:val="auto"/>
                      <w:szCs w:val="21"/>
                    </w:rPr>
                    <w:t>2</w:t>
                  </w:r>
                  <w:r>
                    <w:rPr>
                      <w:rFonts w:hint="eastAsia"/>
                      <w:color w:val="auto"/>
                      <w:szCs w:val="21"/>
                    </w:rPr>
                    <w:t>5</w:t>
                  </w:r>
                </w:p>
              </w:tc>
              <w:tc>
                <w:tcPr>
                  <w:tcW w:w="480" w:type="pct"/>
                  <w:tcBorders>
                    <w:tl2br w:val="nil"/>
                    <w:tr2bl w:val="nil"/>
                  </w:tcBorders>
                  <w:noWrap w:val="0"/>
                  <w:vAlign w:val="center"/>
                </w:tcPr>
                <w:p w14:paraId="36207FB0">
                  <w:pPr>
                    <w:pStyle w:val="7"/>
                    <w:ind w:firstLine="0" w:firstLineChars="0"/>
                    <w:jc w:val="center"/>
                    <w:rPr>
                      <w:color w:val="auto"/>
                      <w:szCs w:val="21"/>
                    </w:rPr>
                  </w:pPr>
                  <w:r>
                    <w:rPr>
                      <w:rFonts w:hint="eastAsia"/>
                      <w:color w:val="auto"/>
                      <w:szCs w:val="21"/>
                    </w:rPr>
                    <w:t>一般</w:t>
                  </w:r>
                  <w:r>
                    <w:rPr>
                      <w:color w:val="auto"/>
                      <w:szCs w:val="21"/>
                    </w:rPr>
                    <w:t>排放口</w:t>
                  </w:r>
                </w:p>
              </w:tc>
              <w:tc>
                <w:tcPr>
                  <w:tcW w:w="1150" w:type="pct"/>
                  <w:tcBorders>
                    <w:tl2br w:val="nil"/>
                    <w:tr2bl w:val="nil"/>
                  </w:tcBorders>
                  <w:noWrap w:val="0"/>
                  <w:vAlign w:val="center"/>
                </w:tcPr>
                <w:p w14:paraId="115BE97B">
                  <w:pPr>
                    <w:pStyle w:val="7"/>
                    <w:kinsoku w:val="0"/>
                    <w:ind w:firstLine="0" w:firstLineChars="0"/>
                    <w:jc w:val="center"/>
                    <w:rPr>
                      <w:color w:val="auto"/>
                      <w:szCs w:val="21"/>
                    </w:rPr>
                  </w:pPr>
                  <w:r>
                    <w:rPr>
                      <w:rFonts w:hint="eastAsia"/>
                      <w:color w:val="auto"/>
                      <w:szCs w:val="21"/>
                      <w:lang w:val="en-US" w:eastAsia="zh-CN"/>
                    </w:rPr>
                    <w:t>《大气污染物综合排放标准》（GB16297-1996）表2二级标准</w:t>
                  </w:r>
                </w:p>
              </w:tc>
            </w:tr>
          </w:tbl>
          <w:p w14:paraId="11195524">
            <w:pPr>
              <w:numPr>
                <w:ilvl w:val="1"/>
                <w:numId w:val="10"/>
              </w:numPr>
              <w:adjustRightInd w:val="0"/>
              <w:snapToGrid w:val="0"/>
              <w:spacing w:line="360" w:lineRule="auto"/>
              <w:rPr>
                <w:rFonts w:hint="default" w:ascii="Times New Roman" w:hAnsi="Times New Roman" w:cs="Times New Roman"/>
                <w:b/>
                <w:bCs w:val="0"/>
                <w:color w:val="auto"/>
                <w:spacing w:val="0"/>
                <w:sz w:val="24"/>
                <w:szCs w:val="24"/>
                <w:lang w:val="en-US" w:eastAsia="zh-CN"/>
              </w:rPr>
            </w:pPr>
            <w:r>
              <w:rPr>
                <w:rFonts w:hint="default" w:ascii="Times New Roman" w:hAnsi="Times New Roman" w:cs="Times New Roman"/>
                <w:b/>
                <w:bCs w:val="0"/>
                <w:color w:val="auto"/>
                <w:spacing w:val="0"/>
                <w:sz w:val="24"/>
                <w:szCs w:val="24"/>
                <w:lang w:val="en-US" w:eastAsia="zh-CN"/>
              </w:rPr>
              <w:t>排气筒设置合理性分析</w:t>
            </w:r>
          </w:p>
          <w:p w14:paraId="6E94BECA">
            <w:pPr>
              <w:numPr>
                <w:ilvl w:val="0"/>
                <w:numId w:val="0"/>
              </w:numPr>
              <w:adjustRightInd w:val="0"/>
              <w:snapToGrid w:val="0"/>
              <w:spacing w:line="360" w:lineRule="auto"/>
              <w:ind w:leftChars="0" w:firstLine="480" w:firstLineChars="200"/>
              <w:rPr>
                <w:rFonts w:hint="default" w:ascii="Times New Roman" w:hAnsi="Times New Roman" w:cs="Times New Roman"/>
                <w:b/>
                <w:bCs w:val="0"/>
                <w:color w:val="auto"/>
                <w:spacing w:val="0"/>
                <w:sz w:val="24"/>
                <w:szCs w:val="24"/>
                <w:lang w:val="en-US" w:eastAsia="zh-CN"/>
              </w:rPr>
            </w:pPr>
            <w:r>
              <w:rPr>
                <w:rFonts w:hint="eastAsia"/>
                <w:color w:val="auto"/>
                <w:sz w:val="24"/>
                <w:szCs w:val="24"/>
                <w:lang w:val="en-US" w:eastAsia="zh-CN"/>
              </w:rPr>
              <w:t>根据《大气污染物综合排放标准》（GB16297-1996）要求，排气筒高度除需遵守表列排放速率标准值外，还应高出周围200m半径范围的建筑5m以上，不能达到该要求的排气筒，应按其高度对应的表列排放速率标准值严格50％执行。</w:t>
            </w:r>
            <w:r>
              <w:rPr>
                <w:rFonts w:hint="eastAsia"/>
                <w:color w:val="auto"/>
                <w:sz w:val="24"/>
                <w:szCs w:val="32"/>
                <w:lang w:val="en-US" w:eastAsia="zh-CN"/>
              </w:rPr>
              <w:t>本项目排气筒DA001高15m，其半径200m范围内最高建筑为本项目所租赁厂房（高12m）。</w:t>
            </w:r>
            <w:r>
              <w:rPr>
                <w:rFonts w:hint="eastAsia"/>
                <w:color w:val="auto"/>
                <w:sz w:val="24"/>
                <w:szCs w:val="24"/>
                <w:lang w:val="en-US" w:eastAsia="zh-CN"/>
              </w:rPr>
              <w:t>本项目污染物排放速率较小，按其高度对应的表列排放速率标准值严格</w:t>
            </w:r>
            <w:r>
              <w:rPr>
                <w:rFonts w:hint="default" w:ascii="Times New Roman" w:hAnsi="Times New Roman" w:cs="Times New Roman"/>
                <w:color w:val="auto"/>
                <w:sz w:val="24"/>
                <w:szCs w:val="24"/>
                <w:lang w:val="en-US" w:eastAsia="zh-CN"/>
              </w:rPr>
              <w:t>50</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执行</w:t>
            </w:r>
            <w:r>
              <w:rPr>
                <w:rFonts w:hint="eastAsia"/>
                <w:color w:val="auto"/>
                <w:sz w:val="24"/>
                <w:szCs w:val="24"/>
                <w:lang w:val="en-US" w:eastAsia="zh-CN"/>
              </w:rPr>
              <w:t>。</w:t>
            </w:r>
            <w:r>
              <w:rPr>
                <w:rFonts w:hint="eastAsia"/>
                <w:color w:val="auto"/>
                <w:sz w:val="24"/>
                <w:szCs w:val="32"/>
                <w:lang w:val="en-US" w:eastAsia="zh-CN"/>
              </w:rPr>
              <w:t>故本项目排气筒DA001高度设置满足</w:t>
            </w:r>
            <w:r>
              <w:rPr>
                <w:rFonts w:hint="eastAsia"/>
                <w:color w:val="auto"/>
                <w:sz w:val="24"/>
                <w:szCs w:val="32"/>
              </w:rPr>
              <w:t>《大气污染物综合排放标准》（GB16297-1996）</w:t>
            </w:r>
            <w:r>
              <w:rPr>
                <w:rFonts w:hint="eastAsia"/>
                <w:color w:val="auto"/>
                <w:sz w:val="24"/>
                <w:szCs w:val="32"/>
                <w:lang w:val="en-US" w:eastAsia="zh-CN"/>
              </w:rPr>
              <w:t>中相关要求。</w:t>
            </w:r>
          </w:p>
          <w:p w14:paraId="4F14E11A">
            <w:pPr>
              <w:numPr>
                <w:ilvl w:val="1"/>
                <w:numId w:val="10"/>
              </w:numPr>
              <w:adjustRightInd w:val="0"/>
              <w:snapToGrid w:val="0"/>
              <w:spacing w:line="360" w:lineRule="auto"/>
              <w:rPr>
                <w:rFonts w:hint="default" w:ascii="Times New Roman" w:hAnsi="Times New Roman" w:cs="Times New Roman"/>
                <w:b/>
                <w:bCs w:val="0"/>
                <w:color w:val="auto"/>
                <w:spacing w:val="0"/>
                <w:sz w:val="24"/>
                <w:szCs w:val="24"/>
                <w:lang w:val="en-US" w:eastAsia="zh-CN"/>
              </w:rPr>
            </w:pPr>
            <w:r>
              <w:rPr>
                <w:rFonts w:hint="default" w:ascii="Times New Roman" w:hAnsi="Times New Roman" w:cs="Times New Roman"/>
                <w:b/>
                <w:bCs w:val="0"/>
                <w:color w:val="auto"/>
                <w:spacing w:val="0"/>
                <w:sz w:val="24"/>
                <w:szCs w:val="24"/>
                <w:lang w:val="en-US" w:eastAsia="zh-CN"/>
              </w:rPr>
              <w:t>废气监测计划</w:t>
            </w:r>
          </w:p>
          <w:p w14:paraId="3DBA1357">
            <w:pPr>
              <w:adjustRightInd w:val="0"/>
              <w:snapToGrid w:val="0"/>
              <w:spacing w:line="360" w:lineRule="auto"/>
              <w:ind w:firstLine="480" w:firstLineChars="200"/>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根据本项目运营期各项污染物的污染特点</w:t>
            </w:r>
            <w:r>
              <w:rPr>
                <w:rFonts w:hint="eastAsia" w:cs="Times New Roman"/>
                <w:color w:val="auto"/>
                <w:sz w:val="24"/>
                <w:highlight w:val="none"/>
                <w:lang w:eastAsia="zh-CN"/>
              </w:rPr>
              <w:t>、</w:t>
            </w:r>
            <w:r>
              <w:rPr>
                <w:rFonts w:hint="eastAsia" w:ascii="Times New Roman" w:hAnsi="Times New Roman" w:cs="Times New Roman"/>
                <w:color w:val="auto"/>
                <w:sz w:val="24"/>
                <w:highlight w:val="none"/>
              </w:rPr>
              <w:t>《排污单位自行监测技术指南总则》(HJ819-2017)</w:t>
            </w:r>
            <w:r>
              <w:rPr>
                <w:rFonts w:hint="eastAsia" w:cs="Times New Roman"/>
                <w:color w:val="auto"/>
                <w:sz w:val="24"/>
                <w:highlight w:val="none"/>
                <w:lang w:eastAsia="zh-CN"/>
              </w:rPr>
              <w:t>、《排污单位自行监测技术指南 电池工业》（HJ1204-2021）</w:t>
            </w:r>
            <w:r>
              <w:rPr>
                <w:rFonts w:hint="eastAsia" w:ascii="Times New Roman" w:hAnsi="Times New Roman" w:cs="Times New Roman"/>
                <w:color w:val="auto"/>
                <w:sz w:val="24"/>
                <w:highlight w:val="none"/>
              </w:rPr>
              <w:t>中的相关监测要求，制定了本项目运营期废气污染源与环境监测计划表，见表</w:t>
            </w:r>
            <w:r>
              <w:rPr>
                <w:rFonts w:hint="eastAsia" w:ascii="Times New Roman" w:hAnsi="Times New Roman" w:cs="Times New Roman"/>
                <w:color w:val="auto"/>
                <w:sz w:val="24"/>
                <w:highlight w:val="none"/>
                <w:lang w:val="en-US" w:eastAsia="zh-CN"/>
              </w:rPr>
              <w:t>4-4</w:t>
            </w:r>
            <w:r>
              <w:rPr>
                <w:rFonts w:hint="eastAsia" w:ascii="Times New Roman" w:hAnsi="Times New Roman" w:cs="Times New Roman"/>
                <w:color w:val="auto"/>
                <w:sz w:val="24"/>
                <w:highlight w:val="none"/>
              </w:rPr>
              <w:t>。</w:t>
            </w:r>
          </w:p>
          <w:p w14:paraId="747B3271">
            <w:pPr>
              <w:autoSpaceDE w:val="0"/>
              <w:autoSpaceDN w:val="0"/>
              <w:jc w:val="center"/>
              <w:rPr>
                <w:rFonts w:ascii="Times New Roman" w:hAnsi="Times New Roman" w:eastAsia="宋体" w:cs="Times New Roman"/>
                <w:b/>
                <w:color w:val="auto"/>
                <w:kern w:val="2"/>
                <w:sz w:val="24"/>
                <w:szCs w:val="24"/>
                <w:lang w:val="en-US" w:eastAsia="zh-CN" w:bidi="ar-SA"/>
              </w:rPr>
            </w:pPr>
            <w:r>
              <w:rPr>
                <w:rFonts w:hint="eastAsia" w:ascii="Times New Roman" w:hAnsi="Times New Roman" w:eastAsia="宋体" w:cs="Times New Roman"/>
                <w:b/>
                <w:color w:val="auto"/>
                <w:kern w:val="2"/>
                <w:sz w:val="24"/>
                <w:szCs w:val="24"/>
                <w:lang w:val="en-US" w:eastAsia="zh-CN" w:bidi="ar-SA"/>
              </w:rPr>
              <w:t>表4-4  运营期大气环境监测计划</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696"/>
              <w:gridCol w:w="2476"/>
              <w:gridCol w:w="2824"/>
              <w:gridCol w:w="1480"/>
            </w:tblGrid>
            <w:tr w14:paraId="7FA725B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8" w:hRule="atLeast"/>
                <w:jc w:val="center"/>
              </w:trPr>
              <w:tc>
                <w:tcPr>
                  <w:tcW w:w="1000" w:type="pct"/>
                  <w:noWrap w:val="0"/>
                  <w:vAlign w:val="center"/>
                </w:tcPr>
                <w:p w14:paraId="2E70DB25">
                  <w:pPr>
                    <w:jc w:val="center"/>
                    <w:rPr>
                      <w:b/>
                      <w:bCs/>
                      <w:color w:val="auto"/>
                      <w:kern w:val="0"/>
                      <w:szCs w:val="21"/>
                      <w:highlight w:val="none"/>
                    </w:rPr>
                  </w:pPr>
                  <w:r>
                    <w:rPr>
                      <w:b/>
                      <w:bCs/>
                      <w:color w:val="auto"/>
                      <w:kern w:val="0"/>
                      <w:szCs w:val="21"/>
                      <w:highlight w:val="none"/>
                    </w:rPr>
                    <w:t>污染源名称</w:t>
                  </w:r>
                </w:p>
              </w:tc>
              <w:tc>
                <w:tcPr>
                  <w:tcW w:w="1460" w:type="pct"/>
                  <w:noWrap w:val="0"/>
                  <w:vAlign w:val="center"/>
                </w:tcPr>
                <w:p w14:paraId="3BBFF797">
                  <w:pPr>
                    <w:jc w:val="center"/>
                    <w:rPr>
                      <w:b/>
                      <w:bCs/>
                      <w:color w:val="auto"/>
                      <w:kern w:val="0"/>
                      <w:szCs w:val="21"/>
                      <w:highlight w:val="none"/>
                    </w:rPr>
                  </w:pPr>
                  <w:r>
                    <w:rPr>
                      <w:b/>
                      <w:bCs/>
                      <w:color w:val="auto"/>
                      <w:kern w:val="0"/>
                      <w:szCs w:val="21"/>
                      <w:highlight w:val="none"/>
                    </w:rPr>
                    <w:t>监测因子</w:t>
                  </w:r>
                </w:p>
              </w:tc>
              <w:tc>
                <w:tcPr>
                  <w:tcW w:w="1665" w:type="pct"/>
                  <w:noWrap w:val="0"/>
                  <w:vAlign w:val="center"/>
                </w:tcPr>
                <w:p w14:paraId="4D5EAD5F">
                  <w:pPr>
                    <w:jc w:val="center"/>
                    <w:rPr>
                      <w:b/>
                      <w:bCs/>
                      <w:color w:val="auto"/>
                      <w:kern w:val="0"/>
                      <w:szCs w:val="21"/>
                      <w:highlight w:val="none"/>
                    </w:rPr>
                  </w:pPr>
                  <w:r>
                    <w:rPr>
                      <w:b/>
                      <w:bCs/>
                      <w:color w:val="auto"/>
                      <w:kern w:val="0"/>
                      <w:szCs w:val="21"/>
                      <w:highlight w:val="none"/>
                    </w:rPr>
                    <w:t>监测点位</w:t>
                  </w:r>
                </w:p>
              </w:tc>
              <w:tc>
                <w:tcPr>
                  <w:tcW w:w="873" w:type="pct"/>
                  <w:noWrap w:val="0"/>
                  <w:vAlign w:val="center"/>
                </w:tcPr>
                <w:p w14:paraId="34889230">
                  <w:pPr>
                    <w:jc w:val="center"/>
                    <w:rPr>
                      <w:b/>
                      <w:bCs/>
                      <w:color w:val="auto"/>
                      <w:kern w:val="0"/>
                      <w:szCs w:val="21"/>
                      <w:highlight w:val="none"/>
                    </w:rPr>
                  </w:pPr>
                  <w:r>
                    <w:rPr>
                      <w:b/>
                      <w:bCs/>
                      <w:color w:val="auto"/>
                      <w:kern w:val="0"/>
                      <w:szCs w:val="21"/>
                      <w:highlight w:val="none"/>
                    </w:rPr>
                    <w:t>监测频次</w:t>
                  </w:r>
                </w:p>
              </w:tc>
            </w:tr>
            <w:tr w14:paraId="5CD8274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8" w:hRule="atLeast"/>
                <w:jc w:val="center"/>
              </w:trPr>
              <w:tc>
                <w:tcPr>
                  <w:tcW w:w="1000" w:type="pct"/>
                  <w:noWrap w:val="0"/>
                  <w:vAlign w:val="center"/>
                </w:tcPr>
                <w:p w14:paraId="2FCBA822">
                  <w:pPr>
                    <w:jc w:val="center"/>
                    <w:rPr>
                      <w:color w:val="auto"/>
                      <w:kern w:val="0"/>
                      <w:szCs w:val="21"/>
                      <w:highlight w:val="none"/>
                    </w:rPr>
                  </w:pPr>
                  <w:r>
                    <w:rPr>
                      <w:rFonts w:hint="eastAsia"/>
                      <w:color w:val="auto"/>
                      <w:kern w:val="0"/>
                      <w:szCs w:val="21"/>
                      <w:highlight w:val="none"/>
                    </w:rPr>
                    <w:t>有机废气排放口（DA001）</w:t>
                  </w:r>
                </w:p>
              </w:tc>
              <w:tc>
                <w:tcPr>
                  <w:tcW w:w="1460" w:type="pct"/>
                  <w:noWrap w:val="0"/>
                  <w:vAlign w:val="center"/>
                </w:tcPr>
                <w:p w14:paraId="4149F805">
                  <w:pPr>
                    <w:jc w:val="center"/>
                    <w:rPr>
                      <w:rFonts w:hint="default" w:eastAsia="宋体"/>
                      <w:color w:val="auto"/>
                      <w:kern w:val="0"/>
                      <w:szCs w:val="21"/>
                      <w:highlight w:val="none"/>
                      <w:lang w:val="en-US" w:eastAsia="zh-CN"/>
                    </w:rPr>
                  </w:pPr>
                  <w:r>
                    <w:rPr>
                      <w:rFonts w:hint="eastAsia"/>
                      <w:color w:val="auto"/>
                      <w:kern w:val="0"/>
                      <w:szCs w:val="21"/>
                      <w:highlight w:val="none"/>
                    </w:rPr>
                    <w:t>非甲烷总烃</w:t>
                  </w:r>
                  <w:r>
                    <w:rPr>
                      <w:rFonts w:hint="eastAsia"/>
                      <w:color w:val="auto"/>
                      <w:kern w:val="0"/>
                      <w:szCs w:val="21"/>
                      <w:highlight w:val="none"/>
                      <w:lang w:eastAsia="zh-CN"/>
                    </w:rPr>
                    <w:t>、</w:t>
                  </w:r>
                  <w:r>
                    <w:rPr>
                      <w:rFonts w:hint="eastAsia"/>
                      <w:color w:val="auto"/>
                      <w:kern w:val="0"/>
                      <w:szCs w:val="21"/>
                      <w:highlight w:val="none"/>
                      <w:lang w:val="en-US" w:eastAsia="zh-CN"/>
                    </w:rPr>
                    <w:t>甲醇、甲苯</w:t>
                  </w:r>
                </w:p>
              </w:tc>
              <w:tc>
                <w:tcPr>
                  <w:tcW w:w="1665" w:type="pct"/>
                  <w:noWrap w:val="0"/>
                  <w:vAlign w:val="center"/>
                </w:tcPr>
                <w:p w14:paraId="32BA4529">
                  <w:pPr>
                    <w:jc w:val="center"/>
                    <w:rPr>
                      <w:color w:val="auto"/>
                      <w:kern w:val="0"/>
                      <w:szCs w:val="21"/>
                      <w:highlight w:val="none"/>
                    </w:rPr>
                  </w:pPr>
                  <w:r>
                    <w:rPr>
                      <w:rFonts w:hint="eastAsia"/>
                      <w:color w:val="auto"/>
                      <w:kern w:val="0"/>
                      <w:szCs w:val="21"/>
                      <w:highlight w:val="none"/>
                    </w:rPr>
                    <w:t>排气筒出口</w:t>
                  </w:r>
                </w:p>
              </w:tc>
              <w:tc>
                <w:tcPr>
                  <w:tcW w:w="873" w:type="pct"/>
                  <w:noWrap w:val="0"/>
                  <w:vAlign w:val="center"/>
                </w:tcPr>
                <w:p w14:paraId="5EB5ADD7">
                  <w:pPr>
                    <w:jc w:val="center"/>
                    <w:rPr>
                      <w:color w:val="auto"/>
                      <w:szCs w:val="21"/>
                      <w:highlight w:val="none"/>
                    </w:rPr>
                  </w:pPr>
                  <w:r>
                    <w:rPr>
                      <w:rFonts w:hint="eastAsia"/>
                      <w:color w:val="auto"/>
                      <w:szCs w:val="21"/>
                      <w:highlight w:val="none"/>
                    </w:rPr>
                    <w:t>1次/</w:t>
                  </w:r>
                  <w:r>
                    <w:rPr>
                      <w:rFonts w:hint="eastAsia"/>
                      <w:color w:val="auto"/>
                      <w:szCs w:val="21"/>
                      <w:highlight w:val="none"/>
                      <w:lang w:val="en-US" w:eastAsia="zh-CN"/>
                    </w:rPr>
                    <w:t>半</w:t>
                  </w:r>
                  <w:r>
                    <w:rPr>
                      <w:rFonts w:hint="eastAsia"/>
                      <w:color w:val="auto"/>
                      <w:szCs w:val="21"/>
                      <w:highlight w:val="none"/>
                    </w:rPr>
                    <w:t>年</w:t>
                  </w:r>
                </w:p>
              </w:tc>
            </w:tr>
            <w:tr w14:paraId="21AEDC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81" w:hRule="atLeast"/>
                <w:jc w:val="center"/>
              </w:trPr>
              <w:tc>
                <w:tcPr>
                  <w:tcW w:w="1000" w:type="pct"/>
                  <w:noWrap w:val="0"/>
                  <w:vAlign w:val="center"/>
                </w:tcPr>
                <w:p w14:paraId="5534ECFD">
                  <w:pPr>
                    <w:jc w:val="center"/>
                    <w:rPr>
                      <w:color w:val="auto"/>
                      <w:kern w:val="0"/>
                      <w:szCs w:val="21"/>
                      <w:highlight w:val="none"/>
                    </w:rPr>
                  </w:pPr>
                  <w:r>
                    <w:rPr>
                      <w:rFonts w:hint="eastAsia"/>
                      <w:color w:val="auto"/>
                      <w:kern w:val="0"/>
                      <w:szCs w:val="21"/>
                      <w:highlight w:val="none"/>
                    </w:rPr>
                    <w:t>厂界</w:t>
                  </w:r>
                </w:p>
              </w:tc>
              <w:tc>
                <w:tcPr>
                  <w:tcW w:w="1460" w:type="pct"/>
                  <w:noWrap w:val="0"/>
                  <w:vAlign w:val="center"/>
                </w:tcPr>
                <w:p w14:paraId="6AD0323F">
                  <w:pPr>
                    <w:jc w:val="center"/>
                    <w:rPr>
                      <w:rFonts w:hint="default" w:eastAsia="宋体"/>
                      <w:color w:val="auto"/>
                      <w:kern w:val="0"/>
                      <w:szCs w:val="21"/>
                      <w:highlight w:val="none"/>
                      <w:lang w:val="en-US" w:eastAsia="zh-CN"/>
                    </w:rPr>
                  </w:pPr>
                  <w:r>
                    <w:rPr>
                      <w:rFonts w:hint="eastAsia"/>
                      <w:color w:val="auto"/>
                      <w:kern w:val="0"/>
                      <w:szCs w:val="21"/>
                      <w:highlight w:val="none"/>
                    </w:rPr>
                    <w:t>非甲烷总烃</w:t>
                  </w:r>
                  <w:r>
                    <w:rPr>
                      <w:rFonts w:hint="eastAsia"/>
                      <w:color w:val="auto"/>
                      <w:kern w:val="0"/>
                      <w:szCs w:val="21"/>
                      <w:highlight w:val="none"/>
                      <w:lang w:eastAsia="zh-CN"/>
                    </w:rPr>
                    <w:t>、</w:t>
                  </w:r>
                  <w:r>
                    <w:rPr>
                      <w:rFonts w:hint="eastAsia"/>
                      <w:color w:val="auto"/>
                      <w:kern w:val="0"/>
                      <w:szCs w:val="21"/>
                      <w:highlight w:val="none"/>
                      <w:lang w:val="en-US" w:eastAsia="zh-CN"/>
                    </w:rPr>
                    <w:t>甲醇、甲苯</w:t>
                  </w:r>
                </w:p>
              </w:tc>
              <w:tc>
                <w:tcPr>
                  <w:tcW w:w="1665" w:type="pct"/>
                  <w:noWrap w:val="0"/>
                  <w:vAlign w:val="center"/>
                </w:tcPr>
                <w:p w14:paraId="0455A39C">
                  <w:pPr>
                    <w:jc w:val="center"/>
                    <w:rPr>
                      <w:color w:val="auto"/>
                      <w:kern w:val="0"/>
                      <w:szCs w:val="21"/>
                      <w:highlight w:val="none"/>
                    </w:rPr>
                  </w:pPr>
                  <w:r>
                    <w:rPr>
                      <w:color w:val="auto"/>
                      <w:kern w:val="0"/>
                      <w:szCs w:val="21"/>
                      <w:highlight w:val="none"/>
                    </w:rPr>
                    <w:t>厂界（上风向1个点，下风向3个点）</w:t>
                  </w:r>
                </w:p>
              </w:tc>
              <w:tc>
                <w:tcPr>
                  <w:tcW w:w="873" w:type="pct"/>
                  <w:noWrap w:val="0"/>
                  <w:vAlign w:val="center"/>
                </w:tcPr>
                <w:p w14:paraId="5DCCBAF5">
                  <w:pPr>
                    <w:jc w:val="center"/>
                    <w:rPr>
                      <w:color w:val="auto"/>
                      <w:szCs w:val="21"/>
                      <w:highlight w:val="none"/>
                    </w:rPr>
                  </w:pPr>
                  <w:r>
                    <w:rPr>
                      <w:color w:val="auto"/>
                      <w:szCs w:val="21"/>
                      <w:highlight w:val="none"/>
                    </w:rPr>
                    <w:t>1次/年</w:t>
                  </w:r>
                </w:p>
              </w:tc>
            </w:tr>
            <w:tr w14:paraId="33C5D1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5" w:hRule="atLeast"/>
                <w:jc w:val="center"/>
              </w:trPr>
              <w:tc>
                <w:tcPr>
                  <w:tcW w:w="1000" w:type="pct"/>
                  <w:noWrap w:val="0"/>
                  <w:vAlign w:val="center"/>
                </w:tcPr>
                <w:p w14:paraId="4ECC9048">
                  <w:pPr>
                    <w:widowControl/>
                    <w:jc w:val="center"/>
                    <w:rPr>
                      <w:rFonts w:hint="default" w:eastAsia="宋体"/>
                      <w:color w:val="auto"/>
                      <w:kern w:val="0"/>
                      <w:szCs w:val="21"/>
                      <w:highlight w:val="none"/>
                      <w:lang w:val="en-US" w:eastAsia="zh-CN"/>
                    </w:rPr>
                  </w:pPr>
                  <w:r>
                    <w:rPr>
                      <w:rFonts w:hint="default" w:eastAsia="宋体"/>
                      <w:color w:val="auto"/>
                      <w:kern w:val="0"/>
                      <w:szCs w:val="21"/>
                      <w:highlight w:val="none"/>
                      <w:lang w:val="en-US" w:eastAsia="zh-CN"/>
                    </w:rPr>
                    <w:t>厂区内</w:t>
                  </w:r>
                </w:p>
              </w:tc>
              <w:tc>
                <w:tcPr>
                  <w:tcW w:w="1460" w:type="pct"/>
                  <w:noWrap w:val="0"/>
                  <w:vAlign w:val="center"/>
                </w:tcPr>
                <w:p w14:paraId="40FCFB8F">
                  <w:pPr>
                    <w:jc w:val="center"/>
                    <w:rPr>
                      <w:rFonts w:hint="default"/>
                      <w:color w:val="auto"/>
                      <w:kern w:val="0"/>
                      <w:szCs w:val="21"/>
                      <w:highlight w:val="none"/>
                      <w:lang w:val="en-US"/>
                    </w:rPr>
                  </w:pPr>
                  <w:r>
                    <w:rPr>
                      <w:rFonts w:hint="eastAsia"/>
                      <w:color w:val="auto"/>
                      <w:kern w:val="0"/>
                      <w:szCs w:val="21"/>
                      <w:highlight w:val="none"/>
                    </w:rPr>
                    <w:t>非甲烷总烃</w:t>
                  </w:r>
                </w:p>
              </w:tc>
              <w:tc>
                <w:tcPr>
                  <w:tcW w:w="1665" w:type="pct"/>
                  <w:noWrap w:val="0"/>
                  <w:vAlign w:val="center"/>
                </w:tcPr>
                <w:p w14:paraId="7EBB39E0">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厂房外</w:t>
                  </w:r>
                </w:p>
              </w:tc>
              <w:tc>
                <w:tcPr>
                  <w:tcW w:w="873" w:type="pct"/>
                  <w:noWrap w:val="0"/>
                  <w:vAlign w:val="center"/>
                </w:tcPr>
                <w:p w14:paraId="6A30D3CA">
                  <w:pPr>
                    <w:jc w:val="center"/>
                    <w:rPr>
                      <w:rFonts w:hint="eastAsia"/>
                      <w:color w:val="auto"/>
                      <w:szCs w:val="21"/>
                      <w:highlight w:val="none"/>
                    </w:rPr>
                  </w:pPr>
                  <w:r>
                    <w:rPr>
                      <w:color w:val="auto"/>
                      <w:szCs w:val="21"/>
                      <w:highlight w:val="none"/>
                    </w:rPr>
                    <w:t>1次/</w:t>
                  </w:r>
                  <w:r>
                    <w:rPr>
                      <w:rFonts w:hint="eastAsia"/>
                      <w:color w:val="auto"/>
                      <w:szCs w:val="21"/>
                      <w:highlight w:val="none"/>
                    </w:rPr>
                    <w:t>年</w:t>
                  </w:r>
                </w:p>
              </w:tc>
            </w:tr>
          </w:tbl>
          <w:p w14:paraId="2B8D14C1">
            <w:pPr>
              <w:numPr>
                <w:ilvl w:val="1"/>
                <w:numId w:val="10"/>
              </w:numPr>
              <w:adjustRightInd w:val="0"/>
              <w:snapToGrid w:val="0"/>
              <w:spacing w:line="360" w:lineRule="auto"/>
              <w:rPr>
                <w:rFonts w:hint="default" w:ascii="Times New Roman" w:hAnsi="Times New Roman" w:cs="Times New Roman"/>
                <w:b/>
                <w:bCs w:val="0"/>
                <w:color w:val="auto"/>
                <w:spacing w:val="0"/>
                <w:sz w:val="24"/>
                <w:szCs w:val="24"/>
                <w:lang w:val="en-US" w:eastAsia="zh-CN"/>
              </w:rPr>
            </w:pPr>
            <w:r>
              <w:rPr>
                <w:rFonts w:hint="default" w:ascii="Times New Roman" w:hAnsi="Times New Roman" w:cs="Times New Roman"/>
                <w:b/>
                <w:bCs w:val="0"/>
                <w:color w:val="auto"/>
                <w:spacing w:val="0"/>
                <w:sz w:val="24"/>
                <w:szCs w:val="24"/>
                <w:lang w:val="en-US" w:eastAsia="zh-CN"/>
              </w:rPr>
              <w:t>非正常排放情况</w:t>
            </w:r>
          </w:p>
          <w:p w14:paraId="1A71741D">
            <w:pPr>
              <w:adjustRightInd w:val="0"/>
              <w:snapToGrid w:val="0"/>
              <w:spacing w:line="360" w:lineRule="auto"/>
              <w:ind w:firstLine="480" w:firstLineChars="200"/>
              <w:rPr>
                <w:color w:val="auto"/>
                <w:kern w:val="0"/>
                <w:sz w:val="24"/>
                <w:szCs w:val="32"/>
              </w:rPr>
            </w:pPr>
            <w:r>
              <w:rPr>
                <w:color w:val="auto"/>
                <w:kern w:val="0"/>
                <w:sz w:val="24"/>
                <w:szCs w:val="32"/>
              </w:rPr>
              <w:t>本项目非正常工况主要为项目环保设施失效</w:t>
            </w:r>
            <w:r>
              <w:rPr>
                <w:rFonts w:hint="eastAsia"/>
                <w:color w:val="auto"/>
                <w:kern w:val="0"/>
                <w:sz w:val="24"/>
                <w:szCs w:val="32"/>
              </w:rPr>
              <w:t>，活性炭吸附效率降低，无法正常吸附</w:t>
            </w:r>
            <w:r>
              <w:rPr>
                <w:color w:val="auto"/>
                <w:kern w:val="0"/>
                <w:sz w:val="24"/>
                <w:szCs w:val="32"/>
              </w:rPr>
              <w:t>。当环保设施失效时，污染物未经处理直接排放，对周围环境影响较大。本次评价要求当发生环保设施失效的情况时，应立即停止生产，对环保设施进行检修，待环保设施可正常运行后，再进行生产。本项目污染物非正常排放情况见下表。</w:t>
            </w:r>
          </w:p>
          <w:p w14:paraId="57782FB8">
            <w:pPr>
              <w:adjustRightInd w:val="0"/>
              <w:snapToGrid w:val="0"/>
              <w:jc w:val="center"/>
              <w:rPr>
                <w:b/>
                <w:bCs/>
                <w:color w:val="auto"/>
                <w:kern w:val="0"/>
                <w:sz w:val="24"/>
                <w:szCs w:val="32"/>
              </w:rPr>
            </w:pPr>
            <w:r>
              <w:rPr>
                <w:b/>
                <w:bCs/>
                <w:color w:val="auto"/>
                <w:kern w:val="0"/>
                <w:sz w:val="24"/>
                <w:szCs w:val="32"/>
              </w:rPr>
              <w:t>表4-</w:t>
            </w:r>
            <w:r>
              <w:rPr>
                <w:rFonts w:hint="eastAsia"/>
                <w:b/>
                <w:bCs/>
                <w:color w:val="auto"/>
                <w:kern w:val="0"/>
                <w:sz w:val="24"/>
                <w:szCs w:val="32"/>
              </w:rPr>
              <w:t>5</w:t>
            </w:r>
            <w:r>
              <w:rPr>
                <w:b/>
                <w:bCs/>
                <w:color w:val="auto"/>
                <w:kern w:val="0"/>
                <w:sz w:val="24"/>
                <w:szCs w:val="32"/>
              </w:rPr>
              <w:t xml:space="preserve">  非正常情况排放量核算表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09"/>
              <w:gridCol w:w="1001"/>
              <w:gridCol w:w="765"/>
              <w:gridCol w:w="1114"/>
              <w:gridCol w:w="1008"/>
              <w:gridCol w:w="831"/>
              <w:gridCol w:w="592"/>
              <w:gridCol w:w="860"/>
              <w:gridCol w:w="1496"/>
            </w:tblGrid>
            <w:tr w14:paraId="727B4B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77" w:type="pct"/>
                  <w:tcBorders>
                    <w:tl2br w:val="nil"/>
                    <w:tr2bl w:val="nil"/>
                  </w:tcBorders>
                  <w:noWrap w:val="0"/>
                  <w:vAlign w:val="center"/>
                </w:tcPr>
                <w:p w14:paraId="7B1465F8">
                  <w:pPr>
                    <w:jc w:val="center"/>
                    <w:rPr>
                      <w:b/>
                      <w:bCs/>
                      <w:color w:val="auto"/>
                      <w:szCs w:val="21"/>
                    </w:rPr>
                  </w:pPr>
                  <w:r>
                    <w:rPr>
                      <w:b/>
                      <w:bCs/>
                      <w:color w:val="auto"/>
                      <w:szCs w:val="21"/>
                    </w:rPr>
                    <w:t>污染源</w:t>
                  </w:r>
                </w:p>
              </w:tc>
              <w:tc>
                <w:tcPr>
                  <w:tcW w:w="590" w:type="pct"/>
                  <w:tcBorders>
                    <w:tl2br w:val="nil"/>
                    <w:tr2bl w:val="nil"/>
                  </w:tcBorders>
                  <w:noWrap w:val="0"/>
                  <w:vAlign w:val="center"/>
                </w:tcPr>
                <w:p w14:paraId="76C10938">
                  <w:pPr>
                    <w:jc w:val="center"/>
                    <w:rPr>
                      <w:b/>
                      <w:bCs/>
                      <w:color w:val="auto"/>
                      <w:szCs w:val="21"/>
                    </w:rPr>
                  </w:pPr>
                  <w:r>
                    <w:rPr>
                      <w:b/>
                      <w:bCs/>
                      <w:color w:val="auto"/>
                      <w:szCs w:val="21"/>
                    </w:rPr>
                    <w:t>非正常</w:t>
                  </w:r>
                </w:p>
                <w:p w14:paraId="14B29A07">
                  <w:pPr>
                    <w:jc w:val="center"/>
                    <w:rPr>
                      <w:b/>
                      <w:bCs/>
                      <w:color w:val="auto"/>
                      <w:szCs w:val="21"/>
                    </w:rPr>
                  </w:pPr>
                  <w:r>
                    <w:rPr>
                      <w:b/>
                      <w:bCs/>
                      <w:color w:val="auto"/>
                      <w:szCs w:val="21"/>
                    </w:rPr>
                    <w:t>排放原因</w:t>
                  </w:r>
                </w:p>
              </w:tc>
              <w:tc>
                <w:tcPr>
                  <w:tcW w:w="451" w:type="pct"/>
                  <w:tcBorders>
                    <w:tl2br w:val="nil"/>
                    <w:tr2bl w:val="nil"/>
                  </w:tcBorders>
                  <w:noWrap w:val="0"/>
                  <w:vAlign w:val="center"/>
                </w:tcPr>
                <w:p w14:paraId="4F45B76E">
                  <w:pPr>
                    <w:jc w:val="center"/>
                    <w:rPr>
                      <w:b/>
                      <w:bCs/>
                      <w:color w:val="auto"/>
                      <w:szCs w:val="21"/>
                    </w:rPr>
                  </w:pPr>
                  <w:r>
                    <w:rPr>
                      <w:b/>
                      <w:bCs/>
                      <w:color w:val="auto"/>
                      <w:szCs w:val="21"/>
                    </w:rPr>
                    <w:t>污染物</w:t>
                  </w:r>
                </w:p>
              </w:tc>
              <w:tc>
                <w:tcPr>
                  <w:tcW w:w="657" w:type="pct"/>
                  <w:tcBorders>
                    <w:tl2br w:val="nil"/>
                    <w:tr2bl w:val="nil"/>
                  </w:tcBorders>
                  <w:noWrap w:val="0"/>
                  <w:vAlign w:val="center"/>
                </w:tcPr>
                <w:p w14:paraId="68E40E7C">
                  <w:pPr>
                    <w:jc w:val="center"/>
                    <w:rPr>
                      <w:b/>
                      <w:bCs/>
                      <w:color w:val="auto"/>
                      <w:szCs w:val="21"/>
                    </w:rPr>
                  </w:pPr>
                  <w:r>
                    <w:rPr>
                      <w:b/>
                      <w:bCs/>
                      <w:color w:val="auto"/>
                      <w:szCs w:val="21"/>
                    </w:rPr>
                    <w:t>非正常排放浓度/（mg/m</w:t>
                  </w:r>
                  <w:r>
                    <w:rPr>
                      <w:b/>
                      <w:bCs/>
                      <w:color w:val="auto"/>
                      <w:szCs w:val="21"/>
                      <w:vertAlign w:val="superscript"/>
                    </w:rPr>
                    <w:t>3</w:t>
                  </w:r>
                  <w:r>
                    <w:rPr>
                      <w:b/>
                      <w:bCs/>
                      <w:color w:val="auto"/>
                      <w:szCs w:val="21"/>
                    </w:rPr>
                    <w:t>）</w:t>
                  </w:r>
                </w:p>
              </w:tc>
              <w:tc>
                <w:tcPr>
                  <w:tcW w:w="594" w:type="pct"/>
                  <w:tcBorders>
                    <w:tl2br w:val="nil"/>
                    <w:tr2bl w:val="nil"/>
                  </w:tcBorders>
                  <w:noWrap w:val="0"/>
                  <w:vAlign w:val="center"/>
                </w:tcPr>
                <w:p w14:paraId="7DFF864E">
                  <w:pPr>
                    <w:jc w:val="center"/>
                    <w:rPr>
                      <w:b/>
                      <w:bCs/>
                      <w:color w:val="auto"/>
                      <w:szCs w:val="21"/>
                    </w:rPr>
                  </w:pPr>
                  <w:r>
                    <w:rPr>
                      <w:b/>
                      <w:bCs/>
                      <w:color w:val="auto"/>
                      <w:szCs w:val="21"/>
                    </w:rPr>
                    <w:t>非正常排放速率/（kg/h）</w:t>
                  </w:r>
                </w:p>
              </w:tc>
              <w:tc>
                <w:tcPr>
                  <w:tcW w:w="490" w:type="pct"/>
                  <w:tcBorders>
                    <w:tl2br w:val="nil"/>
                    <w:tr2bl w:val="nil"/>
                  </w:tcBorders>
                  <w:noWrap w:val="0"/>
                  <w:vAlign w:val="center"/>
                </w:tcPr>
                <w:p w14:paraId="7E9299CC">
                  <w:pPr>
                    <w:jc w:val="center"/>
                    <w:rPr>
                      <w:b/>
                      <w:bCs/>
                      <w:color w:val="auto"/>
                      <w:szCs w:val="21"/>
                    </w:rPr>
                  </w:pPr>
                  <w:r>
                    <w:rPr>
                      <w:b/>
                      <w:bCs/>
                      <w:color w:val="auto"/>
                      <w:szCs w:val="21"/>
                    </w:rPr>
                    <w:t>单次持续时间/h</w:t>
                  </w:r>
                </w:p>
              </w:tc>
              <w:tc>
                <w:tcPr>
                  <w:tcW w:w="349" w:type="pct"/>
                  <w:tcBorders>
                    <w:tl2br w:val="nil"/>
                    <w:tr2bl w:val="nil"/>
                  </w:tcBorders>
                  <w:noWrap w:val="0"/>
                  <w:vAlign w:val="center"/>
                </w:tcPr>
                <w:p w14:paraId="5BC769F3">
                  <w:pPr>
                    <w:jc w:val="center"/>
                    <w:rPr>
                      <w:b/>
                      <w:bCs/>
                      <w:color w:val="auto"/>
                      <w:szCs w:val="21"/>
                    </w:rPr>
                  </w:pPr>
                  <w:r>
                    <w:rPr>
                      <w:b/>
                      <w:bCs/>
                      <w:color w:val="auto"/>
                      <w:szCs w:val="21"/>
                    </w:rPr>
                    <w:t>年发生频次/次</w:t>
                  </w:r>
                </w:p>
              </w:tc>
              <w:tc>
                <w:tcPr>
                  <w:tcW w:w="507" w:type="pct"/>
                  <w:tcBorders>
                    <w:tl2br w:val="nil"/>
                    <w:tr2bl w:val="nil"/>
                  </w:tcBorders>
                  <w:noWrap w:val="0"/>
                  <w:vAlign w:val="center"/>
                </w:tcPr>
                <w:p w14:paraId="1238FB88">
                  <w:pPr>
                    <w:jc w:val="center"/>
                    <w:rPr>
                      <w:b/>
                      <w:bCs/>
                      <w:color w:val="auto"/>
                      <w:szCs w:val="21"/>
                    </w:rPr>
                  </w:pPr>
                  <w:r>
                    <w:rPr>
                      <w:b/>
                      <w:bCs/>
                      <w:color w:val="auto"/>
                      <w:szCs w:val="21"/>
                    </w:rPr>
                    <w:t>排放量/（kg/a）</w:t>
                  </w:r>
                </w:p>
              </w:tc>
              <w:tc>
                <w:tcPr>
                  <w:tcW w:w="882" w:type="pct"/>
                  <w:tcBorders>
                    <w:tl2br w:val="nil"/>
                    <w:tr2bl w:val="nil"/>
                  </w:tcBorders>
                  <w:noWrap w:val="0"/>
                  <w:vAlign w:val="center"/>
                </w:tcPr>
                <w:p w14:paraId="4AAE63B8">
                  <w:pPr>
                    <w:jc w:val="center"/>
                    <w:rPr>
                      <w:b/>
                      <w:bCs/>
                      <w:color w:val="auto"/>
                      <w:szCs w:val="21"/>
                    </w:rPr>
                  </w:pPr>
                  <w:r>
                    <w:rPr>
                      <w:b/>
                      <w:bCs/>
                      <w:color w:val="auto"/>
                      <w:szCs w:val="21"/>
                    </w:rPr>
                    <w:t>应对措施</w:t>
                  </w:r>
                </w:p>
              </w:tc>
            </w:tr>
            <w:tr w14:paraId="43A380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77" w:type="pct"/>
                  <w:vMerge w:val="restart"/>
                  <w:tcBorders>
                    <w:tl2br w:val="nil"/>
                    <w:tr2bl w:val="nil"/>
                  </w:tcBorders>
                  <w:noWrap w:val="0"/>
                  <w:vAlign w:val="center"/>
                </w:tcPr>
                <w:p w14:paraId="2BC6EF28">
                  <w:pPr>
                    <w:pStyle w:val="7"/>
                    <w:ind w:firstLine="0" w:firstLineChars="0"/>
                    <w:jc w:val="center"/>
                    <w:rPr>
                      <w:color w:val="auto"/>
                      <w:szCs w:val="21"/>
                    </w:rPr>
                  </w:pPr>
                  <w:r>
                    <w:rPr>
                      <w:color w:val="auto"/>
                      <w:szCs w:val="21"/>
                    </w:rPr>
                    <w:t>DA00</w:t>
                  </w:r>
                  <w:r>
                    <w:rPr>
                      <w:rFonts w:hint="eastAsia"/>
                      <w:color w:val="auto"/>
                      <w:szCs w:val="21"/>
                    </w:rPr>
                    <w:t>1</w:t>
                  </w:r>
                </w:p>
              </w:tc>
              <w:tc>
                <w:tcPr>
                  <w:tcW w:w="590" w:type="pct"/>
                  <w:vMerge w:val="restart"/>
                  <w:tcBorders>
                    <w:tl2br w:val="nil"/>
                    <w:tr2bl w:val="nil"/>
                  </w:tcBorders>
                  <w:noWrap w:val="0"/>
                  <w:vAlign w:val="center"/>
                </w:tcPr>
                <w:p w14:paraId="7F1DB584">
                  <w:pPr>
                    <w:jc w:val="center"/>
                    <w:rPr>
                      <w:color w:val="auto"/>
                      <w:szCs w:val="21"/>
                    </w:rPr>
                  </w:pPr>
                  <w:r>
                    <w:rPr>
                      <w:color w:val="auto"/>
                      <w:szCs w:val="21"/>
                    </w:rPr>
                    <w:t>废气处理设施发生故障，处理效率为0</w:t>
                  </w:r>
                </w:p>
              </w:tc>
              <w:tc>
                <w:tcPr>
                  <w:tcW w:w="451" w:type="pct"/>
                  <w:tcBorders>
                    <w:tl2br w:val="nil"/>
                    <w:tr2bl w:val="nil"/>
                  </w:tcBorders>
                  <w:noWrap w:val="0"/>
                  <w:vAlign w:val="center"/>
                </w:tcPr>
                <w:p w14:paraId="3AFBB398">
                  <w:pPr>
                    <w:pStyle w:val="3"/>
                    <w:spacing w:after="0"/>
                    <w:ind w:left="0" w:leftChars="0"/>
                    <w:jc w:val="center"/>
                    <w:rPr>
                      <w:color w:val="auto"/>
                      <w:sz w:val="21"/>
                      <w:szCs w:val="21"/>
                    </w:rPr>
                  </w:pPr>
                  <w:r>
                    <w:rPr>
                      <w:rFonts w:hint="eastAsia"/>
                      <w:color w:val="auto"/>
                      <w:sz w:val="21"/>
                      <w:szCs w:val="21"/>
                    </w:rPr>
                    <w:t>非甲烷总烃</w:t>
                  </w:r>
                </w:p>
              </w:tc>
              <w:tc>
                <w:tcPr>
                  <w:tcW w:w="1114" w:type="dxa"/>
                  <w:tcBorders>
                    <w:tl2br w:val="nil"/>
                    <w:tr2bl w:val="nil"/>
                  </w:tcBorders>
                  <w:shd w:val="clear" w:color="auto" w:fill="auto"/>
                  <w:noWrap w:val="0"/>
                  <w:vAlign w:val="center"/>
                </w:tcPr>
                <w:p w14:paraId="799DD955">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33.23</w:t>
                  </w:r>
                </w:p>
              </w:tc>
              <w:tc>
                <w:tcPr>
                  <w:tcW w:w="1008" w:type="dxa"/>
                  <w:tcBorders>
                    <w:tl2br w:val="nil"/>
                    <w:tr2bl w:val="nil"/>
                  </w:tcBorders>
                  <w:noWrap w:val="0"/>
                  <w:vAlign w:val="center"/>
                </w:tcPr>
                <w:p w14:paraId="52A6EFBB">
                  <w:pPr>
                    <w:adjustRightInd w:val="0"/>
                    <w:snapToGrid w:val="0"/>
                    <w:jc w:val="center"/>
                    <w:rPr>
                      <w:rFonts w:hint="default" w:eastAsia="宋体"/>
                      <w:color w:val="auto"/>
                      <w:szCs w:val="21"/>
                      <w:lang w:val="en-US" w:eastAsia="zh-CN"/>
                    </w:rPr>
                  </w:pPr>
                  <w:r>
                    <w:rPr>
                      <w:rFonts w:hint="eastAsia"/>
                      <w:color w:val="auto"/>
                      <w:lang w:val="en-US" w:eastAsia="zh-CN"/>
                    </w:rPr>
                    <w:t>0.216</w:t>
                  </w:r>
                </w:p>
              </w:tc>
              <w:tc>
                <w:tcPr>
                  <w:tcW w:w="490" w:type="pct"/>
                  <w:vMerge w:val="restart"/>
                  <w:tcBorders>
                    <w:tl2br w:val="nil"/>
                    <w:tr2bl w:val="nil"/>
                  </w:tcBorders>
                  <w:noWrap w:val="0"/>
                  <w:vAlign w:val="center"/>
                </w:tcPr>
                <w:p w14:paraId="28D3CB67">
                  <w:pPr>
                    <w:jc w:val="center"/>
                    <w:rPr>
                      <w:color w:val="auto"/>
                      <w:szCs w:val="21"/>
                    </w:rPr>
                  </w:pPr>
                  <w:r>
                    <w:rPr>
                      <w:color w:val="auto"/>
                      <w:szCs w:val="21"/>
                    </w:rPr>
                    <w:t>0.5</w:t>
                  </w:r>
                </w:p>
              </w:tc>
              <w:tc>
                <w:tcPr>
                  <w:tcW w:w="349" w:type="pct"/>
                  <w:vMerge w:val="restart"/>
                  <w:tcBorders>
                    <w:tl2br w:val="nil"/>
                    <w:tr2bl w:val="nil"/>
                  </w:tcBorders>
                  <w:noWrap w:val="0"/>
                  <w:vAlign w:val="center"/>
                </w:tcPr>
                <w:p w14:paraId="330DE32E">
                  <w:pPr>
                    <w:jc w:val="center"/>
                    <w:rPr>
                      <w:color w:val="auto"/>
                      <w:szCs w:val="21"/>
                    </w:rPr>
                  </w:pPr>
                  <w:r>
                    <w:rPr>
                      <w:color w:val="auto"/>
                      <w:szCs w:val="21"/>
                    </w:rPr>
                    <w:t>2</w:t>
                  </w:r>
                </w:p>
              </w:tc>
              <w:tc>
                <w:tcPr>
                  <w:tcW w:w="860" w:type="dxa"/>
                  <w:tcBorders>
                    <w:tl2br w:val="nil"/>
                    <w:tr2bl w:val="nil"/>
                  </w:tcBorders>
                  <w:noWrap w:val="0"/>
                  <w:vAlign w:val="center"/>
                </w:tcPr>
                <w:p w14:paraId="4BD287CE">
                  <w:pPr>
                    <w:adjustRightInd w:val="0"/>
                    <w:snapToGrid w:val="0"/>
                    <w:jc w:val="center"/>
                    <w:rPr>
                      <w:rFonts w:hint="default" w:eastAsia="宋体"/>
                      <w:color w:val="auto"/>
                      <w:szCs w:val="21"/>
                      <w:lang w:val="en-US" w:eastAsia="zh-CN"/>
                    </w:rPr>
                  </w:pPr>
                  <w:r>
                    <w:rPr>
                      <w:rFonts w:hint="eastAsia"/>
                      <w:color w:val="auto"/>
                      <w:lang w:val="en-US" w:eastAsia="zh-CN"/>
                    </w:rPr>
                    <w:t>0.216</w:t>
                  </w:r>
                </w:p>
              </w:tc>
              <w:tc>
                <w:tcPr>
                  <w:tcW w:w="882" w:type="pct"/>
                  <w:vMerge w:val="restart"/>
                  <w:tcBorders>
                    <w:tl2br w:val="nil"/>
                    <w:tr2bl w:val="nil"/>
                  </w:tcBorders>
                  <w:noWrap w:val="0"/>
                  <w:vAlign w:val="center"/>
                </w:tcPr>
                <w:p w14:paraId="5578F513">
                  <w:pPr>
                    <w:jc w:val="center"/>
                    <w:rPr>
                      <w:color w:val="auto"/>
                      <w:szCs w:val="21"/>
                    </w:rPr>
                  </w:pPr>
                  <w:r>
                    <w:rPr>
                      <w:color w:val="auto"/>
                      <w:szCs w:val="21"/>
                    </w:rPr>
                    <w:t>立即停止生产，关闭排放阀，及时</w:t>
                  </w:r>
                  <w:r>
                    <w:rPr>
                      <w:rFonts w:hint="eastAsia"/>
                      <w:color w:val="auto"/>
                      <w:szCs w:val="21"/>
                    </w:rPr>
                    <w:t>更换活性炭</w:t>
                  </w:r>
                </w:p>
              </w:tc>
            </w:tr>
            <w:tr w14:paraId="5EAC1B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77" w:type="pct"/>
                  <w:vMerge w:val="continue"/>
                  <w:tcBorders>
                    <w:tl2br w:val="nil"/>
                    <w:tr2bl w:val="nil"/>
                  </w:tcBorders>
                  <w:noWrap w:val="0"/>
                  <w:vAlign w:val="center"/>
                </w:tcPr>
                <w:p w14:paraId="0900FF97">
                  <w:pPr>
                    <w:pStyle w:val="7"/>
                    <w:ind w:firstLine="0" w:firstLineChars="0"/>
                    <w:jc w:val="center"/>
                    <w:rPr>
                      <w:color w:val="auto"/>
                      <w:szCs w:val="21"/>
                    </w:rPr>
                  </w:pPr>
                </w:p>
              </w:tc>
              <w:tc>
                <w:tcPr>
                  <w:tcW w:w="590" w:type="pct"/>
                  <w:vMerge w:val="continue"/>
                  <w:tcBorders>
                    <w:tl2br w:val="nil"/>
                    <w:tr2bl w:val="nil"/>
                  </w:tcBorders>
                  <w:noWrap w:val="0"/>
                  <w:vAlign w:val="center"/>
                </w:tcPr>
                <w:p w14:paraId="2D6F0F1C">
                  <w:pPr>
                    <w:jc w:val="center"/>
                    <w:rPr>
                      <w:color w:val="auto"/>
                      <w:szCs w:val="21"/>
                    </w:rPr>
                  </w:pPr>
                </w:p>
              </w:tc>
              <w:tc>
                <w:tcPr>
                  <w:tcW w:w="451" w:type="pct"/>
                  <w:tcBorders>
                    <w:tl2br w:val="nil"/>
                    <w:tr2bl w:val="nil"/>
                  </w:tcBorders>
                  <w:noWrap w:val="0"/>
                  <w:vAlign w:val="center"/>
                </w:tcPr>
                <w:p w14:paraId="141BD6B3">
                  <w:pPr>
                    <w:pStyle w:val="3"/>
                    <w:spacing w:after="0"/>
                    <w:ind w:left="0" w:leftChars="0"/>
                    <w:jc w:val="center"/>
                    <w:rPr>
                      <w:rFonts w:hint="eastAsia" w:eastAsia="宋体"/>
                      <w:color w:val="auto"/>
                      <w:sz w:val="21"/>
                      <w:szCs w:val="21"/>
                      <w:lang w:val="en-US" w:eastAsia="zh-CN"/>
                    </w:rPr>
                  </w:pPr>
                  <w:r>
                    <w:rPr>
                      <w:rFonts w:hint="eastAsia"/>
                      <w:color w:val="auto"/>
                      <w:sz w:val="21"/>
                      <w:szCs w:val="21"/>
                      <w:lang w:val="en-US" w:eastAsia="zh-CN"/>
                    </w:rPr>
                    <w:t>甲醇</w:t>
                  </w:r>
                </w:p>
              </w:tc>
              <w:tc>
                <w:tcPr>
                  <w:tcW w:w="1114" w:type="dxa"/>
                  <w:tcBorders>
                    <w:tl2br w:val="nil"/>
                    <w:tr2bl w:val="nil"/>
                  </w:tcBorders>
                  <w:shd w:val="clear" w:color="auto" w:fill="auto"/>
                  <w:noWrap w:val="0"/>
                  <w:vAlign w:val="center"/>
                </w:tcPr>
                <w:p w14:paraId="3563C2DF">
                  <w:pPr>
                    <w:adjustRightInd w:val="0"/>
                    <w:snapToGrid w:val="0"/>
                    <w:jc w:val="center"/>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6.62</w:t>
                  </w:r>
                </w:p>
              </w:tc>
              <w:tc>
                <w:tcPr>
                  <w:tcW w:w="1008" w:type="dxa"/>
                  <w:tcBorders>
                    <w:tl2br w:val="nil"/>
                    <w:tr2bl w:val="nil"/>
                  </w:tcBorders>
                  <w:noWrap w:val="0"/>
                  <w:vAlign w:val="center"/>
                </w:tcPr>
                <w:p w14:paraId="0CE26ECC">
                  <w:pPr>
                    <w:adjustRightInd w:val="0"/>
                    <w:snapToGrid w:val="0"/>
                    <w:jc w:val="center"/>
                    <w:rPr>
                      <w:rFonts w:hint="eastAsia"/>
                      <w:color w:val="auto"/>
                      <w:lang w:val="en-US" w:eastAsia="zh-CN"/>
                    </w:rPr>
                  </w:pPr>
                  <w:r>
                    <w:rPr>
                      <w:rFonts w:hint="eastAsia"/>
                      <w:color w:val="auto"/>
                      <w:lang w:val="en-US" w:eastAsia="zh-CN"/>
                    </w:rPr>
                    <w:t>0.043</w:t>
                  </w:r>
                </w:p>
              </w:tc>
              <w:tc>
                <w:tcPr>
                  <w:tcW w:w="490" w:type="pct"/>
                  <w:vMerge w:val="continue"/>
                  <w:tcBorders>
                    <w:tl2br w:val="nil"/>
                    <w:tr2bl w:val="nil"/>
                  </w:tcBorders>
                  <w:noWrap w:val="0"/>
                  <w:vAlign w:val="center"/>
                </w:tcPr>
                <w:p w14:paraId="408765EC">
                  <w:pPr>
                    <w:jc w:val="center"/>
                    <w:rPr>
                      <w:color w:val="auto"/>
                      <w:szCs w:val="21"/>
                    </w:rPr>
                  </w:pPr>
                </w:p>
              </w:tc>
              <w:tc>
                <w:tcPr>
                  <w:tcW w:w="349" w:type="pct"/>
                  <w:vMerge w:val="continue"/>
                  <w:tcBorders>
                    <w:tl2br w:val="nil"/>
                    <w:tr2bl w:val="nil"/>
                  </w:tcBorders>
                  <w:noWrap w:val="0"/>
                  <w:vAlign w:val="center"/>
                </w:tcPr>
                <w:p w14:paraId="2D8EB1BC">
                  <w:pPr>
                    <w:jc w:val="center"/>
                    <w:rPr>
                      <w:color w:val="auto"/>
                      <w:szCs w:val="21"/>
                    </w:rPr>
                  </w:pPr>
                </w:p>
              </w:tc>
              <w:tc>
                <w:tcPr>
                  <w:tcW w:w="860" w:type="dxa"/>
                  <w:tcBorders>
                    <w:tl2br w:val="nil"/>
                    <w:tr2bl w:val="nil"/>
                  </w:tcBorders>
                  <w:noWrap w:val="0"/>
                  <w:vAlign w:val="center"/>
                </w:tcPr>
                <w:p w14:paraId="3AD2A260">
                  <w:pPr>
                    <w:adjustRightInd w:val="0"/>
                    <w:snapToGrid w:val="0"/>
                    <w:jc w:val="center"/>
                    <w:rPr>
                      <w:rFonts w:hint="eastAsia"/>
                      <w:color w:val="auto"/>
                      <w:lang w:val="en-US" w:eastAsia="zh-CN"/>
                    </w:rPr>
                  </w:pPr>
                  <w:r>
                    <w:rPr>
                      <w:rFonts w:hint="eastAsia"/>
                      <w:color w:val="auto"/>
                      <w:lang w:val="en-US" w:eastAsia="zh-CN"/>
                    </w:rPr>
                    <w:t>0.043</w:t>
                  </w:r>
                </w:p>
              </w:tc>
              <w:tc>
                <w:tcPr>
                  <w:tcW w:w="882" w:type="pct"/>
                  <w:vMerge w:val="continue"/>
                  <w:tcBorders>
                    <w:tl2br w:val="nil"/>
                    <w:tr2bl w:val="nil"/>
                  </w:tcBorders>
                  <w:noWrap w:val="0"/>
                  <w:vAlign w:val="center"/>
                </w:tcPr>
                <w:p w14:paraId="20E271BA">
                  <w:pPr>
                    <w:jc w:val="center"/>
                    <w:rPr>
                      <w:color w:val="auto"/>
                      <w:szCs w:val="21"/>
                    </w:rPr>
                  </w:pPr>
                </w:p>
              </w:tc>
            </w:tr>
            <w:tr w14:paraId="047933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77" w:type="pct"/>
                  <w:vMerge w:val="continue"/>
                  <w:tcBorders>
                    <w:tl2br w:val="nil"/>
                    <w:tr2bl w:val="nil"/>
                  </w:tcBorders>
                  <w:noWrap w:val="0"/>
                  <w:vAlign w:val="center"/>
                </w:tcPr>
                <w:p w14:paraId="50A9F585">
                  <w:pPr>
                    <w:pStyle w:val="7"/>
                    <w:ind w:firstLine="0" w:firstLineChars="0"/>
                    <w:jc w:val="center"/>
                    <w:rPr>
                      <w:color w:val="auto"/>
                      <w:szCs w:val="21"/>
                    </w:rPr>
                  </w:pPr>
                </w:p>
              </w:tc>
              <w:tc>
                <w:tcPr>
                  <w:tcW w:w="590" w:type="pct"/>
                  <w:vMerge w:val="continue"/>
                  <w:tcBorders>
                    <w:tl2br w:val="nil"/>
                    <w:tr2bl w:val="nil"/>
                  </w:tcBorders>
                  <w:noWrap w:val="0"/>
                  <w:vAlign w:val="center"/>
                </w:tcPr>
                <w:p w14:paraId="15961854">
                  <w:pPr>
                    <w:jc w:val="center"/>
                    <w:rPr>
                      <w:color w:val="auto"/>
                      <w:szCs w:val="21"/>
                    </w:rPr>
                  </w:pPr>
                </w:p>
              </w:tc>
              <w:tc>
                <w:tcPr>
                  <w:tcW w:w="451" w:type="pct"/>
                  <w:tcBorders>
                    <w:tl2br w:val="nil"/>
                    <w:tr2bl w:val="nil"/>
                  </w:tcBorders>
                  <w:noWrap w:val="0"/>
                  <w:vAlign w:val="center"/>
                </w:tcPr>
                <w:p w14:paraId="26F924BC">
                  <w:pPr>
                    <w:pStyle w:val="3"/>
                    <w:spacing w:after="0"/>
                    <w:ind w:left="0" w:leftChars="0"/>
                    <w:jc w:val="center"/>
                    <w:rPr>
                      <w:rFonts w:hint="eastAsia" w:eastAsia="宋体"/>
                      <w:color w:val="auto"/>
                      <w:sz w:val="21"/>
                      <w:szCs w:val="21"/>
                      <w:lang w:val="en-US" w:eastAsia="zh-CN"/>
                    </w:rPr>
                  </w:pPr>
                  <w:r>
                    <w:rPr>
                      <w:rFonts w:hint="eastAsia"/>
                      <w:color w:val="auto"/>
                      <w:sz w:val="21"/>
                      <w:szCs w:val="21"/>
                      <w:lang w:val="en-US" w:eastAsia="zh-CN"/>
                    </w:rPr>
                    <w:t>甲苯</w:t>
                  </w:r>
                </w:p>
              </w:tc>
              <w:tc>
                <w:tcPr>
                  <w:tcW w:w="1114" w:type="dxa"/>
                  <w:tcBorders>
                    <w:tl2br w:val="nil"/>
                    <w:tr2bl w:val="nil"/>
                  </w:tcBorders>
                  <w:shd w:val="clear" w:color="auto" w:fill="auto"/>
                  <w:noWrap w:val="0"/>
                  <w:vAlign w:val="center"/>
                </w:tcPr>
                <w:p w14:paraId="004A5198">
                  <w:pPr>
                    <w:adjustRightInd w:val="0"/>
                    <w:snapToGrid w:val="0"/>
                    <w:jc w:val="center"/>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9.08</w:t>
                  </w:r>
                </w:p>
              </w:tc>
              <w:tc>
                <w:tcPr>
                  <w:tcW w:w="1008" w:type="dxa"/>
                  <w:tcBorders>
                    <w:tl2br w:val="nil"/>
                    <w:tr2bl w:val="nil"/>
                  </w:tcBorders>
                  <w:noWrap w:val="0"/>
                  <w:vAlign w:val="center"/>
                </w:tcPr>
                <w:p w14:paraId="113868A7">
                  <w:pPr>
                    <w:adjustRightInd w:val="0"/>
                    <w:snapToGrid w:val="0"/>
                    <w:jc w:val="center"/>
                    <w:rPr>
                      <w:rFonts w:hint="eastAsia"/>
                      <w:color w:val="auto"/>
                      <w:lang w:val="en-US" w:eastAsia="zh-CN"/>
                    </w:rPr>
                  </w:pPr>
                  <w:r>
                    <w:rPr>
                      <w:rFonts w:hint="eastAsia"/>
                      <w:color w:val="auto"/>
                      <w:lang w:val="en-US" w:eastAsia="zh-CN"/>
                    </w:rPr>
                    <w:t>0.059</w:t>
                  </w:r>
                </w:p>
              </w:tc>
              <w:tc>
                <w:tcPr>
                  <w:tcW w:w="490" w:type="pct"/>
                  <w:vMerge w:val="continue"/>
                  <w:tcBorders>
                    <w:tl2br w:val="nil"/>
                    <w:tr2bl w:val="nil"/>
                  </w:tcBorders>
                  <w:noWrap w:val="0"/>
                  <w:vAlign w:val="center"/>
                </w:tcPr>
                <w:p w14:paraId="133170BB">
                  <w:pPr>
                    <w:jc w:val="center"/>
                    <w:rPr>
                      <w:color w:val="auto"/>
                      <w:szCs w:val="21"/>
                    </w:rPr>
                  </w:pPr>
                </w:p>
              </w:tc>
              <w:tc>
                <w:tcPr>
                  <w:tcW w:w="349" w:type="pct"/>
                  <w:vMerge w:val="continue"/>
                  <w:tcBorders>
                    <w:tl2br w:val="nil"/>
                    <w:tr2bl w:val="nil"/>
                  </w:tcBorders>
                  <w:noWrap w:val="0"/>
                  <w:vAlign w:val="center"/>
                </w:tcPr>
                <w:p w14:paraId="48CA877C">
                  <w:pPr>
                    <w:jc w:val="center"/>
                    <w:rPr>
                      <w:color w:val="auto"/>
                      <w:szCs w:val="21"/>
                    </w:rPr>
                  </w:pPr>
                </w:p>
              </w:tc>
              <w:tc>
                <w:tcPr>
                  <w:tcW w:w="860" w:type="dxa"/>
                  <w:tcBorders>
                    <w:tl2br w:val="nil"/>
                    <w:tr2bl w:val="nil"/>
                  </w:tcBorders>
                  <w:noWrap w:val="0"/>
                  <w:vAlign w:val="center"/>
                </w:tcPr>
                <w:p w14:paraId="402BC5CD">
                  <w:pPr>
                    <w:adjustRightInd w:val="0"/>
                    <w:snapToGrid w:val="0"/>
                    <w:jc w:val="center"/>
                    <w:rPr>
                      <w:rFonts w:hint="eastAsia"/>
                      <w:color w:val="auto"/>
                      <w:lang w:val="en-US" w:eastAsia="zh-CN"/>
                    </w:rPr>
                  </w:pPr>
                  <w:r>
                    <w:rPr>
                      <w:rFonts w:hint="eastAsia"/>
                      <w:color w:val="auto"/>
                      <w:lang w:val="en-US" w:eastAsia="zh-CN"/>
                    </w:rPr>
                    <w:t>0.059</w:t>
                  </w:r>
                </w:p>
              </w:tc>
              <w:tc>
                <w:tcPr>
                  <w:tcW w:w="882" w:type="pct"/>
                  <w:vMerge w:val="continue"/>
                  <w:tcBorders>
                    <w:tl2br w:val="nil"/>
                    <w:tr2bl w:val="nil"/>
                  </w:tcBorders>
                  <w:noWrap w:val="0"/>
                  <w:vAlign w:val="center"/>
                </w:tcPr>
                <w:p w14:paraId="5CF8AAF4">
                  <w:pPr>
                    <w:jc w:val="center"/>
                    <w:rPr>
                      <w:color w:val="auto"/>
                      <w:szCs w:val="21"/>
                    </w:rPr>
                  </w:pPr>
                </w:p>
              </w:tc>
            </w:tr>
          </w:tbl>
          <w:p w14:paraId="71F690F8">
            <w:pPr>
              <w:numPr>
                <w:ilvl w:val="0"/>
                <w:numId w:val="0"/>
              </w:numPr>
              <w:adjustRightInd w:val="0"/>
              <w:snapToGrid w:val="0"/>
              <w:spacing w:line="360" w:lineRule="auto"/>
              <w:rPr>
                <w:rFonts w:hint="default" w:ascii="Times New Roman" w:hAnsi="Times New Roman" w:cs="Times New Roman"/>
                <w:b/>
                <w:bCs w:val="0"/>
                <w:color w:val="auto"/>
                <w:spacing w:val="0"/>
                <w:sz w:val="24"/>
                <w:szCs w:val="24"/>
                <w:lang w:val="en-US" w:eastAsia="zh-CN"/>
              </w:rPr>
            </w:pPr>
            <w:r>
              <w:rPr>
                <w:rFonts w:hint="eastAsia" w:ascii="Times New Roman" w:hAnsi="Times New Roman" w:cs="Times New Roman"/>
                <w:b/>
                <w:bCs w:val="0"/>
                <w:color w:val="auto"/>
                <w:spacing w:val="0"/>
                <w:sz w:val="24"/>
                <w:szCs w:val="24"/>
                <w:lang w:val="en-US" w:eastAsia="zh-CN"/>
              </w:rPr>
              <w:t>2、</w:t>
            </w:r>
            <w:r>
              <w:rPr>
                <w:rFonts w:hint="default" w:ascii="Times New Roman" w:hAnsi="Times New Roman" w:cs="Times New Roman"/>
                <w:b/>
                <w:bCs w:val="0"/>
                <w:color w:val="auto"/>
                <w:spacing w:val="0"/>
                <w:sz w:val="24"/>
                <w:szCs w:val="24"/>
                <w:lang w:val="en-US" w:eastAsia="zh-CN"/>
              </w:rPr>
              <w:t>废水</w:t>
            </w:r>
          </w:p>
          <w:p w14:paraId="48C2E391">
            <w:pPr>
              <w:numPr>
                <w:ilvl w:val="0"/>
                <w:numId w:val="0"/>
              </w:numPr>
              <w:adjustRightInd w:val="0"/>
              <w:snapToGrid w:val="0"/>
              <w:spacing w:line="360" w:lineRule="auto"/>
              <w:rPr>
                <w:rFonts w:hint="default" w:ascii="Times New Roman" w:hAnsi="Times New Roman" w:cs="Times New Roman"/>
                <w:b/>
                <w:bCs w:val="0"/>
                <w:color w:val="auto"/>
                <w:spacing w:val="0"/>
                <w:sz w:val="24"/>
                <w:szCs w:val="24"/>
                <w:lang w:val="en-US" w:eastAsia="zh-CN"/>
              </w:rPr>
            </w:pPr>
            <w:r>
              <w:rPr>
                <w:rFonts w:hint="default" w:ascii="Times New Roman" w:hAnsi="Times New Roman" w:cs="Times New Roman"/>
                <w:b/>
                <w:bCs w:val="0"/>
                <w:color w:val="auto"/>
                <w:spacing w:val="0"/>
                <w:sz w:val="24"/>
                <w:szCs w:val="24"/>
                <w:lang w:val="en-US" w:eastAsia="zh-CN"/>
              </w:rPr>
              <w:t>2.1废水源强核算</w:t>
            </w:r>
          </w:p>
          <w:p w14:paraId="0E026ACC">
            <w:pPr>
              <w:adjustRightInd w:val="0"/>
              <w:snapToGrid w:val="0"/>
              <w:spacing w:line="360" w:lineRule="auto"/>
              <w:ind w:firstLine="480" w:firstLineChars="200"/>
              <w:textAlignment w:val="baseline"/>
              <w:rPr>
                <w:rFonts w:hint="eastAsia" w:eastAsia="宋体"/>
                <w:bCs/>
                <w:color w:val="auto"/>
                <w:sz w:val="24"/>
                <w:lang w:val="en-US" w:eastAsia="zh-CN"/>
              </w:rPr>
            </w:pPr>
            <w:r>
              <w:rPr>
                <w:rFonts w:hint="eastAsia"/>
                <w:bCs/>
                <w:color w:val="auto"/>
                <w:sz w:val="24"/>
                <w:lang w:val="en-US" w:eastAsia="zh-CN"/>
              </w:rPr>
              <w:t>本项目器皿清洗废水与生活污水、纯水机浓水进入园区23号和24号厂房中间的化粪池</w:t>
            </w:r>
            <w:r>
              <w:rPr>
                <w:rFonts w:hint="eastAsia"/>
                <w:color w:val="auto"/>
                <w:lang w:eastAsia="zh-CN"/>
              </w:rPr>
              <w:t>（</w:t>
            </w:r>
            <w:r>
              <w:rPr>
                <w:rFonts w:hint="default" w:ascii="Times New Roman" w:hAnsi="Times New Roman" w:eastAsia="宋体" w:cs="Times New Roman"/>
                <w:b w:val="0"/>
                <w:bCs w:val="0"/>
                <w:color w:val="auto"/>
                <w:sz w:val="24"/>
                <w:lang w:val="en-US" w:eastAsia="zh-CN"/>
              </w:rPr>
              <w:t>100m</w:t>
            </w:r>
            <w:r>
              <w:rPr>
                <w:rFonts w:hint="default" w:ascii="Times New Roman" w:hAnsi="Times New Roman" w:eastAsia="宋体" w:cs="Times New Roman"/>
                <w:b w:val="0"/>
                <w:bCs w:val="0"/>
                <w:color w:val="auto"/>
                <w:sz w:val="24"/>
                <w:vertAlign w:val="superscript"/>
                <w:lang w:val="en-US" w:eastAsia="zh-CN"/>
              </w:rPr>
              <w:t>3</w:t>
            </w:r>
            <w:r>
              <w:rPr>
                <w:rFonts w:hint="eastAsia"/>
                <w:color w:val="auto"/>
                <w:lang w:eastAsia="zh-CN"/>
              </w:rPr>
              <w:t>）</w:t>
            </w:r>
            <w:r>
              <w:rPr>
                <w:rFonts w:hint="eastAsia"/>
                <w:bCs/>
                <w:color w:val="auto"/>
                <w:sz w:val="24"/>
                <w:lang w:val="en-US" w:eastAsia="zh-CN"/>
              </w:rPr>
              <w:t>处理达标后排入市政污水管网。</w:t>
            </w:r>
          </w:p>
          <w:p w14:paraId="620AED97">
            <w:pPr>
              <w:adjustRightInd w:val="0"/>
              <w:snapToGrid w:val="0"/>
              <w:spacing w:line="360" w:lineRule="auto"/>
              <w:ind w:firstLine="480" w:firstLineChars="200"/>
              <w:textAlignment w:val="baseline"/>
              <w:rPr>
                <w:rFonts w:hint="default" w:ascii="Times New Roman" w:hAnsi="Times New Roman" w:eastAsia="宋体" w:cs="Times New Roman"/>
                <w:color w:val="auto"/>
                <w:sz w:val="24"/>
                <w:szCs w:val="24"/>
              </w:rPr>
            </w:pPr>
            <w:r>
              <w:rPr>
                <w:rFonts w:hint="eastAsia"/>
                <w:bCs/>
                <w:color w:val="auto"/>
                <w:sz w:val="24"/>
              </w:rPr>
              <w:t>根据前文给排水分析，生活污水排水量为</w:t>
            </w:r>
            <w:r>
              <w:rPr>
                <w:rFonts w:hint="eastAsia"/>
                <w:color w:val="auto"/>
                <w:sz w:val="24"/>
                <w:lang w:val="en-US" w:eastAsia="zh-CN"/>
              </w:rPr>
              <w:t>200</w:t>
            </w:r>
            <w:r>
              <w:rPr>
                <w:rFonts w:hint="eastAsia"/>
                <w:color w:val="auto"/>
                <w:sz w:val="24"/>
              </w:rPr>
              <w:t>m</w:t>
            </w:r>
            <w:r>
              <w:rPr>
                <w:rFonts w:hint="eastAsia"/>
                <w:color w:val="auto"/>
                <w:sz w:val="24"/>
                <w:vertAlign w:val="superscript"/>
              </w:rPr>
              <w:t>3</w:t>
            </w:r>
            <w:r>
              <w:rPr>
                <w:rFonts w:hint="eastAsia"/>
                <w:color w:val="auto"/>
                <w:sz w:val="24"/>
              </w:rPr>
              <w:t>/a，</w:t>
            </w:r>
            <w:r>
              <w:rPr>
                <w:color w:val="auto"/>
                <w:sz w:val="24"/>
              </w:rPr>
              <w:t>生活污水中主要污染物为COD、BOD</w:t>
            </w:r>
            <w:r>
              <w:rPr>
                <w:color w:val="auto"/>
                <w:sz w:val="24"/>
                <w:vertAlign w:val="subscript"/>
              </w:rPr>
              <w:t>5</w:t>
            </w:r>
            <w:r>
              <w:rPr>
                <w:color w:val="auto"/>
                <w:sz w:val="24"/>
              </w:rPr>
              <w:t>、SS、氨氮</w:t>
            </w:r>
            <w:r>
              <w:rPr>
                <w:rFonts w:hint="eastAsia"/>
                <w:color w:val="auto"/>
                <w:sz w:val="24"/>
              </w:rPr>
              <w:t>、总磷、总氮</w:t>
            </w:r>
            <w:r>
              <w:rPr>
                <w:color w:val="auto"/>
                <w:sz w:val="24"/>
              </w:rPr>
              <w:t>等，</w:t>
            </w:r>
            <w:r>
              <w:rPr>
                <w:rFonts w:hint="eastAsia"/>
                <w:color w:val="auto"/>
                <w:sz w:val="24"/>
                <w:lang w:val="en-US" w:eastAsia="zh-CN"/>
              </w:rPr>
              <w:t>生活污水</w:t>
            </w:r>
            <w:r>
              <w:rPr>
                <w:color w:val="auto"/>
                <w:sz w:val="24"/>
              </w:rPr>
              <w:t>水质参考《给排水设计手册》（第五分册）典型生活污水水质</w:t>
            </w:r>
            <w:r>
              <w:rPr>
                <w:rFonts w:hint="eastAsia"/>
                <w:color w:val="auto"/>
                <w:sz w:val="24"/>
              </w:rPr>
              <w:t>。</w:t>
            </w:r>
          </w:p>
          <w:p w14:paraId="2FC6F380">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cs="Times New Roman"/>
                <w:color w:val="auto"/>
                <w:sz w:val="24"/>
                <w:lang w:val="en-US"/>
              </w:rPr>
            </w:pPr>
            <w:r>
              <w:rPr>
                <w:rFonts w:hint="eastAsia" w:ascii="Times New Roman" w:hAnsi="Times New Roman" w:eastAsia="宋体" w:cs="Times New Roman"/>
                <w:color w:val="auto"/>
                <w:sz w:val="24"/>
                <w:highlight w:val="none"/>
                <w:lang w:val="en-US" w:eastAsia="zh-CN"/>
              </w:rPr>
              <w:t>本项目</w:t>
            </w:r>
            <w:r>
              <w:rPr>
                <w:rFonts w:hint="eastAsia" w:cs="Times New Roman"/>
                <w:color w:val="auto"/>
                <w:sz w:val="24"/>
                <w:highlight w:val="none"/>
                <w:lang w:val="en-US" w:eastAsia="zh-CN"/>
              </w:rPr>
              <w:t>调配浆料</w:t>
            </w:r>
            <w:r>
              <w:rPr>
                <w:rFonts w:hint="eastAsia" w:ascii="Times New Roman" w:hAnsi="Times New Roman" w:eastAsia="宋体" w:cs="Times New Roman"/>
                <w:color w:val="auto"/>
                <w:sz w:val="24"/>
                <w:highlight w:val="none"/>
                <w:lang w:val="en-US" w:eastAsia="zh-CN"/>
              </w:rPr>
              <w:t>过程中</w:t>
            </w:r>
            <w:r>
              <w:rPr>
                <w:rFonts w:hint="eastAsia"/>
                <w:color w:val="auto"/>
                <w:sz w:val="24"/>
                <w:highlight w:val="none"/>
                <w:lang w:val="en-US" w:eastAsia="zh-CN"/>
              </w:rPr>
              <w:t>器皿清洗废水产生量为</w:t>
            </w:r>
            <w:r>
              <w:rPr>
                <w:rFonts w:hint="eastAsia"/>
                <w:color w:val="auto"/>
                <w:sz w:val="24"/>
                <w:lang w:val="en-US" w:eastAsia="zh-CN"/>
              </w:rPr>
              <w:t>2.23</w:t>
            </w:r>
            <w:r>
              <w:rPr>
                <w:rFonts w:hint="eastAsia"/>
                <w:color w:val="auto"/>
                <w:sz w:val="24"/>
              </w:rPr>
              <w:t>m</w:t>
            </w:r>
            <w:r>
              <w:rPr>
                <w:rFonts w:hint="eastAsia"/>
                <w:color w:val="auto"/>
                <w:sz w:val="24"/>
                <w:vertAlign w:val="superscript"/>
              </w:rPr>
              <w:t>3</w:t>
            </w:r>
            <w:r>
              <w:rPr>
                <w:rFonts w:hint="eastAsia"/>
                <w:color w:val="auto"/>
                <w:sz w:val="24"/>
              </w:rPr>
              <w:t>/a</w:t>
            </w:r>
            <w:r>
              <w:rPr>
                <w:rFonts w:hint="eastAsia"/>
                <w:color w:val="auto"/>
                <w:sz w:val="24"/>
                <w:lang w:eastAsia="zh-CN"/>
              </w:rPr>
              <w:t>，</w:t>
            </w:r>
            <w:r>
              <w:rPr>
                <w:rFonts w:hint="eastAsia"/>
                <w:color w:val="auto"/>
                <w:sz w:val="24"/>
                <w:highlight w:val="none"/>
                <w:lang w:val="en-US" w:eastAsia="zh-CN"/>
              </w:rPr>
              <w:t>主要污染物为</w:t>
            </w:r>
            <w:r>
              <w:rPr>
                <w:rFonts w:hint="eastAsia" w:ascii="Times New Roman" w:hAnsi="Times New Roman" w:eastAsia="宋体" w:cs="Times New Roman"/>
                <w:color w:val="auto"/>
                <w:sz w:val="24"/>
                <w:highlight w:val="none"/>
                <w:lang w:val="en-US" w:eastAsia="zh-CN"/>
              </w:rPr>
              <w:t>COD、SS，</w:t>
            </w:r>
            <w:r>
              <w:rPr>
                <w:rFonts w:hint="eastAsia"/>
                <w:color w:val="auto"/>
                <w:sz w:val="24"/>
                <w:lang w:val="en-US" w:eastAsia="zh-CN"/>
              </w:rPr>
              <w:t>纯水</w:t>
            </w:r>
            <w:r>
              <w:rPr>
                <w:rFonts w:hint="default" w:ascii="Times New Roman" w:hAnsi="Times New Roman" w:eastAsia="宋体" w:cs="Times New Roman"/>
                <w:color w:val="auto"/>
                <w:sz w:val="24"/>
                <w:szCs w:val="24"/>
                <w:highlight w:val="none"/>
              </w:rPr>
              <w:t>制备过程产生的浓水为</w:t>
            </w:r>
            <w:r>
              <w:rPr>
                <w:rFonts w:hint="eastAsia" w:ascii="Times New Roman" w:hAnsi="Times New Roman" w:eastAsia="宋体" w:cs="Times New Roman"/>
                <w:color w:val="auto"/>
                <w:sz w:val="24"/>
                <w:szCs w:val="24"/>
                <w:highlight w:val="none"/>
                <w:lang w:val="en-US" w:eastAsia="zh-CN"/>
              </w:rPr>
              <w:t>2.55</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lang w:val="en-US" w:eastAsia="zh-CN"/>
              </w:rPr>
              <w:t>/a</w:t>
            </w:r>
            <w:r>
              <w:rPr>
                <w:rFonts w:hint="eastAsia" w:ascii="Times New Roman" w:hAnsi="Times New Roman" w:cs="Times New Roman"/>
                <w:color w:val="auto"/>
                <w:sz w:val="24"/>
                <w:szCs w:val="24"/>
                <w:highlight w:val="none"/>
                <w:lang w:val="en-US" w:eastAsia="zh-CN"/>
              </w:rPr>
              <w:t>，</w:t>
            </w:r>
            <w:r>
              <w:rPr>
                <w:rFonts w:hint="eastAsia" w:ascii="Times New Roman" w:hAnsi="Times New Roman" w:eastAsia="宋体" w:cs="Times New Roman"/>
                <w:color w:val="auto"/>
                <w:sz w:val="24"/>
                <w:highlight w:val="none"/>
                <w:lang w:val="en-US" w:eastAsia="zh-CN"/>
              </w:rPr>
              <w:t>主要污染物为COD、TDS。</w:t>
            </w:r>
            <w:r>
              <w:rPr>
                <w:rFonts w:hint="eastAsia"/>
                <w:color w:val="auto"/>
                <w:sz w:val="24"/>
              </w:rPr>
              <w:t>参考《</w:t>
            </w:r>
            <w:r>
              <w:rPr>
                <w:rFonts w:ascii="宋体" w:hAnsi="宋体" w:eastAsia="宋体" w:cs="宋体"/>
                <w:color w:val="auto"/>
                <w:sz w:val="24"/>
                <w:szCs w:val="24"/>
              </w:rPr>
              <w:t>杭州知峪生物科技有限公司新建研发实验室项目</w:t>
            </w:r>
            <w:r>
              <w:rPr>
                <w:rFonts w:hint="eastAsia"/>
                <w:color w:val="auto"/>
                <w:sz w:val="24"/>
                <w:lang w:val="en-US" w:eastAsia="zh-CN"/>
              </w:rPr>
              <w:t>竣工环境保护验收监测报告表</w:t>
            </w:r>
            <w:r>
              <w:rPr>
                <w:rFonts w:hint="eastAsia"/>
                <w:color w:val="auto"/>
                <w:sz w:val="24"/>
              </w:rPr>
              <w:t>》，</w:t>
            </w:r>
            <w:r>
              <w:rPr>
                <w:rFonts w:ascii="宋体" w:hAnsi="宋体" w:eastAsia="宋体" w:cs="宋体"/>
                <w:color w:val="auto"/>
                <w:sz w:val="24"/>
                <w:szCs w:val="24"/>
              </w:rPr>
              <w:t>杭州知峪生物科技有限公司新建研发实验室项目</w:t>
            </w:r>
            <w:r>
              <w:rPr>
                <w:rFonts w:hint="eastAsia" w:ascii="宋体" w:hAnsi="宋体" w:cs="宋体"/>
                <w:color w:val="auto"/>
                <w:sz w:val="24"/>
                <w:szCs w:val="24"/>
                <w:lang w:val="en-US" w:eastAsia="zh-CN"/>
              </w:rPr>
              <w:t>废水主要为生活污水、纯水制备浓水及器皿</w:t>
            </w:r>
            <w:r>
              <w:rPr>
                <w:rFonts w:ascii="宋体" w:hAnsi="宋体" w:eastAsia="宋体" w:cs="宋体"/>
                <w:color w:val="auto"/>
                <w:sz w:val="24"/>
                <w:szCs w:val="24"/>
              </w:rPr>
              <w:t>清洗废水</w:t>
            </w:r>
            <w:r>
              <w:rPr>
                <w:rFonts w:hint="eastAsia"/>
                <w:color w:val="auto"/>
                <w:sz w:val="24"/>
              </w:rPr>
              <w:t>，与本项目相似</w:t>
            </w:r>
            <w:r>
              <w:rPr>
                <w:rFonts w:hint="eastAsia"/>
                <w:bCs/>
                <w:color w:val="auto"/>
                <w:sz w:val="24"/>
                <w:lang w:bidi="ar"/>
              </w:rPr>
              <w:t>，该</w:t>
            </w:r>
            <w:r>
              <w:rPr>
                <w:rFonts w:hint="eastAsia"/>
                <w:color w:val="auto"/>
                <w:sz w:val="24"/>
              </w:rPr>
              <w:t>项目已经建成并开始了实际运行。本项目废水水质参考</w:t>
            </w:r>
            <w:r>
              <w:rPr>
                <w:rFonts w:hint="eastAsia"/>
                <w:color w:val="auto"/>
                <w:sz w:val="24"/>
                <w:szCs w:val="24"/>
                <w:lang w:val="en-US" w:eastAsia="zh-CN"/>
              </w:rPr>
              <w:t>杭州楚迪检测技术有限公司</w:t>
            </w:r>
            <w:r>
              <w:rPr>
                <w:rFonts w:hint="eastAsia"/>
                <w:color w:val="auto"/>
                <w:sz w:val="24"/>
              </w:rPr>
              <w:t>对</w:t>
            </w:r>
            <w:r>
              <w:rPr>
                <w:rFonts w:ascii="宋体" w:hAnsi="宋体" w:eastAsia="宋体" w:cs="宋体"/>
                <w:color w:val="auto"/>
                <w:sz w:val="24"/>
                <w:szCs w:val="24"/>
              </w:rPr>
              <w:t>杭州知峪生物科技有限公司新建研发实验室项目</w:t>
            </w:r>
            <w:r>
              <w:rPr>
                <w:rFonts w:hint="eastAsia"/>
                <w:color w:val="auto"/>
                <w:sz w:val="24"/>
              </w:rPr>
              <w:t>出具的废水检测报告</w:t>
            </w:r>
            <w:r>
              <w:rPr>
                <w:rFonts w:hint="eastAsia"/>
                <w:color w:val="auto"/>
                <w:sz w:val="24"/>
                <w:lang w:eastAsia="zh-CN"/>
              </w:rPr>
              <w:t>（</w:t>
            </w:r>
            <w:r>
              <w:rPr>
                <w:rFonts w:hint="eastAsia"/>
                <w:color w:val="auto"/>
                <w:sz w:val="24"/>
                <w:lang w:val="en-US" w:eastAsia="zh-CN"/>
              </w:rPr>
              <w:t>见附件9</w:t>
            </w:r>
            <w:r>
              <w:rPr>
                <w:rFonts w:hint="eastAsia"/>
                <w:color w:val="auto"/>
                <w:sz w:val="24"/>
                <w:lang w:eastAsia="zh-CN"/>
              </w:rPr>
              <w:t>）</w:t>
            </w:r>
            <w:r>
              <w:rPr>
                <w:rFonts w:hint="eastAsia" w:ascii="Times New Roman" w:hAnsi="Times New Roman" w:eastAsia="宋体" w:cs="Times New Roman"/>
                <w:color w:val="auto"/>
                <w:sz w:val="24"/>
                <w:highlight w:val="none"/>
                <w:lang w:val="en-US" w:eastAsia="zh-CN"/>
              </w:rPr>
              <w:t>。</w:t>
            </w:r>
          </w:p>
          <w:p w14:paraId="62C7122C">
            <w:pPr>
              <w:pStyle w:val="6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1"/>
                <w:sz w:val="24"/>
                <w:szCs w:val="24"/>
                <w:lang w:val="en-US" w:eastAsia="zh-CN"/>
              </w:rPr>
            </w:pPr>
            <w:r>
              <w:rPr>
                <w:rFonts w:hint="eastAsia" w:ascii="Times New Roman" w:hAnsi="Times New Roman" w:eastAsia="宋体" w:cs="Times New Roman"/>
                <w:b/>
                <w:bCs/>
                <w:color w:val="auto"/>
                <w:kern w:val="21"/>
                <w:sz w:val="24"/>
                <w:szCs w:val="24"/>
                <w:lang w:val="en-US" w:eastAsia="zh-CN"/>
              </w:rPr>
              <w:t>表4-</w:t>
            </w:r>
            <w:r>
              <w:rPr>
                <w:rFonts w:hint="eastAsia" w:hAnsi="Times New Roman" w:cs="Times New Roman"/>
                <w:b/>
                <w:bCs/>
                <w:color w:val="auto"/>
                <w:kern w:val="21"/>
                <w:sz w:val="24"/>
                <w:szCs w:val="24"/>
                <w:lang w:val="en-US" w:eastAsia="zh-CN"/>
              </w:rPr>
              <w:t>6</w:t>
            </w:r>
            <w:r>
              <w:rPr>
                <w:rFonts w:hint="eastAsia" w:ascii="Times New Roman" w:hAnsi="Times New Roman" w:eastAsia="宋体" w:cs="Times New Roman"/>
                <w:b/>
                <w:bCs/>
                <w:color w:val="auto"/>
                <w:kern w:val="21"/>
                <w:sz w:val="24"/>
                <w:szCs w:val="24"/>
                <w:lang w:val="en-US" w:eastAsia="zh-CN"/>
              </w:rPr>
              <w:t xml:space="preserve">   </w:t>
            </w:r>
            <w:r>
              <w:rPr>
                <w:rFonts w:hint="eastAsia" w:hAnsi="Times New Roman" w:cs="Times New Roman"/>
                <w:b/>
                <w:bCs/>
                <w:color w:val="auto"/>
                <w:kern w:val="21"/>
                <w:sz w:val="24"/>
                <w:szCs w:val="24"/>
                <w:lang w:val="en-US" w:eastAsia="zh-CN"/>
              </w:rPr>
              <w:t>综合</w:t>
            </w:r>
            <w:r>
              <w:rPr>
                <w:rFonts w:hint="eastAsia" w:ascii="Times New Roman" w:hAnsi="Times New Roman" w:eastAsia="宋体" w:cs="Times New Roman"/>
                <w:b/>
                <w:bCs/>
                <w:color w:val="auto"/>
                <w:kern w:val="21"/>
                <w:sz w:val="24"/>
                <w:szCs w:val="24"/>
                <w:lang w:val="en-US" w:eastAsia="zh-CN"/>
              </w:rPr>
              <w:t>废水产排情况</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4"/>
              <w:gridCol w:w="775"/>
              <w:gridCol w:w="800"/>
              <w:gridCol w:w="761"/>
              <w:gridCol w:w="415"/>
              <w:gridCol w:w="613"/>
              <w:gridCol w:w="800"/>
              <w:gridCol w:w="761"/>
              <w:gridCol w:w="1361"/>
              <w:gridCol w:w="1779"/>
            </w:tblGrid>
            <w:tr w14:paraId="396A01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2" w:type="pct"/>
                  <w:vMerge w:val="restart"/>
                  <w:tcBorders>
                    <w:tl2br w:val="nil"/>
                    <w:tr2bl w:val="nil"/>
                  </w:tcBorders>
                  <w:noWrap w:val="0"/>
                  <w:vAlign w:val="center"/>
                </w:tcPr>
                <w:p w14:paraId="46B77A53">
                  <w:pPr>
                    <w:pStyle w:val="68"/>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污水类型</w:t>
                  </w:r>
                </w:p>
              </w:tc>
              <w:tc>
                <w:tcPr>
                  <w:tcW w:w="453" w:type="pct"/>
                  <w:vMerge w:val="restart"/>
                  <w:tcBorders>
                    <w:tl2br w:val="nil"/>
                    <w:tr2bl w:val="nil"/>
                  </w:tcBorders>
                  <w:noWrap w:val="0"/>
                  <w:vAlign w:val="center"/>
                </w:tcPr>
                <w:p w14:paraId="03465CEB">
                  <w:pPr>
                    <w:pStyle w:val="68"/>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913" w:type="pct"/>
                  <w:gridSpan w:val="2"/>
                  <w:tcBorders>
                    <w:tl2br w:val="nil"/>
                    <w:tr2bl w:val="nil"/>
                  </w:tcBorders>
                  <w:noWrap w:val="0"/>
                  <w:vAlign w:val="center"/>
                </w:tcPr>
                <w:p w14:paraId="4259269F">
                  <w:pPr>
                    <w:pStyle w:val="68"/>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产生情况</w:t>
                  </w:r>
                </w:p>
              </w:tc>
              <w:tc>
                <w:tcPr>
                  <w:tcW w:w="268" w:type="pct"/>
                  <w:vMerge w:val="restart"/>
                  <w:tcBorders>
                    <w:tl2br w:val="nil"/>
                    <w:tr2bl w:val="nil"/>
                  </w:tcBorders>
                  <w:noWrap w:val="0"/>
                  <w:vAlign w:val="center"/>
                </w:tcPr>
                <w:p w14:paraId="66D92EFA">
                  <w:pPr>
                    <w:pStyle w:val="68"/>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治理措施</w:t>
                  </w:r>
                </w:p>
              </w:tc>
              <w:tc>
                <w:tcPr>
                  <w:tcW w:w="359" w:type="pct"/>
                  <w:vMerge w:val="restart"/>
                  <w:tcBorders>
                    <w:tl2br w:val="nil"/>
                    <w:tr2bl w:val="nil"/>
                  </w:tcBorders>
                  <w:noWrap w:val="0"/>
                  <w:vAlign w:val="center"/>
                </w:tcPr>
                <w:p w14:paraId="476A08C7">
                  <w:pPr>
                    <w:pStyle w:val="68"/>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去除率%</w:t>
                  </w:r>
                </w:p>
              </w:tc>
              <w:tc>
                <w:tcPr>
                  <w:tcW w:w="1253" w:type="pct"/>
                  <w:gridSpan w:val="2"/>
                  <w:tcBorders>
                    <w:tl2br w:val="nil"/>
                    <w:tr2bl w:val="nil"/>
                  </w:tcBorders>
                  <w:noWrap w:val="0"/>
                  <w:vAlign w:val="center"/>
                </w:tcPr>
                <w:p w14:paraId="318341E5">
                  <w:pPr>
                    <w:pStyle w:val="68"/>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排放情况</w:t>
                  </w:r>
                </w:p>
              </w:tc>
              <w:tc>
                <w:tcPr>
                  <w:tcW w:w="1509" w:type="pct"/>
                  <w:gridSpan w:val="2"/>
                  <w:tcBorders>
                    <w:tl2br w:val="nil"/>
                    <w:tr2bl w:val="nil"/>
                  </w:tcBorders>
                  <w:noWrap w:val="0"/>
                  <w:vAlign w:val="center"/>
                </w:tcPr>
                <w:p w14:paraId="1E81D60E">
                  <w:pPr>
                    <w:pStyle w:val="68"/>
                    <w:rPr>
                      <w:rFonts w:hint="default" w:ascii="Times New Roman" w:hAnsi="Times New Roman" w:eastAsia="宋体" w:cs="Times New Roman"/>
                      <w:b/>
                      <w:bCs/>
                      <w:color w:val="auto"/>
                      <w:sz w:val="21"/>
                      <w:szCs w:val="21"/>
                    </w:rPr>
                  </w:pPr>
                  <w:r>
                    <w:rPr>
                      <w:rFonts w:hint="eastAsia"/>
                      <w:b/>
                      <w:bCs/>
                      <w:color w:val="auto"/>
                      <w:szCs w:val="21"/>
                    </w:rPr>
                    <w:t>标准限值（</w:t>
                  </w:r>
                  <w:r>
                    <w:rPr>
                      <w:b/>
                      <w:bCs/>
                      <w:color w:val="auto"/>
                      <w:szCs w:val="21"/>
                    </w:rPr>
                    <w:t>mg/L</w:t>
                  </w:r>
                  <w:r>
                    <w:rPr>
                      <w:rFonts w:hint="eastAsia"/>
                      <w:b/>
                      <w:bCs/>
                      <w:color w:val="auto"/>
                      <w:szCs w:val="21"/>
                    </w:rPr>
                    <w:t>）</w:t>
                  </w:r>
                </w:p>
              </w:tc>
            </w:tr>
            <w:tr w14:paraId="316991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2" w:type="pct"/>
                  <w:vMerge w:val="continue"/>
                  <w:tcBorders>
                    <w:tl2br w:val="nil"/>
                    <w:tr2bl w:val="nil"/>
                  </w:tcBorders>
                  <w:noWrap w:val="0"/>
                  <w:vAlign w:val="center"/>
                </w:tcPr>
                <w:p w14:paraId="00516D3E">
                  <w:pPr>
                    <w:pStyle w:val="68"/>
                    <w:jc w:val="center"/>
                    <w:rPr>
                      <w:rFonts w:hint="default" w:ascii="Times New Roman" w:hAnsi="Times New Roman" w:eastAsia="宋体" w:cs="Times New Roman"/>
                      <w:b/>
                      <w:bCs/>
                      <w:color w:val="auto"/>
                      <w:sz w:val="21"/>
                      <w:szCs w:val="21"/>
                    </w:rPr>
                  </w:pPr>
                </w:p>
              </w:tc>
              <w:tc>
                <w:tcPr>
                  <w:tcW w:w="453" w:type="pct"/>
                  <w:vMerge w:val="continue"/>
                  <w:tcBorders>
                    <w:tl2br w:val="nil"/>
                    <w:tr2bl w:val="nil"/>
                  </w:tcBorders>
                  <w:noWrap w:val="0"/>
                  <w:vAlign w:val="center"/>
                </w:tcPr>
                <w:p w14:paraId="0ABF1F9C">
                  <w:pPr>
                    <w:pStyle w:val="68"/>
                    <w:jc w:val="center"/>
                    <w:rPr>
                      <w:rFonts w:hint="default" w:ascii="Times New Roman" w:hAnsi="Times New Roman" w:eastAsia="宋体" w:cs="Times New Roman"/>
                      <w:b/>
                      <w:bCs/>
                      <w:color w:val="auto"/>
                      <w:sz w:val="21"/>
                      <w:szCs w:val="21"/>
                    </w:rPr>
                  </w:pPr>
                </w:p>
              </w:tc>
              <w:tc>
                <w:tcPr>
                  <w:tcW w:w="468" w:type="pct"/>
                  <w:tcBorders>
                    <w:tl2br w:val="nil"/>
                    <w:tr2bl w:val="nil"/>
                  </w:tcBorders>
                  <w:noWrap w:val="0"/>
                  <w:vAlign w:val="center"/>
                </w:tcPr>
                <w:p w14:paraId="700B4C93">
                  <w:pPr>
                    <w:pStyle w:val="68"/>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浓度(mg/L)</w:t>
                  </w:r>
                </w:p>
              </w:tc>
              <w:tc>
                <w:tcPr>
                  <w:tcW w:w="445" w:type="pct"/>
                  <w:tcBorders>
                    <w:tl2br w:val="nil"/>
                    <w:tr2bl w:val="nil"/>
                  </w:tcBorders>
                  <w:noWrap w:val="0"/>
                  <w:vAlign w:val="center"/>
                </w:tcPr>
                <w:p w14:paraId="3BF51863">
                  <w:pPr>
                    <w:pStyle w:val="68"/>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产生量(t/a)</w:t>
                  </w:r>
                </w:p>
              </w:tc>
              <w:tc>
                <w:tcPr>
                  <w:tcW w:w="268" w:type="pct"/>
                  <w:vMerge w:val="continue"/>
                  <w:tcBorders>
                    <w:tl2br w:val="nil"/>
                    <w:tr2bl w:val="nil"/>
                  </w:tcBorders>
                  <w:noWrap w:val="0"/>
                  <w:vAlign w:val="center"/>
                </w:tcPr>
                <w:p w14:paraId="18A30F0D">
                  <w:pPr>
                    <w:pStyle w:val="68"/>
                    <w:jc w:val="center"/>
                    <w:rPr>
                      <w:rFonts w:hint="default" w:ascii="Times New Roman" w:hAnsi="Times New Roman" w:eastAsia="宋体" w:cs="Times New Roman"/>
                      <w:b/>
                      <w:bCs/>
                      <w:color w:val="auto"/>
                      <w:sz w:val="21"/>
                      <w:szCs w:val="21"/>
                    </w:rPr>
                  </w:pPr>
                </w:p>
              </w:tc>
              <w:tc>
                <w:tcPr>
                  <w:tcW w:w="359" w:type="pct"/>
                  <w:vMerge w:val="continue"/>
                  <w:tcBorders>
                    <w:tl2br w:val="nil"/>
                    <w:tr2bl w:val="nil"/>
                  </w:tcBorders>
                  <w:noWrap w:val="0"/>
                  <w:vAlign w:val="center"/>
                </w:tcPr>
                <w:p w14:paraId="1E2E7664">
                  <w:pPr>
                    <w:pStyle w:val="68"/>
                    <w:jc w:val="center"/>
                    <w:rPr>
                      <w:rFonts w:hint="default" w:ascii="Times New Roman" w:hAnsi="Times New Roman" w:eastAsia="宋体" w:cs="Times New Roman"/>
                      <w:b/>
                      <w:bCs/>
                      <w:color w:val="auto"/>
                      <w:sz w:val="21"/>
                      <w:szCs w:val="21"/>
                    </w:rPr>
                  </w:pPr>
                </w:p>
              </w:tc>
              <w:tc>
                <w:tcPr>
                  <w:tcW w:w="623" w:type="pct"/>
                  <w:tcBorders>
                    <w:tl2br w:val="nil"/>
                    <w:tr2bl w:val="nil"/>
                  </w:tcBorders>
                  <w:noWrap w:val="0"/>
                  <w:vAlign w:val="center"/>
                </w:tcPr>
                <w:p w14:paraId="0FF0CD80">
                  <w:pPr>
                    <w:pStyle w:val="68"/>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浓度(mg/L)</w:t>
                  </w:r>
                </w:p>
              </w:tc>
              <w:tc>
                <w:tcPr>
                  <w:tcW w:w="629" w:type="pct"/>
                  <w:tcBorders>
                    <w:tl2br w:val="nil"/>
                    <w:tr2bl w:val="nil"/>
                  </w:tcBorders>
                  <w:noWrap w:val="0"/>
                  <w:vAlign w:val="center"/>
                </w:tcPr>
                <w:p w14:paraId="2217ED85">
                  <w:pPr>
                    <w:pStyle w:val="68"/>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排放量(t/a)</w:t>
                  </w:r>
                </w:p>
              </w:tc>
              <w:tc>
                <w:tcPr>
                  <w:tcW w:w="647" w:type="pct"/>
                  <w:tcBorders>
                    <w:tl2br w:val="nil"/>
                    <w:tr2bl w:val="nil"/>
                  </w:tcBorders>
                  <w:noWrap w:val="0"/>
                  <w:vAlign w:val="center"/>
                </w:tcPr>
                <w:p w14:paraId="6BC782A7">
                  <w:pPr>
                    <w:pStyle w:val="68"/>
                    <w:rPr>
                      <w:rFonts w:hint="default" w:ascii="Times New Roman" w:hAnsi="Times New Roman" w:eastAsia="宋体" w:cs="Times New Roman"/>
                      <w:b/>
                      <w:bCs/>
                      <w:color w:val="auto"/>
                      <w:sz w:val="21"/>
                      <w:szCs w:val="21"/>
                    </w:rPr>
                  </w:pPr>
                  <w:r>
                    <w:rPr>
                      <w:b/>
                      <w:bCs/>
                      <w:color w:val="auto"/>
                      <w:szCs w:val="21"/>
                    </w:rPr>
                    <w:t>GB</w:t>
                  </w:r>
                  <w:r>
                    <w:rPr>
                      <w:rFonts w:hint="eastAsia"/>
                      <w:b/>
                      <w:bCs/>
                      <w:color w:val="auto"/>
                      <w:szCs w:val="21"/>
                    </w:rPr>
                    <w:t>8978-1996限值</w:t>
                  </w:r>
                </w:p>
              </w:tc>
              <w:tc>
                <w:tcPr>
                  <w:tcW w:w="862" w:type="pct"/>
                  <w:tcBorders>
                    <w:tl2br w:val="nil"/>
                    <w:tr2bl w:val="nil"/>
                  </w:tcBorders>
                  <w:noWrap w:val="0"/>
                  <w:vAlign w:val="center"/>
                </w:tcPr>
                <w:p w14:paraId="698482F6">
                  <w:pPr>
                    <w:pStyle w:val="68"/>
                    <w:rPr>
                      <w:rFonts w:hint="default" w:ascii="Times New Roman" w:hAnsi="Times New Roman" w:eastAsia="宋体" w:cs="Times New Roman"/>
                      <w:b/>
                      <w:bCs/>
                      <w:color w:val="auto"/>
                      <w:sz w:val="21"/>
                      <w:szCs w:val="21"/>
                    </w:rPr>
                  </w:pPr>
                  <w:r>
                    <w:rPr>
                      <w:b/>
                      <w:bCs/>
                      <w:color w:val="auto"/>
                      <w:szCs w:val="21"/>
                    </w:rPr>
                    <w:t>GB/T31962-2015</w:t>
                  </w:r>
                  <w:r>
                    <w:rPr>
                      <w:rFonts w:hint="eastAsia"/>
                      <w:b/>
                      <w:bCs/>
                      <w:color w:val="auto"/>
                      <w:szCs w:val="21"/>
                      <w:lang w:val="en-US" w:eastAsia="zh-CN"/>
                    </w:rPr>
                    <w:t>B</w:t>
                  </w:r>
                  <w:r>
                    <w:rPr>
                      <w:rFonts w:hint="eastAsia"/>
                      <w:b/>
                      <w:bCs/>
                      <w:color w:val="auto"/>
                      <w:szCs w:val="21"/>
                    </w:rPr>
                    <w:t>级标准</w:t>
                  </w:r>
                </w:p>
              </w:tc>
            </w:tr>
            <w:tr w14:paraId="2A5199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42" w:type="pct"/>
                  <w:vMerge w:val="restart"/>
                  <w:tcBorders>
                    <w:tl2br w:val="nil"/>
                    <w:tr2bl w:val="nil"/>
                  </w:tcBorders>
                  <w:noWrap w:val="0"/>
                  <w:vAlign w:val="center"/>
                </w:tcPr>
                <w:p w14:paraId="05894B91">
                  <w:pPr>
                    <w:pStyle w:val="68"/>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综合废水</w:t>
                  </w:r>
                </w:p>
              </w:tc>
              <w:tc>
                <w:tcPr>
                  <w:tcW w:w="453" w:type="pct"/>
                  <w:tcBorders>
                    <w:tl2br w:val="nil"/>
                    <w:tr2bl w:val="nil"/>
                  </w:tcBorders>
                  <w:noWrap w:val="0"/>
                  <w:vAlign w:val="center"/>
                </w:tcPr>
                <w:p w14:paraId="25D167FC">
                  <w:pPr>
                    <w:pStyle w:val="6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水量</w:t>
                  </w:r>
                </w:p>
              </w:tc>
              <w:tc>
                <w:tcPr>
                  <w:tcW w:w="468" w:type="pct"/>
                  <w:tcBorders>
                    <w:tl2br w:val="nil"/>
                    <w:tr2bl w:val="nil"/>
                  </w:tcBorders>
                  <w:noWrap w:val="0"/>
                  <w:vAlign w:val="center"/>
                </w:tcPr>
                <w:p w14:paraId="73E63059">
                  <w:pPr>
                    <w:pStyle w:val="68"/>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45" w:type="pct"/>
                  <w:tcBorders>
                    <w:tl2br w:val="nil"/>
                    <w:tr2bl w:val="nil"/>
                  </w:tcBorders>
                  <w:noWrap w:val="0"/>
                  <w:vAlign w:val="center"/>
                </w:tcPr>
                <w:p w14:paraId="0817E21C">
                  <w:pPr>
                    <w:pStyle w:val="68"/>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204.78</w:t>
                  </w:r>
                </w:p>
              </w:tc>
              <w:tc>
                <w:tcPr>
                  <w:tcW w:w="268" w:type="pct"/>
                  <w:vMerge w:val="restart"/>
                  <w:tcBorders>
                    <w:tl2br w:val="nil"/>
                    <w:tr2bl w:val="nil"/>
                  </w:tcBorders>
                  <w:noWrap w:val="0"/>
                  <w:vAlign w:val="center"/>
                </w:tcPr>
                <w:p w14:paraId="2C719104">
                  <w:pPr>
                    <w:pStyle w:val="68"/>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化粪池</w:t>
                  </w:r>
                </w:p>
              </w:tc>
              <w:tc>
                <w:tcPr>
                  <w:tcW w:w="359" w:type="pct"/>
                  <w:tcBorders>
                    <w:tl2br w:val="nil"/>
                    <w:tr2bl w:val="nil"/>
                  </w:tcBorders>
                  <w:noWrap w:val="0"/>
                  <w:vAlign w:val="center"/>
                </w:tcPr>
                <w:p w14:paraId="727670CB">
                  <w:pPr>
                    <w:pStyle w:val="68"/>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23" w:type="pct"/>
                  <w:tcBorders>
                    <w:tl2br w:val="nil"/>
                    <w:tr2bl w:val="nil"/>
                  </w:tcBorders>
                  <w:noWrap w:val="0"/>
                  <w:vAlign w:val="center"/>
                </w:tcPr>
                <w:p w14:paraId="62563913">
                  <w:pPr>
                    <w:pStyle w:val="68"/>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29" w:type="pct"/>
                  <w:tcBorders>
                    <w:tl2br w:val="nil"/>
                    <w:tr2bl w:val="nil"/>
                  </w:tcBorders>
                  <w:noWrap w:val="0"/>
                  <w:vAlign w:val="center"/>
                </w:tcPr>
                <w:p w14:paraId="12CC9D9A">
                  <w:pPr>
                    <w:pStyle w:val="68"/>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204.78</w:t>
                  </w:r>
                </w:p>
              </w:tc>
              <w:tc>
                <w:tcPr>
                  <w:tcW w:w="647" w:type="pct"/>
                  <w:tcBorders>
                    <w:tl2br w:val="nil"/>
                    <w:tr2bl w:val="nil"/>
                  </w:tcBorders>
                  <w:shd w:val="clear" w:color="auto" w:fill="auto"/>
                  <w:noWrap w:val="0"/>
                  <w:vAlign w:val="center"/>
                </w:tcPr>
                <w:p w14:paraId="7F7181BA">
                  <w:pPr>
                    <w:pStyle w:val="68"/>
                    <w:rPr>
                      <w:rFonts w:hint="eastAsia" w:ascii="Times New Roman" w:hAnsi="Times New Roman" w:eastAsia="宋体" w:cs="Times New Roman"/>
                      <w:color w:val="auto"/>
                      <w:sz w:val="21"/>
                      <w:szCs w:val="21"/>
                      <w:lang w:val="en-US" w:eastAsia="zh-CN" w:bidi="ar-SA"/>
                    </w:rPr>
                  </w:pPr>
                  <w:r>
                    <w:rPr>
                      <w:rFonts w:hint="eastAsia"/>
                      <w:color w:val="auto"/>
                      <w:szCs w:val="21"/>
                    </w:rPr>
                    <w:t>/</w:t>
                  </w:r>
                </w:p>
              </w:tc>
              <w:tc>
                <w:tcPr>
                  <w:tcW w:w="862" w:type="pct"/>
                  <w:tcBorders>
                    <w:tl2br w:val="nil"/>
                    <w:tr2bl w:val="nil"/>
                  </w:tcBorders>
                  <w:shd w:val="clear" w:color="auto" w:fill="auto"/>
                  <w:noWrap w:val="0"/>
                  <w:vAlign w:val="center"/>
                </w:tcPr>
                <w:p w14:paraId="7DEEB67D">
                  <w:pPr>
                    <w:pStyle w:val="68"/>
                    <w:rPr>
                      <w:rFonts w:hint="eastAsia" w:ascii="Times New Roman" w:hAnsi="Times New Roman" w:eastAsia="宋体" w:cs="Times New Roman"/>
                      <w:color w:val="auto"/>
                      <w:sz w:val="21"/>
                      <w:szCs w:val="21"/>
                      <w:lang w:val="en-US" w:eastAsia="zh-CN" w:bidi="ar-SA"/>
                    </w:rPr>
                  </w:pPr>
                  <w:r>
                    <w:rPr>
                      <w:rFonts w:hint="eastAsia"/>
                      <w:color w:val="auto"/>
                      <w:szCs w:val="21"/>
                    </w:rPr>
                    <w:t>/</w:t>
                  </w:r>
                </w:p>
              </w:tc>
            </w:tr>
            <w:tr w14:paraId="17468C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42" w:type="pct"/>
                  <w:vMerge w:val="continue"/>
                  <w:tcBorders>
                    <w:tl2br w:val="nil"/>
                    <w:tr2bl w:val="nil"/>
                  </w:tcBorders>
                  <w:noWrap w:val="0"/>
                  <w:vAlign w:val="center"/>
                </w:tcPr>
                <w:p w14:paraId="0CB79D02">
                  <w:pPr>
                    <w:pStyle w:val="68"/>
                    <w:jc w:val="center"/>
                    <w:rPr>
                      <w:rFonts w:hint="eastAsia" w:ascii="Times New Roman" w:hAnsi="Times New Roman" w:eastAsia="宋体" w:cs="Times New Roman"/>
                      <w:color w:val="auto"/>
                      <w:sz w:val="21"/>
                      <w:szCs w:val="21"/>
                      <w:lang w:val="en-US" w:eastAsia="zh-CN"/>
                    </w:rPr>
                  </w:pPr>
                </w:p>
              </w:tc>
              <w:tc>
                <w:tcPr>
                  <w:tcW w:w="453" w:type="pct"/>
                  <w:tcBorders>
                    <w:tl2br w:val="nil"/>
                    <w:tr2bl w:val="nil"/>
                  </w:tcBorders>
                  <w:noWrap w:val="0"/>
                  <w:vAlign w:val="center"/>
                </w:tcPr>
                <w:p w14:paraId="49236B7E">
                  <w:pPr>
                    <w:pStyle w:val="68"/>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pH</w:t>
                  </w:r>
                  <w:r>
                    <w:rPr>
                      <w:rFonts w:hint="eastAsia"/>
                      <w:color w:val="auto"/>
                      <w:szCs w:val="21"/>
                      <w:lang w:val="en-US" w:eastAsia="zh-CN"/>
                    </w:rPr>
                    <w:t>值</w:t>
                  </w:r>
                </w:p>
              </w:tc>
              <w:tc>
                <w:tcPr>
                  <w:tcW w:w="468" w:type="pct"/>
                  <w:tcBorders>
                    <w:tl2br w:val="nil"/>
                    <w:tr2bl w:val="nil"/>
                  </w:tcBorders>
                  <w:noWrap w:val="0"/>
                  <w:vAlign w:val="center"/>
                </w:tcPr>
                <w:p w14:paraId="4065AA4C">
                  <w:pPr>
                    <w:pStyle w:val="68"/>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6~9</w:t>
                  </w:r>
                </w:p>
              </w:tc>
              <w:tc>
                <w:tcPr>
                  <w:tcW w:w="445" w:type="pct"/>
                  <w:tcBorders>
                    <w:tl2br w:val="nil"/>
                    <w:tr2bl w:val="nil"/>
                  </w:tcBorders>
                  <w:noWrap w:val="0"/>
                  <w:vAlign w:val="center"/>
                </w:tcPr>
                <w:p w14:paraId="31A7BAA5">
                  <w:pPr>
                    <w:pStyle w:val="68"/>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268" w:type="pct"/>
                  <w:vMerge w:val="continue"/>
                  <w:tcBorders>
                    <w:tl2br w:val="nil"/>
                    <w:tr2bl w:val="nil"/>
                  </w:tcBorders>
                  <w:noWrap w:val="0"/>
                  <w:vAlign w:val="center"/>
                </w:tcPr>
                <w:p w14:paraId="4B4DC8DD">
                  <w:pPr>
                    <w:pStyle w:val="68"/>
                    <w:jc w:val="center"/>
                    <w:rPr>
                      <w:rFonts w:hint="eastAsia" w:ascii="Times New Roman" w:hAnsi="Times New Roman" w:eastAsia="宋体" w:cs="Times New Roman"/>
                      <w:color w:val="auto"/>
                      <w:sz w:val="21"/>
                      <w:szCs w:val="21"/>
                      <w:lang w:val="en-US" w:eastAsia="zh-CN"/>
                    </w:rPr>
                  </w:pPr>
                </w:p>
              </w:tc>
              <w:tc>
                <w:tcPr>
                  <w:tcW w:w="359" w:type="pct"/>
                  <w:tcBorders>
                    <w:tl2br w:val="nil"/>
                    <w:tr2bl w:val="nil"/>
                  </w:tcBorders>
                  <w:noWrap w:val="0"/>
                  <w:vAlign w:val="center"/>
                </w:tcPr>
                <w:p w14:paraId="1276A043">
                  <w:pPr>
                    <w:pStyle w:val="68"/>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23" w:type="pct"/>
                  <w:tcBorders>
                    <w:tl2br w:val="nil"/>
                    <w:tr2bl w:val="nil"/>
                  </w:tcBorders>
                  <w:shd w:val="clear" w:color="auto" w:fill="auto"/>
                  <w:noWrap w:val="0"/>
                  <w:vAlign w:val="center"/>
                </w:tcPr>
                <w:p w14:paraId="51B97C52">
                  <w:pPr>
                    <w:pStyle w:val="68"/>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6~9</w:t>
                  </w:r>
                </w:p>
              </w:tc>
              <w:tc>
                <w:tcPr>
                  <w:tcW w:w="629" w:type="pct"/>
                  <w:tcBorders>
                    <w:tl2br w:val="nil"/>
                    <w:tr2bl w:val="nil"/>
                  </w:tcBorders>
                  <w:shd w:val="clear" w:color="auto" w:fill="auto"/>
                  <w:noWrap w:val="0"/>
                  <w:vAlign w:val="center"/>
                </w:tcPr>
                <w:p w14:paraId="0C8F8EFA">
                  <w:pPr>
                    <w:pStyle w:val="68"/>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47" w:type="pct"/>
                  <w:tcBorders>
                    <w:tl2br w:val="nil"/>
                    <w:tr2bl w:val="nil"/>
                  </w:tcBorders>
                  <w:shd w:val="clear" w:color="auto" w:fill="auto"/>
                  <w:noWrap w:val="0"/>
                  <w:vAlign w:val="center"/>
                </w:tcPr>
                <w:p w14:paraId="056EBB2E">
                  <w:pPr>
                    <w:pStyle w:val="68"/>
                    <w:rPr>
                      <w:rFonts w:hint="eastAsia" w:ascii="Times New Roman" w:hAnsi="Times New Roman" w:eastAsia="宋体" w:cs="Times New Roman"/>
                      <w:color w:val="auto"/>
                      <w:sz w:val="21"/>
                      <w:szCs w:val="21"/>
                      <w:lang w:val="en-US" w:eastAsia="zh-CN" w:bidi="ar-SA"/>
                    </w:rPr>
                  </w:pPr>
                  <w:r>
                    <w:rPr>
                      <w:rFonts w:hint="eastAsia"/>
                      <w:color w:val="auto"/>
                      <w:szCs w:val="21"/>
                    </w:rPr>
                    <w:t>/</w:t>
                  </w:r>
                </w:p>
              </w:tc>
              <w:tc>
                <w:tcPr>
                  <w:tcW w:w="862" w:type="pct"/>
                  <w:tcBorders>
                    <w:tl2br w:val="nil"/>
                    <w:tr2bl w:val="nil"/>
                  </w:tcBorders>
                  <w:shd w:val="clear" w:color="auto" w:fill="auto"/>
                  <w:noWrap w:val="0"/>
                  <w:vAlign w:val="center"/>
                </w:tcPr>
                <w:p w14:paraId="6165F07D">
                  <w:pPr>
                    <w:pStyle w:val="68"/>
                    <w:rPr>
                      <w:rFonts w:hint="eastAsia" w:ascii="Times New Roman" w:hAnsi="Times New Roman" w:eastAsia="宋体" w:cs="Times New Roman"/>
                      <w:color w:val="auto"/>
                      <w:sz w:val="21"/>
                      <w:szCs w:val="21"/>
                      <w:lang w:val="en-US" w:eastAsia="zh-CN" w:bidi="ar-SA"/>
                    </w:rPr>
                  </w:pPr>
                  <w:r>
                    <w:rPr>
                      <w:rFonts w:hint="eastAsia"/>
                      <w:color w:val="auto"/>
                      <w:szCs w:val="21"/>
                    </w:rPr>
                    <w:t>/</w:t>
                  </w:r>
                </w:p>
              </w:tc>
            </w:tr>
            <w:tr w14:paraId="052F7B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2" w:type="pct"/>
                  <w:vMerge w:val="continue"/>
                  <w:tcBorders>
                    <w:tl2br w:val="nil"/>
                    <w:tr2bl w:val="nil"/>
                  </w:tcBorders>
                  <w:noWrap w:val="0"/>
                  <w:vAlign w:val="center"/>
                </w:tcPr>
                <w:p w14:paraId="4C22FB92">
                  <w:pPr>
                    <w:pStyle w:val="68"/>
                    <w:jc w:val="center"/>
                    <w:rPr>
                      <w:rFonts w:hint="default" w:ascii="Times New Roman" w:hAnsi="Times New Roman" w:eastAsia="宋体" w:cs="Times New Roman"/>
                      <w:color w:val="auto"/>
                      <w:sz w:val="21"/>
                      <w:szCs w:val="21"/>
                    </w:rPr>
                  </w:pPr>
                </w:p>
              </w:tc>
              <w:tc>
                <w:tcPr>
                  <w:tcW w:w="453" w:type="pct"/>
                  <w:tcBorders>
                    <w:tl2br w:val="nil"/>
                    <w:tr2bl w:val="nil"/>
                  </w:tcBorders>
                  <w:noWrap w:val="0"/>
                  <w:vAlign w:val="center"/>
                </w:tcPr>
                <w:p w14:paraId="10C0DDED">
                  <w:pPr>
                    <w:pStyle w:val="6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468" w:type="pct"/>
                  <w:tcBorders>
                    <w:tl2br w:val="nil"/>
                    <w:tr2bl w:val="nil"/>
                  </w:tcBorders>
                  <w:noWrap w:val="0"/>
                  <w:vAlign w:val="center"/>
                </w:tcPr>
                <w:p w14:paraId="50C6F301">
                  <w:pPr>
                    <w:pStyle w:val="68"/>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410</w:t>
                  </w:r>
                </w:p>
              </w:tc>
              <w:tc>
                <w:tcPr>
                  <w:tcW w:w="733" w:type="dxa"/>
                  <w:tcBorders>
                    <w:tl2br w:val="nil"/>
                    <w:tr2bl w:val="nil"/>
                  </w:tcBorders>
                  <w:noWrap w:val="0"/>
                  <w:vAlign w:val="center"/>
                </w:tcPr>
                <w:p w14:paraId="130E6C8D">
                  <w:pPr>
                    <w:pStyle w:val="68"/>
                    <w:jc w:val="center"/>
                    <w:rPr>
                      <w:rFonts w:hint="default" w:cs="Times New Roman"/>
                      <w:color w:val="auto"/>
                      <w:sz w:val="21"/>
                      <w:szCs w:val="21"/>
                      <w:lang w:val="en-US" w:eastAsia="zh-CN"/>
                    </w:rPr>
                  </w:pPr>
                  <w:r>
                    <w:rPr>
                      <w:rFonts w:hint="eastAsia" w:cs="Times New Roman"/>
                      <w:color w:val="auto"/>
                      <w:sz w:val="21"/>
                      <w:szCs w:val="21"/>
                      <w:lang w:val="en-US" w:eastAsia="zh-CN"/>
                    </w:rPr>
                    <w:t>0.084</w:t>
                  </w:r>
                </w:p>
              </w:tc>
              <w:tc>
                <w:tcPr>
                  <w:tcW w:w="268" w:type="pct"/>
                  <w:vMerge w:val="continue"/>
                  <w:tcBorders>
                    <w:tl2br w:val="nil"/>
                    <w:tr2bl w:val="nil"/>
                  </w:tcBorders>
                  <w:noWrap w:val="0"/>
                  <w:vAlign w:val="center"/>
                </w:tcPr>
                <w:p w14:paraId="793FC63F">
                  <w:pPr>
                    <w:pStyle w:val="68"/>
                    <w:jc w:val="center"/>
                    <w:rPr>
                      <w:rFonts w:hint="default" w:ascii="Times New Roman" w:hAnsi="Times New Roman" w:eastAsia="宋体" w:cs="Times New Roman"/>
                      <w:color w:val="auto"/>
                      <w:sz w:val="21"/>
                      <w:szCs w:val="21"/>
                      <w:lang w:val="en-US" w:eastAsia="zh-CN"/>
                    </w:rPr>
                  </w:pPr>
                </w:p>
              </w:tc>
              <w:tc>
                <w:tcPr>
                  <w:tcW w:w="359" w:type="pct"/>
                  <w:tcBorders>
                    <w:tl2br w:val="nil"/>
                    <w:tr2bl w:val="nil"/>
                  </w:tcBorders>
                  <w:noWrap w:val="0"/>
                  <w:vAlign w:val="center"/>
                </w:tcPr>
                <w:p w14:paraId="371F1AEB">
                  <w:pPr>
                    <w:pStyle w:val="68"/>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623" w:type="pct"/>
                  <w:tcBorders>
                    <w:tl2br w:val="nil"/>
                    <w:tr2bl w:val="nil"/>
                  </w:tcBorders>
                  <w:noWrap w:val="0"/>
                  <w:vAlign w:val="center"/>
                </w:tcPr>
                <w:p w14:paraId="0419CD19">
                  <w:pPr>
                    <w:pStyle w:val="68"/>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348.5</w:t>
                  </w:r>
                </w:p>
              </w:tc>
              <w:tc>
                <w:tcPr>
                  <w:tcW w:w="1035" w:type="dxa"/>
                  <w:tcBorders>
                    <w:tl2br w:val="nil"/>
                    <w:tr2bl w:val="nil"/>
                  </w:tcBorders>
                  <w:noWrap w:val="0"/>
                  <w:vAlign w:val="center"/>
                </w:tcPr>
                <w:p w14:paraId="156A9217">
                  <w:pPr>
                    <w:pStyle w:val="68"/>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0.071</w:t>
                  </w:r>
                </w:p>
              </w:tc>
              <w:tc>
                <w:tcPr>
                  <w:tcW w:w="647" w:type="pct"/>
                  <w:tcBorders>
                    <w:tl2br w:val="nil"/>
                    <w:tr2bl w:val="nil"/>
                  </w:tcBorders>
                  <w:shd w:val="clear" w:color="auto" w:fill="auto"/>
                  <w:noWrap w:val="0"/>
                  <w:vAlign w:val="center"/>
                </w:tcPr>
                <w:p w14:paraId="7CC99E91">
                  <w:pPr>
                    <w:pStyle w:val="68"/>
                    <w:rPr>
                      <w:rFonts w:hint="eastAsia" w:ascii="Times New Roman" w:hAnsi="Times New Roman" w:eastAsia="宋体" w:cs="Times New Roman"/>
                      <w:color w:val="auto"/>
                      <w:sz w:val="21"/>
                      <w:szCs w:val="21"/>
                      <w:lang w:val="en-US" w:eastAsia="zh-CN" w:bidi="ar-SA"/>
                    </w:rPr>
                  </w:pPr>
                  <w:r>
                    <w:rPr>
                      <w:rFonts w:hint="eastAsia"/>
                      <w:color w:val="auto"/>
                      <w:szCs w:val="21"/>
                    </w:rPr>
                    <w:t>500</w:t>
                  </w:r>
                </w:p>
              </w:tc>
              <w:tc>
                <w:tcPr>
                  <w:tcW w:w="862" w:type="pct"/>
                  <w:tcBorders>
                    <w:tl2br w:val="nil"/>
                    <w:tr2bl w:val="nil"/>
                  </w:tcBorders>
                  <w:shd w:val="clear" w:color="auto" w:fill="auto"/>
                  <w:noWrap w:val="0"/>
                  <w:vAlign w:val="center"/>
                </w:tcPr>
                <w:p w14:paraId="53AFAA27">
                  <w:pPr>
                    <w:pStyle w:val="68"/>
                    <w:rPr>
                      <w:rFonts w:hint="eastAsia" w:ascii="Times New Roman" w:hAnsi="Times New Roman" w:eastAsia="宋体" w:cs="Times New Roman"/>
                      <w:color w:val="auto"/>
                      <w:sz w:val="21"/>
                      <w:szCs w:val="21"/>
                      <w:lang w:val="en-US" w:eastAsia="zh-CN" w:bidi="ar-SA"/>
                    </w:rPr>
                  </w:pPr>
                  <w:r>
                    <w:rPr>
                      <w:rFonts w:hint="eastAsia"/>
                      <w:color w:val="auto"/>
                      <w:szCs w:val="21"/>
                    </w:rPr>
                    <w:t>/</w:t>
                  </w:r>
                </w:p>
              </w:tc>
            </w:tr>
            <w:tr w14:paraId="7E4029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2" w:type="pct"/>
                  <w:vMerge w:val="continue"/>
                  <w:tcBorders>
                    <w:tl2br w:val="nil"/>
                    <w:tr2bl w:val="nil"/>
                  </w:tcBorders>
                  <w:noWrap w:val="0"/>
                  <w:vAlign w:val="center"/>
                </w:tcPr>
                <w:p w14:paraId="54FD209C">
                  <w:pPr>
                    <w:pStyle w:val="68"/>
                    <w:jc w:val="center"/>
                    <w:rPr>
                      <w:rFonts w:hint="default" w:ascii="Times New Roman" w:hAnsi="Times New Roman" w:eastAsia="宋体" w:cs="Times New Roman"/>
                      <w:color w:val="auto"/>
                      <w:sz w:val="21"/>
                      <w:szCs w:val="21"/>
                    </w:rPr>
                  </w:pPr>
                </w:p>
              </w:tc>
              <w:tc>
                <w:tcPr>
                  <w:tcW w:w="453" w:type="pct"/>
                  <w:tcBorders>
                    <w:tl2br w:val="nil"/>
                    <w:tr2bl w:val="nil"/>
                  </w:tcBorders>
                  <w:noWrap w:val="0"/>
                  <w:vAlign w:val="center"/>
                </w:tcPr>
                <w:p w14:paraId="6909D7AE">
                  <w:pPr>
                    <w:pStyle w:val="6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468" w:type="pct"/>
                  <w:tcBorders>
                    <w:tl2br w:val="nil"/>
                    <w:tr2bl w:val="nil"/>
                  </w:tcBorders>
                  <w:noWrap w:val="0"/>
                  <w:vAlign w:val="center"/>
                </w:tcPr>
                <w:p w14:paraId="18B5C379">
                  <w:pPr>
                    <w:pStyle w:val="68"/>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96</w:t>
                  </w:r>
                </w:p>
              </w:tc>
              <w:tc>
                <w:tcPr>
                  <w:tcW w:w="733" w:type="dxa"/>
                  <w:tcBorders>
                    <w:tl2br w:val="nil"/>
                    <w:tr2bl w:val="nil"/>
                  </w:tcBorders>
                  <w:noWrap w:val="0"/>
                  <w:vAlign w:val="center"/>
                </w:tcPr>
                <w:p w14:paraId="353F570C">
                  <w:pPr>
                    <w:pStyle w:val="68"/>
                    <w:jc w:val="center"/>
                    <w:rPr>
                      <w:rFonts w:hint="default" w:cs="Times New Roman"/>
                      <w:color w:val="auto"/>
                      <w:sz w:val="21"/>
                      <w:szCs w:val="21"/>
                      <w:lang w:val="en-US" w:eastAsia="zh-CN"/>
                    </w:rPr>
                  </w:pPr>
                  <w:r>
                    <w:rPr>
                      <w:rFonts w:hint="eastAsia" w:cs="Times New Roman"/>
                      <w:color w:val="auto"/>
                      <w:sz w:val="21"/>
                      <w:szCs w:val="21"/>
                      <w:lang w:val="en-US" w:eastAsia="zh-CN"/>
                    </w:rPr>
                    <w:t>0.020</w:t>
                  </w:r>
                </w:p>
              </w:tc>
              <w:tc>
                <w:tcPr>
                  <w:tcW w:w="268" w:type="pct"/>
                  <w:vMerge w:val="continue"/>
                  <w:tcBorders>
                    <w:tl2br w:val="nil"/>
                    <w:tr2bl w:val="nil"/>
                  </w:tcBorders>
                  <w:noWrap w:val="0"/>
                  <w:vAlign w:val="center"/>
                </w:tcPr>
                <w:p w14:paraId="2EC20460">
                  <w:pPr>
                    <w:pStyle w:val="68"/>
                    <w:jc w:val="center"/>
                    <w:rPr>
                      <w:rFonts w:hint="default" w:ascii="Times New Roman" w:hAnsi="Times New Roman" w:eastAsia="宋体" w:cs="Times New Roman"/>
                      <w:color w:val="auto"/>
                      <w:sz w:val="21"/>
                      <w:szCs w:val="21"/>
                      <w:lang w:val="en-US" w:eastAsia="zh-CN"/>
                    </w:rPr>
                  </w:pPr>
                </w:p>
              </w:tc>
              <w:tc>
                <w:tcPr>
                  <w:tcW w:w="359" w:type="pct"/>
                  <w:tcBorders>
                    <w:tl2br w:val="nil"/>
                    <w:tr2bl w:val="nil"/>
                  </w:tcBorders>
                  <w:noWrap w:val="0"/>
                  <w:vAlign w:val="center"/>
                </w:tcPr>
                <w:p w14:paraId="300590A1">
                  <w:pPr>
                    <w:pStyle w:val="68"/>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623" w:type="pct"/>
                  <w:tcBorders>
                    <w:tl2br w:val="nil"/>
                    <w:tr2bl w:val="nil"/>
                  </w:tcBorders>
                  <w:noWrap w:val="0"/>
                  <w:vAlign w:val="center"/>
                </w:tcPr>
                <w:p w14:paraId="06F3C6F4">
                  <w:pPr>
                    <w:pStyle w:val="68"/>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76.9</w:t>
                  </w:r>
                </w:p>
              </w:tc>
              <w:tc>
                <w:tcPr>
                  <w:tcW w:w="1035" w:type="dxa"/>
                  <w:tcBorders>
                    <w:tl2br w:val="nil"/>
                    <w:tr2bl w:val="nil"/>
                  </w:tcBorders>
                  <w:noWrap w:val="0"/>
                  <w:vAlign w:val="center"/>
                </w:tcPr>
                <w:p w14:paraId="700995F1">
                  <w:pPr>
                    <w:pStyle w:val="68"/>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0.016</w:t>
                  </w:r>
                </w:p>
              </w:tc>
              <w:tc>
                <w:tcPr>
                  <w:tcW w:w="647" w:type="pct"/>
                  <w:tcBorders>
                    <w:tl2br w:val="nil"/>
                    <w:tr2bl w:val="nil"/>
                  </w:tcBorders>
                  <w:shd w:val="clear" w:color="auto" w:fill="auto"/>
                  <w:noWrap w:val="0"/>
                  <w:vAlign w:val="center"/>
                </w:tcPr>
                <w:p w14:paraId="58486F59">
                  <w:pPr>
                    <w:pStyle w:val="68"/>
                    <w:rPr>
                      <w:rFonts w:hint="eastAsia" w:ascii="Times New Roman" w:hAnsi="Times New Roman" w:eastAsia="宋体" w:cs="Times New Roman"/>
                      <w:color w:val="auto"/>
                      <w:sz w:val="21"/>
                      <w:szCs w:val="21"/>
                      <w:lang w:val="en-US" w:eastAsia="zh-CN" w:bidi="ar-SA"/>
                    </w:rPr>
                  </w:pPr>
                  <w:r>
                    <w:rPr>
                      <w:rFonts w:hint="eastAsia"/>
                      <w:color w:val="auto"/>
                      <w:szCs w:val="21"/>
                    </w:rPr>
                    <w:t>300</w:t>
                  </w:r>
                </w:p>
              </w:tc>
              <w:tc>
                <w:tcPr>
                  <w:tcW w:w="862" w:type="pct"/>
                  <w:tcBorders>
                    <w:tl2br w:val="nil"/>
                    <w:tr2bl w:val="nil"/>
                  </w:tcBorders>
                  <w:shd w:val="clear" w:color="auto" w:fill="auto"/>
                  <w:noWrap w:val="0"/>
                  <w:vAlign w:val="center"/>
                </w:tcPr>
                <w:p w14:paraId="69319B63">
                  <w:pPr>
                    <w:pStyle w:val="68"/>
                    <w:rPr>
                      <w:rFonts w:hint="eastAsia" w:ascii="Times New Roman" w:hAnsi="Times New Roman" w:eastAsia="宋体" w:cs="Times New Roman"/>
                      <w:color w:val="auto"/>
                      <w:sz w:val="21"/>
                      <w:szCs w:val="21"/>
                      <w:lang w:val="en-US" w:eastAsia="zh-CN" w:bidi="ar-SA"/>
                    </w:rPr>
                  </w:pPr>
                  <w:r>
                    <w:rPr>
                      <w:rFonts w:hint="eastAsia"/>
                      <w:color w:val="auto"/>
                      <w:szCs w:val="21"/>
                    </w:rPr>
                    <w:t>/</w:t>
                  </w:r>
                </w:p>
              </w:tc>
            </w:tr>
            <w:tr w14:paraId="5878FB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2" w:type="pct"/>
                  <w:vMerge w:val="continue"/>
                  <w:tcBorders>
                    <w:tl2br w:val="nil"/>
                    <w:tr2bl w:val="nil"/>
                  </w:tcBorders>
                  <w:noWrap w:val="0"/>
                  <w:vAlign w:val="center"/>
                </w:tcPr>
                <w:p w14:paraId="1E3DA19B">
                  <w:pPr>
                    <w:pStyle w:val="68"/>
                    <w:jc w:val="center"/>
                    <w:rPr>
                      <w:rFonts w:hint="default" w:ascii="Times New Roman" w:hAnsi="Times New Roman" w:eastAsia="宋体" w:cs="Times New Roman"/>
                      <w:color w:val="auto"/>
                      <w:sz w:val="21"/>
                      <w:szCs w:val="21"/>
                    </w:rPr>
                  </w:pPr>
                </w:p>
              </w:tc>
              <w:tc>
                <w:tcPr>
                  <w:tcW w:w="453" w:type="pct"/>
                  <w:tcBorders>
                    <w:tl2br w:val="nil"/>
                    <w:tr2bl w:val="nil"/>
                  </w:tcBorders>
                  <w:noWrap w:val="0"/>
                  <w:vAlign w:val="center"/>
                </w:tcPr>
                <w:p w14:paraId="7FE2BAD6">
                  <w:pPr>
                    <w:pStyle w:val="6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468" w:type="pct"/>
                  <w:tcBorders>
                    <w:tl2br w:val="nil"/>
                    <w:tr2bl w:val="nil"/>
                  </w:tcBorders>
                  <w:noWrap w:val="0"/>
                  <w:vAlign w:val="center"/>
                </w:tcPr>
                <w:p w14:paraId="4DDEE63B">
                  <w:pPr>
                    <w:pStyle w:val="68"/>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117</w:t>
                  </w:r>
                </w:p>
              </w:tc>
              <w:tc>
                <w:tcPr>
                  <w:tcW w:w="733" w:type="dxa"/>
                  <w:tcBorders>
                    <w:tl2br w:val="nil"/>
                    <w:tr2bl w:val="nil"/>
                  </w:tcBorders>
                  <w:noWrap w:val="0"/>
                  <w:vAlign w:val="center"/>
                </w:tcPr>
                <w:p w14:paraId="40BB5F05">
                  <w:pPr>
                    <w:pStyle w:val="68"/>
                    <w:jc w:val="center"/>
                    <w:rPr>
                      <w:rFonts w:hint="default" w:cs="Times New Roman"/>
                      <w:color w:val="auto"/>
                      <w:sz w:val="21"/>
                      <w:szCs w:val="21"/>
                      <w:lang w:val="en-US" w:eastAsia="zh-CN"/>
                    </w:rPr>
                  </w:pPr>
                  <w:r>
                    <w:rPr>
                      <w:rFonts w:hint="eastAsia" w:cs="Times New Roman"/>
                      <w:color w:val="auto"/>
                      <w:sz w:val="21"/>
                      <w:szCs w:val="21"/>
                      <w:lang w:val="en-US" w:eastAsia="zh-CN"/>
                    </w:rPr>
                    <w:t>0.024</w:t>
                  </w:r>
                </w:p>
              </w:tc>
              <w:tc>
                <w:tcPr>
                  <w:tcW w:w="268" w:type="pct"/>
                  <w:vMerge w:val="continue"/>
                  <w:tcBorders>
                    <w:tl2br w:val="nil"/>
                    <w:tr2bl w:val="nil"/>
                  </w:tcBorders>
                  <w:noWrap w:val="0"/>
                  <w:vAlign w:val="center"/>
                </w:tcPr>
                <w:p w14:paraId="6EC74D8A">
                  <w:pPr>
                    <w:pStyle w:val="68"/>
                    <w:jc w:val="center"/>
                    <w:rPr>
                      <w:rFonts w:hint="default" w:ascii="Times New Roman" w:hAnsi="Times New Roman" w:eastAsia="宋体" w:cs="Times New Roman"/>
                      <w:color w:val="auto"/>
                      <w:sz w:val="21"/>
                      <w:szCs w:val="21"/>
                      <w:lang w:val="en-US" w:eastAsia="zh-CN"/>
                    </w:rPr>
                  </w:pPr>
                </w:p>
              </w:tc>
              <w:tc>
                <w:tcPr>
                  <w:tcW w:w="359" w:type="pct"/>
                  <w:tcBorders>
                    <w:tl2br w:val="nil"/>
                    <w:tr2bl w:val="nil"/>
                  </w:tcBorders>
                  <w:noWrap w:val="0"/>
                  <w:vAlign w:val="center"/>
                </w:tcPr>
                <w:p w14:paraId="3AC4FA62">
                  <w:pPr>
                    <w:pStyle w:val="68"/>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w:t>
                  </w:r>
                </w:p>
              </w:tc>
              <w:tc>
                <w:tcPr>
                  <w:tcW w:w="623" w:type="pct"/>
                  <w:tcBorders>
                    <w:tl2br w:val="nil"/>
                    <w:tr2bl w:val="nil"/>
                  </w:tcBorders>
                  <w:noWrap w:val="0"/>
                  <w:vAlign w:val="center"/>
                </w:tcPr>
                <w:p w14:paraId="7605FE48">
                  <w:pPr>
                    <w:pStyle w:val="68"/>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70.4</w:t>
                  </w:r>
                </w:p>
              </w:tc>
              <w:tc>
                <w:tcPr>
                  <w:tcW w:w="1035" w:type="dxa"/>
                  <w:tcBorders>
                    <w:tl2br w:val="nil"/>
                    <w:tr2bl w:val="nil"/>
                  </w:tcBorders>
                  <w:noWrap w:val="0"/>
                  <w:vAlign w:val="center"/>
                </w:tcPr>
                <w:p w14:paraId="4253DDC8">
                  <w:pPr>
                    <w:pStyle w:val="68"/>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0.014</w:t>
                  </w:r>
                </w:p>
              </w:tc>
              <w:tc>
                <w:tcPr>
                  <w:tcW w:w="647" w:type="pct"/>
                  <w:tcBorders>
                    <w:tl2br w:val="nil"/>
                    <w:tr2bl w:val="nil"/>
                  </w:tcBorders>
                  <w:shd w:val="clear" w:color="auto" w:fill="auto"/>
                  <w:noWrap w:val="0"/>
                  <w:vAlign w:val="center"/>
                </w:tcPr>
                <w:p w14:paraId="38215C02">
                  <w:pPr>
                    <w:pStyle w:val="68"/>
                    <w:rPr>
                      <w:rFonts w:hint="eastAsia" w:ascii="Times New Roman" w:hAnsi="Times New Roman" w:eastAsia="宋体" w:cs="Times New Roman"/>
                      <w:color w:val="auto"/>
                      <w:sz w:val="21"/>
                      <w:szCs w:val="21"/>
                      <w:lang w:val="en-US" w:eastAsia="zh-CN" w:bidi="ar-SA"/>
                    </w:rPr>
                  </w:pPr>
                  <w:r>
                    <w:rPr>
                      <w:rFonts w:hint="eastAsia"/>
                      <w:color w:val="auto"/>
                      <w:szCs w:val="21"/>
                    </w:rPr>
                    <w:t>400</w:t>
                  </w:r>
                </w:p>
              </w:tc>
              <w:tc>
                <w:tcPr>
                  <w:tcW w:w="862" w:type="pct"/>
                  <w:tcBorders>
                    <w:tl2br w:val="nil"/>
                    <w:tr2bl w:val="nil"/>
                  </w:tcBorders>
                  <w:shd w:val="clear" w:color="auto" w:fill="auto"/>
                  <w:noWrap w:val="0"/>
                  <w:vAlign w:val="center"/>
                </w:tcPr>
                <w:p w14:paraId="52C3E570">
                  <w:pPr>
                    <w:pStyle w:val="68"/>
                    <w:rPr>
                      <w:rFonts w:hint="eastAsia" w:ascii="Times New Roman" w:hAnsi="Times New Roman" w:eastAsia="宋体" w:cs="Times New Roman"/>
                      <w:color w:val="auto"/>
                      <w:sz w:val="21"/>
                      <w:szCs w:val="21"/>
                      <w:lang w:val="en-US" w:eastAsia="zh-CN" w:bidi="ar-SA"/>
                    </w:rPr>
                  </w:pPr>
                  <w:r>
                    <w:rPr>
                      <w:rFonts w:hint="eastAsia"/>
                      <w:color w:val="auto"/>
                      <w:szCs w:val="21"/>
                    </w:rPr>
                    <w:t>/</w:t>
                  </w:r>
                </w:p>
              </w:tc>
            </w:tr>
            <w:tr w14:paraId="500973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2" w:type="pct"/>
                  <w:vMerge w:val="continue"/>
                  <w:tcBorders>
                    <w:tl2br w:val="nil"/>
                    <w:tr2bl w:val="nil"/>
                  </w:tcBorders>
                  <w:noWrap w:val="0"/>
                  <w:vAlign w:val="center"/>
                </w:tcPr>
                <w:p w14:paraId="1A6D9247">
                  <w:pPr>
                    <w:pStyle w:val="68"/>
                    <w:jc w:val="center"/>
                    <w:rPr>
                      <w:rFonts w:hint="default" w:ascii="Times New Roman" w:hAnsi="Times New Roman" w:eastAsia="宋体" w:cs="Times New Roman"/>
                      <w:color w:val="auto"/>
                      <w:sz w:val="21"/>
                      <w:szCs w:val="21"/>
                    </w:rPr>
                  </w:pPr>
                </w:p>
              </w:tc>
              <w:tc>
                <w:tcPr>
                  <w:tcW w:w="453" w:type="pct"/>
                  <w:tcBorders>
                    <w:tl2br w:val="nil"/>
                    <w:tr2bl w:val="nil"/>
                  </w:tcBorders>
                  <w:noWrap w:val="0"/>
                  <w:vAlign w:val="center"/>
                </w:tcPr>
                <w:p w14:paraId="06962BC0">
                  <w:pPr>
                    <w:pStyle w:val="6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770" w:type="dxa"/>
                  <w:tcBorders>
                    <w:tl2br w:val="nil"/>
                    <w:tr2bl w:val="nil"/>
                  </w:tcBorders>
                  <w:noWrap w:val="0"/>
                  <w:vAlign w:val="center"/>
                </w:tcPr>
                <w:p w14:paraId="7C44A143">
                  <w:pPr>
                    <w:pStyle w:val="68"/>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20.4</w:t>
                  </w:r>
                </w:p>
              </w:tc>
              <w:tc>
                <w:tcPr>
                  <w:tcW w:w="733" w:type="dxa"/>
                  <w:tcBorders>
                    <w:tl2br w:val="nil"/>
                    <w:tr2bl w:val="nil"/>
                  </w:tcBorders>
                  <w:noWrap w:val="0"/>
                  <w:vAlign w:val="center"/>
                </w:tcPr>
                <w:p w14:paraId="7D0EED72">
                  <w:pPr>
                    <w:pStyle w:val="68"/>
                    <w:jc w:val="center"/>
                    <w:rPr>
                      <w:rFonts w:hint="default" w:cs="Times New Roman"/>
                      <w:color w:val="auto"/>
                      <w:sz w:val="21"/>
                      <w:szCs w:val="21"/>
                      <w:lang w:val="en-US" w:eastAsia="zh-CN"/>
                    </w:rPr>
                  </w:pPr>
                  <w:r>
                    <w:rPr>
                      <w:rFonts w:hint="eastAsia" w:cs="Times New Roman"/>
                      <w:color w:val="auto"/>
                      <w:sz w:val="21"/>
                      <w:szCs w:val="21"/>
                      <w:lang w:val="en-US" w:eastAsia="zh-CN"/>
                    </w:rPr>
                    <w:t>0.004</w:t>
                  </w:r>
                </w:p>
              </w:tc>
              <w:tc>
                <w:tcPr>
                  <w:tcW w:w="268" w:type="pct"/>
                  <w:vMerge w:val="continue"/>
                  <w:tcBorders>
                    <w:tl2br w:val="nil"/>
                    <w:tr2bl w:val="nil"/>
                  </w:tcBorders>
                  <w:noWrap w:val="0"/>
                  <w:vAlign w:val="center"/>
                </w:tcPr>
                <w:p w14:paraId="70406F84">
                  <w:pPr>
                    <w:pStyle w:val="68"/>
                    <w:jc w:val="center"/>
                    <w:rPr>
                      <w:rFonts w:hint="default" w:ascii="Times New Roman" w:hAnsi="Times New Roman" w:eastAsia="宋体" w:cs="Times New Roman"/>
                      <w:color w:val="auto"/>
                      <w:sz w:val="21"/>
                      <w:szCs w:val="21"/>
                      <w:lang w:val="en-US" w:eastAsia="zh-CN"/>
                    </w:rPr>
                  </w:pPr>
                </w:p>
              </w:tc>
              <w:tc>
                <w:tcPr>
                  <w:tcW w:w="359" w:type="pct"/>
                  <w:tcBorders>
                    <w:tl2br w:val="nil"/>
                    <w:tr2bl w:val="nil"/>
                  </w:tcBorders>
                  <w:noWrap w:val="0"/>
                  <w:vAlign w:val="center"/>
                </w:tcPr>
                <w:p w14:paraId="20EA656D">
                  <w:pPr>
                    <w:pStyle w:val="68"/>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623" w:type="pct"/>
                  <w:tcBorders>
                    <w:tl2br w:val="nil"/>
                    <w:tr2bl w:val="nil"/>
                  </w:tcBorders>
                  <w:noWrap w:val="0"/>
                  <w:vAlign w:val="center"/>
                </w:tcPr>
                <w:p w14:paraId="55FC719B">
                  <w:pPr>
                    <w:pStyle w:val="68"/>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20.4</w:t>
                  </w:r>
                </w:p>
              </w:tc>
              <w:tc>
                <w:tcPr>
                  <w:tcW w:w="1035" w:type="dxa"/>
                  <w:tcBorders>
                    <w:tl2br w:val="nil"/>
                    <w:tr2bl w:val="nil"/>
                  </w:tcBorders>
                  <w:noWrap w:val="0"/>
                  <w:vAlign w:val="center"/>
                </w:tcPr>
                <w:p w14:paraId="7A7CF0CF">
                  <w:pPr>
                    <w:pStyle w:val="68"/>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0.004</w:t>
                  </w:r>
                </w:p>
              </w:tc>
              <w:tc>
                <w:tcPr>
                  <w:tcW w:w="647" w:type="pct"/>
                  <w:tcBorders>
                    <w:tl2br w:val="nil"/>
                    <w:tr2bl w:val="nil"/>
                  </w:tcBorders>
                  <w:shd w:val="clear" w:color="auto" w:fill="auto"/>
                  <w:noWrap w:val="0"/>
                  <w:vAlign w:val="center"/>
                </w:tcPr>
                <w:p w14:paraId="22A87526">
                  <w:pPr>
                    <w:pStyle w:val="68"/>
                    <w:rPr>
                      <w:rFonts w:hint="eastAsia" w:ascii="Times New Roman" w:hAnsi="Times New Roman" w:eastAsia="宋体" w:cs="Times New Roman"/>
                      <w:color w:val="auto"/>
                      <w:sz w:val="21"/>
                      <w:szCs w:val="21"/>
                      <w:lang w:val="en-US" w:eastAsia="zh-CN" w:bidi="ar-SA"/>
                    </w:rPr>
                  </w:pPr>
                  <w:r>
                    <w:rPr>
                      <w:rFonts w:hint="eastAsia"/>
                      <w:color w:val="auto"/>
                      <w:szCs w:val="21"/>
                    </w:rPr>
                    <w:t>/</w:t>
                  </w:r>
                </w:p>
              </w:tc>
              <w:tc>
                <w:tcPr>
                  <w:tcW w:w="862" w:type="pct"/>
                  <w:tcBorders>
                    <w:tl2br w:val="nil"/>
                    <w:tr2bl w:val="nil"/>
                  </w:tcBorders>
                  <w:shd w:val="clear" w:color="auto" w:fill="auto"/>
                  <w:noWrap w:val="0"/>
                  <w:vAlign w:val="center"/>
                </w:tcPr>
                <w:p w14:paraId="4EB43DA4">
                  <w:pPr>
                    <w:pStyle w:val="68"/>
                    <w:rPr>
                      <w:rFonts w:hint="eastAsia" w:ascii="Times New Roman" w:hAnsi="Times New Roman" w:eastAsia="宋体" w:cs="Times New Roman"/>
                      <w:color w:val="auto"/>
                      <w:sz w:val="21"/>
                      <w:szCs w:val="21"/>
                      <w:lang w:val="en-US" w:eastAsia="zh-CN" w:bidi="ar-SA"/>
                    </w:rPr>
                  </w:pPr>
                  <w:r>
                    <w:rPr>
                      <w:rFonts w:hint="eastAsia"/>
                      <w:color w:val="auto"/>
                      <w:szCs w:val="21"/>
                    </w:rPr>
                    <w:t>45</w:t>
                  </w:r>
                </w:p>
              </w:tc>
            </w:tr>
            <w:tr w14:paraId="10193B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2" w:type="pct"/>
                  <w:vMerge w:val="continue"/>
                  <w:tcBorders>
                    <w:tl2br w:val="nil"/>
                    <w:tr2bl w:val="nil"/>
                  </w:tcBorders>
                  <w:noWrap w:val="0"/>
                  <w:vAlign w:val="center"/>
                </w:tcPr>
                <w:p w14:paraId="4E440B14">
                  <w:pPr>
                    <w:pStyle w:val="68"/>
                    <w:jc w:val="center"/>
                    <w:rPr>
                      <w:rFonts w:hint="default" w:ascii="Times New Roman" w:hAnsi="Times New Roman" w:eastAsia="宋体" w:cs="Times New Roman"/>
                      <w:color w:val="auto"/>
                      <w:sz w:val="21"/>
                      <w:szCs w:val="21"/>
                    </w:rPr>
                  </w:pPr>
                </w:p>
              </w:tc>
              <w:tc>
                <w:tcPr>
                  <w:tcW w:w="453" w:type="pct"/>
                  <w:tcBorders>
                    <w:tl2br w:val="nil"/>
                    <w:tr2bl w:val="nil"/>
                  </w:tcBorders>
                  <w:noWrap w:val="0"/>
                  <w:vAlign w:val="center"/>
                </w:tcPr>
                <w:p w14:paraId="534F1DDF">
                  <w:pPr>
                    <w:pStyle w:val="6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TN</w:t>
                  </w:r>
                </w:p>
              </w:tc>
              <w:tc>
                <w:tcPr>
                  <w:tcW w:w="770" w:type="dxa"/>
                  <w:tcBorders>
                    <w:tl2br w:val="nil"/>
                    <w:tr2bl w:val="nil"/>
                  </w:tcBorders>
                  <w:noWrap w:val="0"/>
                  <w:vAlign w:val="center"/>
                </w:tcPr>
                <w:p w14:paraId="4E840F79">
                  <w:pPr>
                    <w:pStyle w:val="68"/>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26.4</w:t>
                  </w:r>
                </w:p>
              </w:tc>
              <w:tc>
                <w:tcPr>
                  <w:tcW w:w="733" w:type="dxa"/>
                  <w:tcBorders>
                    <w:tl2br w:val="nil"/>
                    <w:tr2bl w:val="nil"/>
                  </w:tcBorders>
                  <w:noWrap w:val="0"/>
                  <w:vAlign w:val="center"/>
                </w:tcPr>
                <w:p w14:paraId="25B3CB54">
                  <w:pPr>
                    <w:pStyle w:val="68"/>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0.005</w:t>
                  </w:r>
                </w:p>
              </w:tc>
              <w:tc>
                <w:tcPr>
                  <w:tcW w:w="268" w:type="pct"/>
                  <w:vMerge w:val="continue"/>
                  <w:tcBorders>
                    <w:tl2br w:val="nil"/>
                    <w:tr2bl w:val="nil"/>
                  </w:tcBorders>
                  <w:noWrap w:val="0"/>
                  <w:vAlign w:val="center"/>
                </w:tcPr>
                <w:p w14:paraId="4B35EEF2">
                  <w:pPr>
                    <w:pStyle w:val="68"/>
                    <w:jc w:val="center"/>
                    <w:rPr>
                      <w:rFonts w:hint="default" w:ascii="Times New Roman" w:hAnsi="Times New Roman" w:eastAsia="宋体" w:cs="Times New Roman"/>
                      <w:color w:val="auto"/>
                      <w:sz w:val="21"/>
                      <w:szCs w:val="21"/>
                      <w:lang w:val="en-US" w:eastAsia="zh-CN"/>
                    </w:rPr>
                  </w:pPr>
                </w:p>
              </w:tc>
              <w:tc>
                <w:tcPr>
                  <w:tcW w:w="359" w:type="pct"/>
                  <w:tcBorders>
                    <w:tl2br w:val="nil"/>
                    <w:tr2bl w:val="nil"/>
                  </w:tcBorders>
                  <w:noWrap w:val="0"/>
                  <w:vAlign w:val="center"/>
                </w:tcPr>
                <w:p w14:paraId="372C10D9">
                  <w:pPr>
                    <w:pStyle w:val="68"/>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623" w:type="pct"/>
                  <w:tcBorders>
                    <w:tl2br w:val="nil"/>
                    <w:tr2bl w:val="nil"/>
                  </w:tcBorders>
                  <w:noWrap w:val="0"/>
                  <w:vAlign w:val="center"/>
                </w:tcPr>
                <w:p w14:paraId="14F28C15">
                  <w:pPr>
                    <w:pStyle w:val="68"/>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26.4</w:t>
                  </w:r>
                </w:p>
              </w:tc>
              <w:tc>
                <w:tcPr>
                  <w:tcW w:w="1035" w:type="dxa"/>
                  <w:tcBorders>
                    <w:tl2br w:val="nil"/>
                    <w:tr2bl w:val="nil"/>
                  </w:tcBorders>
                  <w:noWrap w:val="0"/>
                  <w:vAlign w:val="center"/>
                </w:tcPr>
                <w:p w14:paraId="6DC1BA07">
                  <w:pPr>
                    <w:pStyle w:val="68"/>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0.005</w:t>
                  </w:r>
                </w:p>
              </w:tc>
              <w:tc>
                <w:tcPr>
                  <w:tcW w:w="647" w:type="pct"/>
                  <w:tcBorders>
                    <w:tl2br w:val="nil"/>
                    <w:tr2bl w:val="nil"/>
                  </w:tcBorders>
                  <w:shd w:val="clear" w:color="auto" w:fill="auto"/>
                  <w:noWrap w:val="0"/>
                  <w:vAlign w:val="center"/>
                </w:tcPr>
                <w:p w14:paraId="792EECC3">
                  <w:pPr>
                    <w:pStyle w:val="68"/>
                    <w:rPr>
                      <w:rFonts w:hint="eastAsia" w:ascii="Times New Roman" w:hAnsi="Times New Roman" w:eastAsia="宋体" w:cs="Times New Roman"/>
                      <w:color w:val="auto"/>
                      <w:sz w:val="21"/>
                      <w:szCs w:val="21"/>
                      <w:lang w:val="en-US" w:eastAsia="zh-CN" w:bidi="ar-SA"/>
                    </w:rPr>
                  </w:pPr>
                  <w:r>
                    <w:rPr>
                      <w:rFonts w:hint="eastAsia"/>
                      <w:color w:val="auto"/>
                      <w:szCs w:val="21"/>
                    </w:rPr>
                    <w:t>/</w:t>
                  </w:r>
                </w:p>
              </w:tc>
              <w:tc>
                <w:tcPr>
                  <w:tcW w:w="862" w:type="pct"/>
                  <w:tcBorders>
                    <w:tl2br w:val="nil"/>
                    <w:tr2bl w:val="nil"/>
                  </w:tcBorders>
                  <w:shd w:val="clear" w:color="auto" w:fill="auto"/>
                  <w:noWrap w:val="0"/>
                  <w:vAlign w:val="center"/>
                </w:tcPr>
                <w:p w14:paraId="1F4B2719">
                  <w:pPr>
                    <w:pStyle w:val="68"/>
                    <w:rPr>
                      <w:rFonts w:hint="eastAsia" w:ascii="Times New Roman" w:hAnsi="Times New Roman" w:eastAsia="宋体" w:cs="Times New Roman"/>
                      <w:color w:val="auto"/>
                      <w:sz w:val="21"/>
                      <w:szCs w:val="21"/>
                      <w:lang w:val="en-US" w:eastAsia="zh-CN" w:bidi="ar-SA"/>
                    </w:rPr>
                  </w:pPr>
                  <w:r>
                    <w:rPr>
                      <w:rFonts w:hint="eastAsia"/>
                      <w:color w:val="auto"/>
                      <w:szCs w:val="21"/>
                    </w:rPr>
                    <w:t>70</w:t>
                  </w:r>
                </w:p>
              </w:tc>
            </w:tr>
            <w:tr w14:paraId="6B5D38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2" w:type="pct"/>
                  <w:vMerge w:val="continue"/>
                  <w:tcBorders>
                    <w:tl2br w:val="nil"/>
                    <w:tr2bl w:val="nil"/>
                  </w:tcBorders>
                  <w:noWrap w:val="0"/>
                  <w:vAlign w:val="center"/>
                </w:tcPr>
                <w:p w14:paraId="4DA8AD56">
                  <w:pPr>
                    <w:pStyle w:val="68"/>
                    <w:jc w:val="center"/>
                    <w:rPr>
                      <w:rFonts w:hint="default" w:ascii="Times New Roman" w:hAnsi="Times New Roman" w:eastAsia="宋体" w:cs="Times New Roman"/>
                      <w:color w:val="auto"/>
                      <w:sz w:val="21"/>
                      <w:szCs w:val="21"/>
                    </w:rPr>
                  </w:pPr>
                </w:p>
              </w:tc>
              <w:tc>
                <w:tcPr>
                  <w:tcW w:w="453" w:type="pct"/>
                  <w:tcBorders>
                    <w:tl2br w:val="nil"/>
                    <w:tr2bl w:val="nil"/>
                  </w:tcBorders>
                  <w:noWrap w:val="0"/>
                  <w:vAlign w:val="center"/>
                </w:tcPr>
                <w:p w14:paraId="2E2ED16E">
                  <w:pPr>
                    <w:pStyle w:val="6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TP</w:t>
                  </w:r>
                </w:p>
              </w:tc>
              <w:tc>
                <w:tcPr>
                  <w:tcW w:w="770" w:type="dxa"/>
                  <w:tcBorders>
                    <w:tl2br w:val="nil"/>
                    <w:tr2bl w:val="nil"/>
                  </w:tcBorders>
                  <w:noWrap w:val="0"/>
                  <w:vAlign w:val="center"/>
                </w:tcPr>
                <w:p w14:paraId="4A8F3AF6">
                  <w:pPr>
                    <w:pStyle w:val="68"/>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2.88</w:t>
                  </w:r>
                </w:p>
              </w:tc>
              <w:tc>
                <w:tcPr>
                  <w:tcW w:w="733" w:type="dxa"/>
                  <w:tcBorders>
                    <w:tl2br w:val="nil"/>
                    <w:tr2bl w:val="nil"/>
                  </w:tcBorders>
                  <w:noWrap w:val="0"/>
                  <w:vAlign w:val="center"/>
                </w:tcPr>
                <w:p w14:paraId="2C3B6D08">
                  <w:pPr>
                    <w:pStyle w:val="68"/>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0.0006</w:t>
                  </w:r>
                </w:p>
              </w:tc>
              <w:tc>
                <w:tcPr>
                  <w:tcW w:w="268" w:type="pct"/>
                  <w:vMerge w:val="continue"/>
                  <w:tcBorders>
                    <w:tl2br w:val="nil"/>
                    <w:tr2bl w:val="nil"/>
                  </w:tcBorders>
                  <w:noWrap w:val="0"/>
                  <w:vAlign w:val="center"/>
                </w:tcPr>
                <w:p w14:paraId="313D63F2">
                  <w:pPr>
                    <w:pStyle w:val="68"/>
                    <w:jc w:val="center"/>
                    <w:rPr>
                      <w:rFonts w:hint="default" w:ascii="Times New Roman" w:hAnsi="Times New Roman" w:eastAsia="宋体" w:cs="Times New Roman"/>
                      <w:color w:val="auto"/>
                      <w:sz w:val="21"/>
                      <w:szCs w:val="21"/>
                      <w:lang w:val="en-US" w:eastAsia="zh-CN"/>
                    </w:rPr>
                  </w:pPr>
                </w:p>
              </w:tc>
              <w:tc>
                <w:tcPr>
                  <w:tcW w:w="359" w:type="pct"/>
                  <w:tcBorders>
                    <w:tl2br w:val="nil"/>
                    <w:tr2bl w:val="nil"/>
                  </w:tcBorders>
                  <w:noWrap w:val="0"/>
                  <w:vAlign w:val="center"/>
                </w:tcPr>
                <w:p w14:paraId="35EDA254">
                  <w:pPr>
                    <w:pStyle w:val="68"/>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623" w:type="pct"/>
                  <w:tcBorders>
                    <w:tl2br w:val="nil"/>
                    <w:tr2bl w:val="nil"/>
                  </w:tcBorders>
                  <w:noWrap w:val="0"/>
                  <w:vAlign w:val="center"/>
                </w:tcPr>
                <w:p w14:paraId="7F6CECCA">
                  <w:pPr>
                    <w:pStyle w:val="68"/>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2.88</w:t>
                  </w:r>
                </w:p>
              </w:tc>
              <w:tc>
                <w:tcPr>
                  <w:tcW w:w="1035" w:type="dxa"/>
                  <w:tcBorders>
                    <w:tl2br w:val="nil"/>
                    <w:tr2bl w:val="nil"/>
                  </w:tcBorders>
                  <w:noWrap w:val="0"/>
                  <w:vAlign w:val="center"/>
                </w:tcPr>
                <w:p w14:paraId="2C383784">
                  <w:pPr>
                    <w:pStyle w:val="68"/>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0.0006</w:t>
                  </w:r>
                </w:p>
              </w:tc>
              <w:tc>
                <w:tcPr>
                  <w:tcW w:w="647" w:type="pct"/>
                  <w:tcBorders>
                    <w:tl2br w:val="nil"/>
                    <w:tr2bl w:val="nil"/>
                  </w:tcBorders>
                  <w:shd w:val="clear" w:color="auto" w:fill="auto"/>
                  <w:noWrap w:val="0"/>
                  <w:vAlign w:val="center"/>
                </w:tcPr>
                <w:p w14:paraId="7CAA99A7">
                  <w:pPr>
                    <w:pStyle w:val="68"/>
                    <w:rPr>
                      <w:rFonts w:hint="eastAsia" w:ascii="Times New Roman" w:hAnsi="Times New Roman" w:eastAsia="宋体" w:cs="Times New Roman"/>
                      <w:color w:val="auto"/>
                      <w:sz w:val="21"/>
                      <w:szCs w:val="21"/>
                      <w:lang w:val="en-US" w:eastAsia="zh-CN" w:bidi="ar-SA"/>
                    </w:rPr>
                  </w:pPr>
                  <w:r>
                    <w:rPr>
                      <w:rFonts w:hint="eastAsia"/>
                      <w:color w:val="auto"/>
                      <w:szCs w:val="21"/>
                    </w:rPr>
                    <w:t>/</w:t>
                  </w:r>
                </w:p>
              </w:tc>
              <w:tc>
                <w:tcPr>
                  <w:tcW w:w="862" w:type="pct"/>
                  <w:tcBorders>
                    <w:tl2br w:val="nil"/>
                    <w:tr2bl w:val="nil"/>
                  </w:tcBorders>
                  <w:shd w:val="clear" w:color="auto" w:fill="auto"/>
                  <w:noWrap w:val="0"/>
                  <w:vAlign w:val="center"/>
                </w:tcPr>
                <w:p w14:paraId="7017D5BE">
                  <w:pPr>
                    <w:pStyle w:val="68"/>
                    <w:rPr>
                      <w:rFonts w:hint="eastAsia" w:ascii="Times New Roman" w:hAnsi="Times New Roman" w:eastAsia="宋体" w:cs="Times New Roman"/>
                      <w:color w:val="auto"/>
                      <w:sz w:val="21"/>
                      <w:szCs w:val="21"/>
                      <w:lang w:val="en-US" w:eastAsia="zh-CN" w:bidi="ar-SA"/>
                    </w:rPr>
                  </w:pPr>
                  <w:r>
                    <w:rPr>
                      <w:rFonts w:hint="eastAsia"/>
                      <w:color w:val="auto"/>
                      <w:szCs w:val="21"/>
                    </w:rPr>
                    <w:t>8</w:t>
                  </w:r>
                </w:p>
              </w:tc>
            </w:tr>
          </w:tbl>
          <w:p w14:paraId="227018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lang w:val="en-US" w:eastAsia="zh-CN"/>
              </w:rPr>
            </w:pPr>
            <w:r>
              <w:rPr>
                <w:bCs/>
                <w:color w:val="auto"/>
                <w:sz w:val="24"/>
              </w:rPr>
              <w:t>由上表可知，产生的</w:t>
            </w:r>
            <w:r>
              <w:rPr>
                <w:rFonts w:hint="eastAsia"/>
                <w:bCs/>
                <w:color w:val="auto"/>
                <w:sz w:val="24"/>
              </w:rPr>
              <w:t>污水</w:t>
            </w:r>
            <w:r>
              <w:rPr>
                <w:bCs/>
                <w:color w:val="auto"/>
                <w:sz w:val="24"/>
              </w:rPr>
              <w:t>经过</w:t>
            </w:r>
            <w:r>
              <w:rPr>
                <w:rFonts w:hint="eastAsia"/>
                <w:bCs/>
                <w:color w:val="auto"/>
                <w:sz w:val="24"/>
                <w:lang w:val="en-US" w:eastAsia="zh-CN"/>
              </w:rPr>
              <w:t>园区</w:t>
            </w:r>
            <w:r>
              <w:rPr>
                <w:rFonts w:hint="eastAsia"/>
                <w:bCs/>
                <w:color w:val="auto"/>
                <w:sz w:val="24"/>
              </w:rPr>
              <w:t>化粪池</w:t>
            </w:r>
            <w:r>
              <w:rPr>
                <w:bCs/>
                <w:color w:val="auto"/>
                <w:sz w:val="24"/>
              </w:rPr>
              <w:t>处理后能够达到《污水综合排放标准》（GB8978-1996）表4三级标准及《污水排入城镇下水道水质标准》（GB/T31962-2015）表1</w:t>
            </w:r>
            <w:r>
              <w:rPr>
                <w:rFonts w:hint="eastAsia"/>
                <w:bCs/>
                <w:color w:val="auto"/>
                <w:sz w:val="24"/>
                <w:lang w:val="en-US" w:eastAsia="zh-CN"/>
              </w:rPr>
              <w:t>B</w:t>
            </w:r>
            <w:r>
              <w:rPr>
                <w:bCs/>
                <w:color w:val="auto"/>
                <w:sz w:val="24"/>
              </w:rPr>
              <w:t>级标准</w:t>
            </w:r>
            <w:r>
              <w:rPr>
                <w:rFonts w:hint="eastAsia"/>
                <w:bCs/>
                <w:color w:val="auto"/>
                <w:sz w:val="24"/>
              </w:rPr>
              <w:t>。</w:t>
            </w:r>
          </w:p>
          <w:p w14:paraId="5679B8CC">
            <w:pPr>
              <w:numPr>
                <w:ilvl w:val="0"/>
                <w:numId w:val="0"/>
              </w:numPr>
              <w:adjustRightInd w:val="0"/>
              <w:snapToGrid w:val="0"/>
              <w:spacing w:line="360" w:lineRule="auto"/>
              <w:rPr>
                <w:rFonts w:hint="default" w:ascii="Times New Roman" w:hAnsi="Times New Roman" w:cs="Times New Roman"/>
                <w:b/>
                <w:bCs w:val="0"/>
                <w:color w:val="auto"/>
                <w:spacing w:val="0"/>
                <w:sz w:val="24"/>
                <w:szCs w:val="24"/>
                <w:lang w:val="en-US" w:eastAsia="zh-CN"/>
              </w:rPr>
            </w:pPr>
            <w:r>
              <w:rPr>
                <w:rFonts w:hint="default" w:ascii="Times New Roman" w:hAnsi="Times New Roman" w:cs="Times New Roman"/>
                <w:b/>
                <w:bCs w:val="0"/>
                <w:color w:val="auto"/>
                <w:spacing w:val="0"/>
                <w:sz w:val="24"/>
                <w:szCs w:val="24"/>
                <w:lang w:val="en-US" w:eastAsia="zh-CN"/>
              </w:rPr>
              <w:t>2.2排放口基本情况及监测计划</w:t>
            </w:r>
          </w:p>
          <w:p w14:paraId="48564B7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根据《排污许可证申请与核发技术规范 总则》（HJ942-2018）、《排污单位自行监测技术指南 总则》（HJ819-2017），</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对于水污染物，以排放口为单位确定主要排放口许可排放浓度和排放量，一般排放口仅许可排放浓度。单独排入城镇集中污水处理设施的生活污水仅说明排放去向。</w:t>
            </w:r>
            <w:r>
              <w:rPr>
                <w:rFonts w:hint="eastAsia" w:ascii="Times New Roman" w:hAnsi="Times New Roman" w:eastAsia="宋体" w:cs="Times New Roman"/>
                <w:color w:val="auto"/>
                <w:sz w:val="24"/>
                <w:lang w:val="en-US" w:eastAsia="zh-CN"/>
              </w:rPr>
              <w:t>”</w:t>
            </w:r>
          </w:p>
          <w:p w14:paraId="5C8F24F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color w:val="auto"/>
                <w:sz w:val="24"/>
              </w:rPr>
            </w:pPr>
            <w:r>
              <w:rPr>
                <w:rFonts w:hint="default" w:ascii="Times New Roman" w:hAnsi="Times New Roman" w:eastAsia="宋体" w:cs="Times New Roman"/>
                <w:color w:val="auto"/>
                <w:sz w:val="24"/>
                <w:lang w:val="en-US" w:eastAsia="zh-CN"/>
              </w:rPr>
              <w:t>本项目</w:t>
            </w:r>
            <w:r>
              <w:rPr>
                <w:rFonts w:hint="eastAsia" w:ascii="Times New Roman" w:hAnsi="Times New Roman" w:eastAsia="宋体" w:cs="Times New Roman"/>
                <w:color w:val="auto"/>
                <w:sz w:val="24"/>
                <w:lang w:val="en-US" w:eastAsia="zh-CN"/>
              </w:rPr>
              <w:t>废水利用园区</w:t>
            </w:r>
            <w:r>
              <w:rPr>
                <w:rFonts w:hint="default" w:ascii="Times New Roman" w:hAnsi="Times New Roman" w:eastAsia="宋体" w:cs="Times New Roman"/>
                <w:color w:val="auto"/>
                <w:sz w:val="24"/>
                <w:lang w:val="en-US" w:eastAsia="zh-CN"/>
              </w:rPr>
              <w:t>化粪池处理后，进入市政污水管网，最终进入</w:t>
            </w:r>
            <w:r>
              <w:rPr>
                <w:rFonts w:hint="eastAsia" w:ascii="Times New Roman" w:hAnsi="Times New Roman" w:eastAsia="宋体" w:cs="Times New Roman"/>
                <w:color w:val="auto"/>
                <w:sz w:val="24"/>
                <w:lang w:val="en-US" w:eastAsia="zh-CN"/>
              </w:rPr>
              <w:t>泾河新城第二</w:t>
            </w:r>
            <w:r>
              <w:rPr>
                <w:rFonts w:hint="eastAsia" w:ascii="Times New Roman" w:hAnsi="Times New Roman" w:eastAsia="宋体" w:cs="Times New Roman"/>
                <w:color w:val="auto"/>
                <w:sz w:val="24"/>
                <w:szCs w:val="24"/>
                <w:lang w:val="en-US" w:eastAsia="zh-CN"/>
              </w:rPr>
              <w:t>污水处理厂</w:t>
            </w:r>
            <w:r>
              <w:rPr>
                <w:rFonts w:hint="default" w:ascii="Times New Roman" w:hAnsi="Times New Roman" w:eastAsia="宋体" w:cs="Times New Roman"/>
                <w:color w:val="auto"/>
                <w:sz w:val="24"/>
                <w:lang w:val="en-US" w:eastAsia="zh-CN"/>
              </w:rPr>
              <w:t>进行处理。故本项目不制定废水污染源环境监测计划</w:t>
            </w:r>
            <w:r>
              <w:rPr>
                <w:rFonts w:hint="eastAsia"/>
                <w:color w:val="auto"/>
                <w:sz w:val="24"/>
              </w:rPr>
              <w:t>。</w:t>
            </w:r>
          </w:p>
          <w:p w14:paraId="037C0FB0">
            <w:pPr>
              <w:numPr>
                <w:ilvl w:val="0"/>
                <w:numId w:val="0"/>
              </w:numPr>
              <w:adjustRightInd w:val="0"/>
              <w:snapToGrid w:val="0"/>
              <w:spacing w:line="360" w:lineRule="auto"/>
              <w:rPr>
                <w:rFonts w:hint="default" w:ascii="Times New Roman" w:hAnsi="Times New Roman" w:cs="Times New Roman"/>
                <w:b/>
                <w:bCs w:val="0"/>
                <w:color w:val="auto"/>
                <w:spacing w:val="0"/>
                <w:sz w:val="24"/>
                <w:szCs w:val="24"/>
                <w:lang w:val="en-US" w:eastAsia="zh-CN"/>
              </w:rPr>
            </w:pPr>
            <w:r>
              <w:rPr>
                <w:rFonts w:hint="default" w:ascii="Times New Roman" w:hAnsi="Times New Roman" w:cs="Times New Roman"/>
                <w:b/>
                <w:bCs w:val="0"/>
                <w:color w:val="auto"/>
                <w:spacing w:val="0"/>
                <w:sz w:val="24"/>
                <w:szCs w:val="24"/>
                <w:lang w:val="en-US" w:eastAsia="zh-CN"/>
              </w:rPr>
              <w:t>2.3依托可行性分析</w:t>
            </w:r>
          </w:p>
          <w:p w14:paraId="0E31EA88">
            <w:pPr>
              <w:numPr>
                <w:ilvl w:val="0"/>
                <w:numId w:val="0"/>
              </w:numPr>
              <w:adjustRightInd w:val="0"/>
              <w:snapToGrid w:val="0"/>
              <w:spacing w:line="360" w:lineRule="auto"/>
              <w:rPr>
                <w:rFonts w:hint="default" w:ascii="Times New Roman" w:hAnsi="Times New Roman" w:cs="Times New Roman"/>
                <w:b/>
                <w:bCs w:val="0"/>
                <w:color w:val="auto"/>
                <w:spacing w:val="0"/>
                <w:sz w:val="24"/>
                <w:szCs w:val="24"/>
                <w:lang w:val="en-US" w:eastAsia="zh-CN"/>
              </w:rPr>
            </w:pPr>
            <w:r>
              <w:rPr>
                <w:rFonts w:hint="default" w:ascii="Times New Roman" w:hAnsi="Times New Roman" w:cs="Times New Roman"/>
                <w:b/>
                <w:bCs w:val="0"/>
                <w:color w:val="auto"/>
                <w:spacing w:val="0"/>
                <w:kern w:val="2"/>
                <w:sz w:val="24"/>
                <w:szCs w:val="24"/>
                <w:lang w:val="en-US" w:eastAsia="zh-CN" w:bidi="ar-SA"/>
              </w:rPr>
              <w:t>（1）</w:t>
            </w:r>
            <w:r>
              <w:rPr>
                <w:rFonts w:hint="default" w:ascii="Times New Roman" w:hAnsi="Times New Roman" w:cs="Times New Roman"/>
                <w:b/>
                <w:bCs w:val="0"/>
                <w:color w:val="auto"/>
                <w:spacing w:val="0"/>
                <w:sz w:val="24"/>
                <w:szCs w:val="24"/>
                <w:lang w:val="en-US" w:eastAsia="zh-CN"/>
              </w:rPr>
              <w:t>化粪池</w:t>
            </w:r>
          </w:p>
          <w:p w14:paraId="1AE85D89">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cs="Times New Roman"/>
                <w:b/>
                <w:bCs w:val="0"/>
                <w:color w:val="auto"/>
                <w:spacing w:val="0"/>
                <w:sz w:val="24"/>
                <w:szCs w:val="24"/>
                <w:lang w:val="en-US" w:eastAsia="zh-CN"/>
              </w:rPr>
            </w:pPr>
            <w:r>
              <w:rPr>
                <w:rFonts w:hint="default" w:ascii="Times New Roman" w:hAnsi="Times New Roman" w:eastAsia="宋体" w:cs="Times New Roman"/>
                <w:b w:val="0"/>
                <w:bCs w:val="0"/>
                <w:color w:val="auto"/>
                <w:sz w:val="24"/>
                <w:lang w:val="en-US" w:eastAsia="zh-CN"/>
              </w:rPr>
              <w:t>本项目位于</w:t>
            </w:r>
            <w:r>
              <w:rPr>
                <w:rFonts w:hint="default" w:ascii="Times New Roman" w:hAnsi="Times New Roman" w:eastAsia="宋体" w:cs="Times New Roman"/>
                <w:color w:val="auto"/>
                <w:sz w:val="24"/>
                <w:szCs w:val="24"/>
                <w:lang w:val="en-US" w:eastAsia="zh-CN"/>
              </w:rPr>
              <w:t>陕西省西咸新区泾河新城永乐镇泾河智造创新产业园</w:t>
            </w:r>
            <w:r>
              <w:rPr>
                <w:rFonts w:hint="default" w:ascii="Times New Roman" w:hAnsi="Times New Roman" w:eastAsia="宋体" w:cs="Times New Roman"/>
                <w:b w:val="0"/>
                <w:bCs w:val="0"/>
                <w:color w:val="auto"/>
                <w:sz w:val="24"/>
                <w:lang w:val="en-US" w:eastAsia="zh-CN"/>
              </w:rPr>
              <w:t>内，</w:t>
            </w:r>
            <w:r>
              <w:rPr>
                <w:rFonts w:hint="default" w:ascii="Times New Roman" w:hAnsi="Times New Roman" w:cs="Times New Roman"/>
                <w:color w:val="auto"/>
                <w:sz w:val="24"/>
              </w:rPr>
              <w:t>污水产生量约为</w:t>
            </w:r>
            <w:r>
              <w:rPr>
                <w:rFonts w:hint="eastAsia" w:cs="Times New Roman"/>
                <w:color w:val="auto"/>
                <w:sz w:val="24"/>
                <w:lang w:val="en-US" w:eastAsia="zh-CN"/>
              </w:rPr>
              <w:t>0.819</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default" w:ascii="Times New Roman" w:hAnsi="Times New Roman" w:cs="Times New Roman"/>
                <w:color w:val="auto"/>
                <w:sz w:val="24"/>
                <w:lang w:eastAsia="zh-CN"/>
              </w:rPr>
              <w:t>，</w:t>
            </w:r>
            <w:r>
              <w:rPr>
                <w:rFonts w:hint="default" w:ascii="Times New Roman" w:hAnsi="Times New Roman" w:eastAsia="宋体" w:cs="Times New Roman"/>
                <w:b w:val="0"/>
                <w:bCs w:val="0"/>
                <w:color w:val="auto"/>
                <w:sz w:val="24"/>
                <w:lang w:val="en-US" w:eastAsia="zh-CN"/>
              </w:rPr>
              <w:t>项目废水依托园区化粪池处理。根据建设单位提供资料，项目园区共设置3个化粪池，容积分别为100m</w:t>
            </w:r>
            <w:r>
              <w:rPr>
                <w:rFonts w:hint="default" w:ascii="Times New Roman" w:hAnsi="Times New Roman" w:eastAsia="宋体" w:cs="Times New Roman"/>
                <w:b w:val="0"/>
                <w:bCs w:val="0"/>
                <w:color w:val="auto"/>
                <w:sz w:val="24"/>
                <w:vertAlign w:val="superscript"/>
                <w:lang w:val="en-US" w:eastAsia="zh-CN"/>
              </w:rPr>
              <w:t>3</w:t>
            </w:r>
            <w:r>
              <w:rPr>
                <w:rFonts w:hint="default" w:ascii="Times New Roman" w:hAnsi="Times New Roman" w:eastAsia="宋体" w:cs="Times New Roman"/>
                <w:b w:val="0"/>
                <w:bCs w:val="0"/>
                <w:color w:val="auto"/>
                <w:sz w:val="24"/>
                <w:lang w:val="en-US" w:eastAsia="zh-CN"/>
              </w:rPr>
              <w:t>，本项目厂区内生活污水经园区化粪池处理后进入市政污水管网。目前其他企业废水为80m</w:t>
            </w:r>
            <w:r>
              <w:rPr>
                <w:rFonts w:hint="default" w:ascii="Times New Roman" w:hAnsi="Times New Roman" w:eastAsia="宋体" w:cs="Times New Roman"/>
                <w:b w:val="0"/>
                <w:bCs w:val="0"/>
                <w:color w:val="auto"/>
                <w:sz w:val="24"/>
                <w:vertAlign w:val="superscript"/>
                <w:lang w:val="en-US" w:eastAsia="zh-CN"/>
              </w:rPr>
              <w:t>3</w:t>
            </w:r>
            <w:r>
              <w:rPr>
                <w:rFonts w:hint="default" w:ascii="Times New Roman" w:hAnsi="Times New Roman" w:eastAsia="宋体" w:cs="Times New Roman"/>
                <w:b w:val="0"/>
                <w:bCs w:val="0"/>
                <w:color w:val="auto"/>
                <w:sz w:val="24"/>
                <w:lang w:val="en-US" w:eastAsia="zh-CN"/>
              </w:rPr>
              <w:t>/d，化粪池废水剩余处理容量可满足本项目水力停留时间24h要求，因此废水依托化粪池可行。</w:t>
            </w:r>
          </w:p>
          <w:p w14:paraId="4C0F6EF5">
            <w:pPr>
              <w:numPr>
                <w:ilvl w:val="0"/>
                <w:numId w:val="0"/>
              </w:numPr>
              <w:adjustRightInd w:val="0"/>
              <w:snapToGrid w:val="0"/>
              <w:spacing w:line="360" w:lineRule="auto"/>
              <w:rPr>
                <w:rFonts w:hint="default" w:ascii="Times New Roman" w:hAnsi="Times New Roman" w:cs="Times New Roman"/>
                <w:b/>
                <w:bCs w:val="0"/>
                <w:color w:val="auto"/>
                <w:spacing w:val="0"/>
                <w:sz w:val="24"/>
                <w:szCs w:val="24"/>
                <w:lang w:val="en-US" w:eastAsia="zh-CN"/>
              </w:rPr>
            </w:pPr>
            <w:r>
              <w:rPr>
                <w:rFonts w:hint="default" w:ascii="Times New Roman" w:hAnsi="Times New Roman" w:cs="Times New Roman"/>
                <w:b/>
                <w:bCs w:val="0"/>
                <w:color w:val="auto"/>
                <w:spacing w:val="0"/>
                <w:kern w:val="2"/>
                <w:sz w:val="24"/>
                <w:szCs w:val="24"/>
                <w:lang w:val="en-US" w:eastAsia="zh-CN" w:bidi="ar-SA"/>
              </w:rPr>
              <w:t>（2）</w:t>
            </w:r>
            <w:r>
              <w:rPr>
                <w:rFonts w:hint="default" w:ascii="Times New Roman" w:hAnsi="Times New Roman" w:cs="Times New Roman"/>
                <w:b/>
                <w:bCs w:val="0"/>
                <w:color w:val="auto"/>
                <w:spacing w:val="0"/>
                <w:sz w:val="24"/>
                <w:szCs w:val="24"/>
                <w:lang w:val="en-US" w:eastAsia="zh-CN"/>
              </w:rPr>
              <w:t>污水处理厂</w:t>
            </w:r>
          </w:p>
          <w:p w14:paraId="7759412C">
            <w:pPr>
              <w:keepNext w:val="0"/>
              <w:keepLines w:val="0"/>
              <w:suppressLineNumbers w:val="0"/>
              <w:adjustRightInd w:val="0"/>
              <w:spacing w:before="0" w:beforeAutospacing="0" w:after="0" w:afterAutospacing="0" w:line="360" w:lineRule="auto"/>
              <w:ind w:right="0" w:firstLine="480" w:firstLineChars="200"/>
              <w:rPr>
                <w:rFonts w:hint="default" w:ascii="Times New Roman" w:hAnsi="Times New Roman" w:cs="Times New Roman"/>
                <w:color w:val="auto"/>
                <w:sz w:val="24"/>
                <w:szCs w:val="24"/>
                <w:shd w:val="clear" w:color="auto" w:fill="auto"/>
                <w:lang w:bidi="ar"/>
              </w:rPr>
            </w:pPr>
            <w:r>
              <w:rPr>
                <w:rFonts w:hint="default" w:ascii="Times New Roman" w:hAnsi="Times New Roman" w:cs="Times New Roman"/>
                <w:color w:val="auto"/>
                <w:sz w:val="24"/>
                <w:szCs w:val="24"/>
                <w:shd w:val="clear" w:color="auto" w:fill="auto"/>
                <w:lang w:bidi="ar"/>
              </w:rPr>
              <w:t>本项目产生的</w:t>
            </w:r>
            <w:r>
              <w:rPr>
                <w:rFonts w:hint="default" w:ascii="Times New Roman" w:hAnsi="Times New Roman" w:cs="Times New Roman"/>
                <w:color w:val="auto"/>
                <w:sz w:val="24"/>
                <w:szCs w:val="24"/>
                <w:shd w:val="clear" w:color="auto" w:fill="auto"/>
                <w:lang w:eastAsia="zh-CN" w:bidi="ar"/>
              </w:rPr>
              <w:t>生活污水</w:t>
            </w:r>
            <w:r>
              <w:rPr>
                <w:rFonts w:hint="default" w:ascii="Times New Roman" w:hAnsi="Times New Roman" w:cs="Times New Roman"/>
                <w:color w:val="auto"/>
                <w:sz w:val="24"/>
                <w:szCs w:val="24"/>
                <w:shd w:val="clear" w:color="auto" w:fill="auto"/>
                <w:lang w:bidi="ar"/>
              </w:rPr>
              <w:t>经化粪池处理后</w:t>
            </w:r>
            <w:r>
              <w:rPr>
                <w:rFonts w:hint="default" w:ascii="Times New Roman" w:hAnsi="Times New Roman" w:cs="Times New Roman"/>
                <w:color w:val="auto"/>
                <w:sz w:val="24"/>
                <w:szCs w:val="24"/>
                <w:shd w:val="clear" w:color="auto" w:fill="auto"/>
                <w:lang w:eastAsia="zh-CN" w:bidi="ar"/>
              </w:rPr>
              <w:t>满</w:t>
            </w:r>
            <w:r>
              <w:rPr>
                <w:rFonts w:hint="default" w:ascii="Times New Roman" w:hAnsi="Times New Roman" w:cs="Times New Roman"/>
                <w:color w:val="auto"/>
                <w:sz w:val="24"/>
                <w:szCs w:val="24"/>
                <w:shd w:val="clear" w:color="auto" w:fill="auto"/>
                <w:lang w:bidi="ar"/>
              </w:rPr>
              <w:t>足《污水综合排放标准》（GB8978-1996）三级标准及《污水排入城镇下水道水质标准》（GB/T31962-2015）表1中</w:t>
            </w:r>
            <w:r>
              <w:rPr>
                <w:rFonts w:hint="eastAsia" w:cs="Times New Roman"/>
                <w:color w:val="auto"/>
                <w:sz w:val="24"/>
                <w:szCs w:val="24"/>
                <w:shd w:val="clear" w:color="auto" w:fill="auto"/>
                <w:lang w:val="en-US" w:eastAsia="zh-CN" w:bidi="ar"/>
              </w:rPr>
              <w:t>B</w:t>
            </w:r>
            <w:r>
              <w:rPr>
                <w:rFonts w:hint="default" w:ascii="Times New Roman" w:hAnsi="Times New Roman" w:cs="Times New Roman"/>
                <w:color w:val="auto"/>
                <w:sz w:val="24"/>
                <w:szCs w:val="24"/>
                <w:shd w:val="clear" w:color="auto" w:fill="auto"/>
                <w:lang w:val="en-US" w:eastAsia="zh-CN" w:bidi="ar"/>
              </w:rPr>
              <w:t>级</w:t>
            </w:r>
            <w:r>
              <w:rPr>
                <w:rFonts w:hint="default" w:ascii="Times New Roman" w:hAnsi="Times New Roman" w:cs="Times New Roman"/>
                <w:color w:val="auto"/>
                <w:sz w:val="24"/>
                <w:szCs w:val="24"/>
                <w:shd w:val="clear" w:color="auto" w:fill="auto"/>
                <w:lang w:bidi="ar"/>
              </w:rPr>
              <w:t>标准后，排入城市污水管网，最终进入</w:t>
            </w:r>
            <w:r>
              <w:rPr>
                <w:rFonts w:hint="default" w:ascii="Times New Roman" w:hAnsi="Times New Roman" w:cs="Times New Roman"/>
                <w:color w:val="auto"/>
                <w:sz w:val="24"/>
                <w:szCs w:val="24"/>
                <w:shd w:val="clear" w:color="auto" w:fill="auto"/>
                <w:lang w:eastAsia="zh-CN" w:bidi="ar"/>
              </w:rPr>
              <w:t>泾河新城第二污水处理厂</w:t>
            </w:r>
            <w:r>
              <w:rPr>
                <w:rFonts w:hint="default" w:ascii="Times New Roman" w:hAnsi="Times New Roman" w:cs="Times New Roman"/>
                <w:color w:val="auto"/>
                <w:sz w:val="24"/>
                <w:szCs w:val="24"/>
                <w:shd w:val="clear" w:color="auto" w:fill="auto"/>
                <w:lang w:val="en-US" w:eastAsia="zh-CN" w:bidi="ar"/>
              </w:rPr>
              <w:t>进一步处理</w:t>
            </w:r>
            <w:r>
              <w:rPr>
                <w:rFonts w:hint="default" w:ascii="Times New Roman" w:hAnsi="Times New Roman" w:cs="Times New Roman"/>
                <w:color w:val="auto"/>
                <w:sz w:val="24"/>
                <w:szCs w:val="24"/>
                <w:shd w:val="clear" w:color="auto" w:fill="auto"/>
                <w:lang w:bidi="ar"/>
              </w:rPr>
              <w:t>。</w:t>
            </w:r>
          </w:p>
          <w:p w14:paraId="5909D843">
            <w:pPr>
              <w:numPr>
                <w:ilvl w:val="0"/>
                <w:numId w:val="0"/>
              </w:numPr>
              <w:adjustRightInd w:val="0"/>
              <w:snapToGrid w:val="0"/>
              <w:spacing w:line="360" w:lineRule="auto"/>
              <w:ind w:firstLine="480" w:firstLineChars="200"/>
              <w:rPr>
                <w:rFonts w:hint="default" w:ascii="Times New Roman" w:hAnsi="Times New Roman" w:cs="Times New Roman"/>
                <w:b/>
                <w:bCs w:val="0"/>
                <w:color w:val="auto"/>
                <w:spacing w:val="0"/>
                <w:sz w:val="24"/>
                <w:szCs w:val="24"/>
                <w:lang w:val="en-US" w:eastAsia="zh-CN"/>
              </w:rPr>
            </w:pPr>
            <w:r>
              <w:rPr>
                <w:rFonts w:hint="default" w:ascii="Times New Roman" w:hAnsi="Times New Roman" w:eastAsia="宋体" w:cs="Times New Roman"/>
                <w:color w:val="auto"/>
                <w:sz w:val="24"/>
                <w:lang w:bidi="ar"/>
              </w:rPr>
              <w:t>泾河新城第二污水处理厂（一期）项目位于泾河新城西安工业资产经营有限公司南侧，建设规模为40000m³/d</w:t>
            </w:r>
            <w:r>
              <w:rPr>
                <w:color w:val="auto"/>
                <w:sz w:val="24"/>
                <w:szCs w:val="24"/>
                <w:highlight w:val="none"/>
                <w:lang w:bidi="ar"/>
              </w:rPr>
              <w:t>，</w:t>
            </w:r>
            <w:r>
              <w:rPr>
                <w:rFonts w:hint="eastAsia"/>
                <w:color w:val="auto"/>
                <w:sz w:val="24"/>
                <w:szCs w:val="24"/>
                <w:highlight w:val="none"/>
                <w:lang w:bidi="ar"/>
              </w:rPr>
              <w:t>目前最大处理量为32000m</w:t>
            </w:r>
            <w:r>
              <w:rPr>
                <w:rFonts w:hint="eastAsia"/>
                <w:color w:val="auto"/>
                <w:sz w:val="24"/>
                <w:szCs w:val="24"/>
                <w:highlight w:val="none"/>
                <w:vertAlign w:val="superscript"/>
                <w:lang w:bidi="ar"/>
              </w:rPr>
              <w:t>3</w:t>
            </w:r>
            <w:r>
              <w:rPr>
                <w:rFonts w:hint="eastAsia"/>
                <w:color w:val="auto"/>
                <w:sz w:val="24"/>
                <w:szCs w:val="24"/>
                <w:highlight w:val="none"/>
                <w:lang w:bidi="ar"/>
              </w:rPr>
              <w:t>/d，</w:t>
            </w:r>
            <w:r>
              <w:rPr>
                <w:rFonts w:hint="eastAsia"/>
                <w:color w:val="auto"/>
                <w:sz w:val="24"/>
                <w:szCs w:val="24"/>
                <w:highlight w:val="none"/>
                <w:lang w:val="en-US" w:eastAsia="zh-CN" w:bidi="ar"/>
              </w:rPr>
              <w:t>剩余处理量为8</w:t>
            </w:r>
            <w:r>
              <w:rPr>
                <w:rFonts w:hint="eastAsia"/>
                <w:color w:val="auto"/>
                <w:sz w:val="24"/>
                <w:szCs w:val="24"/>
                <w:highlight w:val="none"/>
                <w:lang w:bidi="ar"/>
              </w:rPr>
              <w:t>000m</w:t>
            </w:r>
            <w:r>
              <w:rPr>
                <w:rFonts w:hint="eastAsia"/>
                <w:color w:val="auto"/>
                <w:sz w:val="24"/>
                <w:szCs w:val="24"/>
                <w:highlight w:val="none"/>
                <w:vertAlign w:val="superscript"/>
                <w:lang w:bidi="ar"/>
              </w:rPr>
              <w:t>3</w:t>
            </w:r>
            <w:r>
              <w:rPr>
                <w:rFonts w:hint="eastAsia"/>
                <w:color w:val="auto"/>
                <w:sz w:val="24"/>
                <w:szCs w:val="24"/>
                <w:highlight w:val="none"/>
                <w:lang w:bidi="ar"/>
              </w:rPr>
              <w:t>/d，</w:t>
            </w:r>
            <w:r>
              <w:rPr>
                <w:rFonts w:hint="default" w:ascii="Times New Roman" w:hAnsi="Times New Roman" w:eastAsia="宋体" w:cs="Times New Roman"/>
                <w:color w:val="auto"/>
                <w:sz w:val="24"/>
                <w:lang w:bidi="ar"/>
              </w:rPr>
              <w:t>采用“粗格栅及提升泵房+细格栅+沉砂池+MBR复合工艺+二沉池+超效沉淀池+次氯酸钠消毒”，处理后尾水经消毒后排入泾河，出水水质执行《陕西省黄河流域污水综合排放标准》（DB61/224-2018）表1中A标准。本项目位于泾河新城第二污水处理厂收水范围内，废水主要是生活污水</w:t>
            </w:r>
            <w:r>
              <w:rPr>
                <w:rFonts w:hint="eastAsia" w:cs="Times New Roman"/>
                <w:color w:val="auto"/>
                <w:sz w:val="24"/>
                <w:lang w:eastAsia="zh-CN" w:bidi="ar"/>
              </w:rPr>
              <w:t>、</w:t>
            </w:r>
            <w:r>
              <w:rPr>
                <w:rFonts w:hint="eastAsia"/>
                <w:color w:val="auto"/>
                <w:sz w:val="24"/>
                <w:highlight w:val="none"/>
                <w:lang w:val="en-US" w:eastAsia="zh-CN"/>
              </w:rPr>
              <w:t>清洗废水及</w:t>
            </w:r>
            <w:r>
              <w:rPr>
                <w:rFonts w:hint="eastAsia"/>
                <w:color w:val="auto"/>
                <w:sz w:val="24"/>
                <w:lang w:val="en-US" w:eastAsia="zh-CN"/>
              </w:rPr>
              <w:t>纯水</w:t>
            </w:r>
            <w:r>
              <w:rPr>
                <w:rFonts w:hint="default" w:ascii="Times New Roman" w:hAnsi="Times New Roman" w:eastAsia="宋体" w:cs="Times New Roman"/>
                <w:color w:val="auto"/>
                <w:sz w:val="24"/>
                <w:szCs w:val="24"/>
                <w:highlight w:val="none"/>
              </w:rPr>
              <w:t>制备过程产生的浓水</w:t>
            </w:r>
            <w:r>
              <w:rPr>
                <w:rFonts w:hint="default" w:ascii="Times New Roman" w:hAnsi="Times New Roman" w:eastAsia="宋体" w:cs="Times New Roman"/>
                <w:color w:val="auto"/>
                <w:sz w:val="24"/>
                <w:lang w:bidi="ar"/>
              </w:rPr>
              <w:t>，水质简单，污水水</w:t>
            </w:r>
            <w:r>
              <w:rPr>
                <w:rFonts w:hint="default" w:ascii="Times New Roman" w:hAnsi="Times New Roman" w:eastAsia="宋体" w:cs="Times New Roman"/>
                <w:color w:val="auto"/>
                <w:sz w:val="24"/>
                <w:highlight w:val="none"/>
                <w:lang w:bidi="ar"/>
              </w:rPr>
              <w:t>量仅为</w:t>
            </w:r>
            <w:r>
              <w:rPr>
                <w:rFonts w:hint="eastAsia" w:cs="Times New Roman"/>
                <w:color w:val="auto"/>
                <w:sz w:val="24"/>
                <w:highlight w:val="none"/>
                <w:lang w:val="en-US" w:eastAsia="zh-CN" w:bidi="ar"/>
              </w:rPr>
              <w:t>0.819</w:t>
            </w:r>
            <w:r>
              <w:rPr>
                <w:rFonts w:hint="default" w:ascii="Times New Roman" w:hAnsi="Times New Roman" w:eastAsia="宋体" w:cs="Times New Roman"/>
                <w:color w:val="auto"/>
                <w:sz w:val="24"/>
                <w:highlight w:val="none"/>
                <w:lang w:bidi="ar"/>
              </w:rPr>
              <w:t>m</w:t>
            </w:r>
            <w:r>
              <w:rPr>
                <w:rFonts w:hint="default" w:ascii="Times New Roman" w:hAnsi="Times New Roman" w:eastAsia="宋体" w:cs="Times New Roman"/>
                <w:color w:val="auto"/>
                <w:sz w:val="24"/>
                <w:highlight w:val="none"/>
                <w:vertAlign w:val="superscript"/>
                <w:lang w:bidi="ar"/>
              </w:rPr>
              <w:t>3</w:t>
            </w:r>
            <w:r>
              <w:rPr>
                <w:rFonts w:hint="default" w:ascii="Times New Roman" w:hAnsi="Times New Roman" w:eastAsia="宋体" w:cs="Times New Roman"/>
                <w:color w:val="auto"/>
                <w:sz w:val="24"/>
                <w:highlight w:val="none"/>
                <w:lang w:bidi="ar"/>
              </w:rPr>
              <w:t>/d，</w:t>
            </w:r>
            <w:r>
              <w:rPr>
                <w:rFonts w:hint="default" w:ascii="Times New Roman" w:hAnsi="Times New Roman" w:eastAsia="宋体" w:cs="Times New Roman"/>
                <w:color w:val="auto"/>
                <w:sz w:val="24"/>
                <w:lang w:bidi="ar"/>
              </w:rPr>
              <w:t>排放量较小，排入泾河新城第二污水处理厂后不会对其正常运行产生冲击，依托可行。</w:t>
            </w:r>
          </w:p>
          <w:p w14:paraId="4E764B26">
            <w:pPr>
              <w:numPr>
                <w:ilvl w:val="0"/>
                <w:numId w:val="0"/>
              </w:numPr>
              <w:adjustRightInd w:val="0"/>
              <w:snapToGrid w:val="0"/>
              <w:spacing w:line="360" w:lineRule="auto"/>
              <w:rPr>
                <w:rFonts w:hint="default" w:ascii="Times New Roman" w:hAnsi="Times New Roman" w:cs="Times New Roman"/>
                <w:b/>
                <w:bCs w:val="0"/>
                <w:color w:val="auto"/>
                <w:spacing w:val="0"/>
                <w:sz w:val="24"/>
                <w:szCs w:val="24"/>
                <w:lang w:val="en-US" w:eastAsia="zh-CN"/>
              </w:rPr>
            </w:pPr>
            <w:r>
              <w:rPr>
                <w:rFonts w:hint="eastAsia" w:ascii="Times New Roman" w:hAnsi="Times New Roman" w:cs="Times New Roman"/>
                <w:b/>
                <w:bCs w:val="0"/>
                <w:color w:val="auto"/>
                <w:spacing w:val="0"/>
                <w:sz w:val="24"/>
                <w:szCs w:val="24"/>
                <w:lang w:val="en-US" w:eastAsia="zh-CN"/>
              </w:rPr>
              <w:t>3、</w:t>
            </w:r>
            <w:r>
              <w:rPr>
                <w:rFonts w:hint="default" w:ascii="Times New Roman" w:hAnsi="Times New Roman" w:cs="Times New Roman"/>
                <w:b/>
                <w:bCs w:val="0"/>
                <w:color w:val="auto"/>
                <w:spacing w:val="0"/>
                <w:sz w:val="24"/>
                <w:szCs w:val="24"/>
                <w:lang w:val="en-US" w:eastAsia="zh-CN"/>
              </w:rPr>
              <w:t>噪声</w:t>
            </w:r>
          </w:p>
          <w:p w14:paraId="4764C671">
            <w:pPr>
              <w:numPr>
                <w:ilvl w:val="0"/>
                <w:numId w:val="0"/>
              </w:numPr>
              <w:adjustRightInd w:val="0"/>
              <w:snapToGrid w:val="0"/>
              <w:spacing w:line="360" w:lineRule="auto"/>
              <w:rPr>
                <w:rFonts w:hint="default" w:ascii="Times New Roman" w:hAnsi="Times New Roman" w:eastAsia="宋体" w:cs="Times New Roman"/>
                <w:b/>
                <w:bCs w:val="0"/>
                <w:color w:val="auto"/>
                <w:spacing w:val="0"/>
                <w:sz w:val="24"/>
                <w:szCs w:val="24"/>
                <w:lang w:val="en-US" w:eastAsia="zh-CN"/>
              </w:rPr>
            </w:pPr>
            <w:r>
              <w:rPr>
                <w:rFonts w:hint="eastAsia" w:ascii="Times New Roman" w:hAnsi="Times New Roman" w:eastAsia="宋体" w:cs="Times New Roman"/>
                <w:b/>
                <w:bCs w:val="0"/>
                <w:color w:val="auto"/>
                <w:spacing w:val="0"/>
                <w:sz w:val="24"/>
                <w:szCs w:val="24"/>
                <w:lang w:val="en-US" w:eastAsia="zh-CN"/>
              </w:rPr>
              <w:t>3.1</w:t>
            </w:r>
            <w:r>
              <w:rPr>
                <w:rFonts w:hint="default" w:ascii="Times New Roman" w:hAnsi="Times New Roman" w:eastAsia="宋体" w:cs="Times New Roman"/>
                <w:b/>
                <w:bCs w:val="0"/>
                <w:color w:val="auto"/>
                <w:spacing w:val="0"/>
                <w:sz w:val="24"/>
                <w:szCs w:val="24"/>
                <w:lang w:val="en-US" w:eastAsia="zh-CN"/>
              </w:rPr>
              <w:t>噪声源强</w:t>
            </w:r>
          </w:p>
          <w:p w14:paraId="67299F84">
            <w:pPr>
              <w:numPr>
                <w:ilvl w:val="0"/>
                <w:numId w:val="0"/>
              </w:numPr>
              <w:adjustRightInd w:val="0"/>
              <w:snapToGrid w:val="0"/>
              <w:spacing w:line="360" w:lineRule="auto"/>
              <w:ind w:firstLine="480" w:firstLineChars="200"/>
              <w:jc w:val="both"/>
              <w:rPr>
                <w:rFonts w:hint="default" w:ascii="Times New Roman" w:hAnsi="Times New Roman" w:cs="Times New Roman"/>
                <w:bCs/>
                <w:color w:val="auto"/>
                <w:spacing w:val="0"/>
                <w:sz w:val="24"/>
                <w:szCs w:val="24"/>
                <w:lang w:val="en-US" w:eastAsia="zh-CN"/>
              </w:rPr>
            </w:pPr>
            <w:r>
              <w:rPr>
                <w:color w:val="auto"/>
                <w:sz w:val="24"/>
              </w:rPr>
              <w:t>项目噪声主要是</w:t>
            </w:r>
            <w:r>
              <w:rPr>
                <w:rFonts w:hint="eastAsia"/>
                <w:color w:val="auto"/>
                <w:sz w:val="24"/>
                <w:lang w:val="en-US" w:eastAsia="zh-CN"/>
              </w:rPr>
              <w:t>生产</w:t>
            </w:r>
            <w:r>
              <w:rPr>
                <w:color w:val="auto"/>
                <w:sz w:val="24"/>
              </w:rPr>
              <w:t>设备运转时产生的设备噪声，主要设备为</w:t>
            </w:r>
            <w:r>
              <w:rPr>
                <w:rFonts w:hint="eastAsia"/>
                <w:color w:val="auto"/>
                <w:sz w:val="24"/>
                <w:lang w:val="en-US" w:eastAsia="zh-CN"/>
              </w:rPr>
              <w:t>精密视觉裁切机、卷材涂布机、伺服热压机</w:t>
            </w:r>
            <w:r>
              <w:rPr>
                <w:color w:val="auto"/>
                <w:sz w:val="24"/>
              </w:rPr>
              <w:t>等，坐标原点</w:t>
            </w:r>
            <w:r>
              <w:rPr>
                <w:rFonts w:hint="eastAsia"/>
                <w:color w:val="auto"/>
                <w:sz w:val="24"/>
              </w:rPr>
              <w:t>为</w:t>
            </w:r>
            <w:r>
              <w:rPr>
                <w:rFonts w:hint="eastAsia"/>
                <w:color w:val="auto"/>
                <w:sz w:val="24"/>
                <w:lang w:val="en-US" w:eastAsia="zh-CN"/>
              </w:rPr>
              <w:t>项目</w:t>
            </w:r>
            <w:r>
              <w:rPr>
                <w:rFonts w:hint="eastAsia"/>
                <w:color w:val="auto"/>
                <w:sz w:val="24"/>
              </w:rPr>
              <w:t>西南角（东经108.95768702°，北纬34.53577504</w:t>
            </w:r>
            <w:r>
              <w:rPr>
                <w:rFonts w:hint="eastAsia"/>
                <w:color w:val="auto"/>
                <w:sz w:val="24"/>
                <w:lang w:val="en-US" w:eastAsia="zh-CN"/>
              </w:rPr>
              <w:t>°</w:t>
            </w:r>
            <w:r>
              <w:rPr>
                <w:rFonts w:hint="eastAsia"/>
                <w:color w:val="auto"/>
                <w:sz w:val="24"/>
              </w:rPr>
              <w:t>）</w:t>
            </w:r>
            <w:r>
              <w:rPr>
                <w:color w:val="auto"/>
                <w:sz w:val="24"/>
              </w:rPr>
              <w:t>，</w:t>
            </w:r>
            <w:r>
              <w:rPr>
                <w:rFonts w:hint="eastAsia"/>
                <w:color w:val="auto"/>
                <w:sz w:val="24"/>
              </w:rPr>
              <w:t>主要</w:t>
            </w:r>
            <w:r>
              <w:rPr>
                <w:color w:val="auto"/>
                <w:sz w:val="24"/>
              </w:rPr>
              <w:t>生产设备噪声源强见下表。</w:t>
            </w:r>
          </w:p>
        </w:tc>
      </w:tr>
    </w:tbl>
    <w:p w14:paraId="160548BA">
      <w:pPr>
        <w:adjustRightInd w:val="0"/>
        <w:snapToGrid w:val="0"/>
        <w:spacing w:line="360" w:lineRule="auto"/>
        <w:rPr>
          <w:rFonts w:hint="default" w:ascii="Times New Roman" w:hAnsi="Times New Roman" w:cs="Times New Roman"/>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6"/>
        <w:tblW w:w="136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40"/>
        <w:gridCol w:w="13433"/>
      </w:tblGrid>
      <w:tr w14:paraId="44880D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51" w:hRule="atLeast"/>
          <w:jc w:val="center"/>
        </w:trPr>
        <w:tc>
          <w:tcPr>
            <w:tcW w:w="240" w:type="dxa"/>
            <w:noWrap w:val="0"/>
            <w:tcMar>
              <w:left w:w="28" w:type="dxa"/>
              <w:right w:w="28" w:type="dxa"/>
            </w:tcMar>
            <w:vAlign w:val="center"/>
          </w:tcPr>
          <w:p w14:paraId="1E50813A">
            <w:pPr>
              <w:pStyle w:val="23"/>
              <w:adjustRightInd w:val="0"/>
              <w:snapToGrid w:val="0"/>
              <w:spacing w:before="0" w:beforeAutospacing="0" w:after="0" w:afterAutospacing="0"/>
              <w:jc w:val="center"/>
              <w:rPr>
                <w:rFonts w:hint="default" w:ascii="Times New Roman" w:hAnsi="Times New Roman" w:cs="Times New Roman"/>
                <w:bCs/>
                <w:kern w:val="2"/>
                <w:sz w:val="24"/>
                <w:szCs w:val="24"/>
              </w:rPr>
            </w:pPr>
          </w:p>
        </w:tc>
        <w:tc>
          <w:tcPr>
            <w:tcW w:w="13433" w:type="dxa"/>
            <w:noWrap w:val="0"/>
            <w:vAlign w:val="top"/>
          </w:tcPr>
          <w:p w14:paraId="4AFCBA6B">
            <w:pPr>
              <w:spacing w:line="240" w:lineRule="auto"/>
              <w:jc w:val="center"/>
              <w:rPr>
                <w:rFonts w:hint="default" w:ascii="Times New Roman" w:hAnsi="Times New Roman" w:eastAsia="宋体" w:cs="Times New Roman"/>
                <w:b/>
                <w:color w:val="auto"/>
                <w:kern w:val="0"/>
                <w:szCs w:val="21"/>
                <w:lang w:val="en-US" w:eastAsia="zh-CN"/>
              </w:rPr>
            </w:pPr>
            <w:r>
              <w:rPr>
                <w:b/>
                <w:bCs/>
                <w:color w:val="auto"/>
                <w:sz w:val="24"/>
              </w:rPr>
              <w:t>表4-</w:t>
            </w:r>
            <w:r>
              <w:rPr>
                <w:rFonts w:hint="eastAsia"/>
                <w:b/>
                <w:bCs/>
                <w:color w:val="auto"/>
                <w:sz w:val="24"/>
                <w:lang w:val="en-US" w:eastAsia="zh-CN"/>
              </w:rPr>
              <w:t>9</w:t>
            </w:r>
            <w:r>
              <w:rPr>
                <w:b/>
                <w:bCs/>
                <w:color w:val="auto"/>
                <w:sz w:val="24"/>
              </w:rPr>
              <w:t xml:space="preserve">  </w:t>
            </w:r>
            <w:r>
              <w:rPr>
                <w:rFonts w:hint="eastAsia"/>
                <w:b/>
                <w:bCs/>
                <w:color w:val="auto"/>
                <w:sz w:val="24"/>
              </w:rPr>
              <w:t>本项目</w:t>
            </w:r>
            <w:r>
              <w:rPr>
                <w:b/>
                <w:bCs/>
                <w:color w:val="auto"/>
                <w:sz w:val="24"/>
              </w:rPr>
              <w:t>噪声源强调查清单</w:t>
            </w:r>
            <w:r>
              <w:rPr>
                <w:rFonts w:hint="eastAsia"/>
                <w:b/>
                <w:bCs/>
                <w:color w:val="auto"/>
                <w:sz w:val="24"/>
              </w:rPr>
              <w:t>（室内）</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605"/>
              <w:gridCol w:w="988"/>
              <w:gridCol w:w="1754"/>
              <w:gridCol w:w="691"/>
              <w:gridCol w:w="780"/>
              <w:gridCol w:w="735"/>
              <w:gridCol w:w="1064"/>
              <w:gridCol w:w="1155"/>
              <w:gridCol w:w="840"/>
              <w:gridCol w:w="1080"/>
              <w:gridCol w:w="1247"/>
              <w:gridCol w:w="1278"/>
            </w:tblGrid>
            <w:tr w14:paraId="372AB5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1" w:hRule="atLeast"/>
                <w:jc w:val="center"/>
              </w:trPr>
              <w:tc>
                <w:tcPr>
                  <w:tcW w:w="1605" w:type="dxa"/>
                  <w:vMerge w:val="restart"/>
                  <w:tcBorders>
                    <w:tl2br w:val="nil"/>
                    <w:tr2bl w:val="nil"/>
                  </w:tcBorders>
                  <w:noWrap w:val="0"/>
                  <w:vAlign w:val="center"/>
                </w:tcPr>
                <w:p w14:paraId="69BB9C7E">
                  <w:pPr>
                    <w:jc w:val="center"/>
                    <w:rPr>
                      <w:b/>
                      <w:bCs/>
                      <w:color w:val="auto"/>
                      <w:szCs w:val="21"/>
                    </w:rPr>
                  </w:pPr>
                  <w:r>
                    <w:rPr>
                      <w:b/>
                      <w:bCs/>
                      <w:color w:val="auto"/>
                      <w:szCs w:val="21"/>
                    </w:rPr>
                    <w:t>声源名称</w:t>
                  </w:r>
                </w:p>
              </w:tc>
              <w:tc>
                <w:tcPr>
                  <w:tcW w:w="988" w:type="dxa"/>
                  <w:vMerge w:val="restart"/>
                  <w:tcBorders>
                    <w:tl2br w:val="nil"/>
                    <w:tr2bl w:val="nil"/>
                  </w:tcBorders>
                  <w:noWrap w:val="0"/>
                  <w:vAlign w:val="center"/>
                </w:tcPr>
                <w:p w14:paraId="1BF496E1">
                  <w:pPr>
                    <w:jc w:val="center"/>
                    <w:rPr>
                      <w:rFonts w:eastAsia="Times New Roman"/>
                      <w:b/>
                      <w:bCs/>
                      <w:color w:val="auto"/>
                      <w:szCs w:val="21"/>
                      <w:lang w:bidi="zh-CN"/>
                    </w:rPr>
                  </w:pPr>
                  <w:r>
                    <w:rPr>
                      <w:b/>
                      <w:bCs/>
                      <w:color w:val="auto"/>
                      <w:szCs w:val="21"/>
                    </w:rPr>
                    <w:t>声源源强dB（A）</w:t>
                  </w:r>
                </w:p>
              </w:tc>
              <w:tc>
                <w:tcPr>
                  <w:tcW w:w="0" w:type="auto"/>
                  <w:vMerge w:val="restart"/>
                  <w:tcBorders>
                    <w:tl2br w:val="nil"/>
                    <w:tr2bl w:val="nil"/>
                  </w:tcBorders>
                  <w:noWrap w:val="0"/>
                  <w:vAlign w:val="center"/>
                </w:tcPr>
                <w:p w14:paraId="2712AFA5">
                  <w:pPr>
                    <w:adjustRightInd w:val="0"/>
                    <w:snapToGrid w:val="0"/>
                    <w:jc w:val="center"/>
                    <w:rPr>
                      <w:rFonts w:eastAsia="Times New Roman"/>
                      <w:b/>
                      <w:bCs/>
                      <w:color w:val="auto"/>
                      <w:szCs w:val="21"/>
                      <w:lang w:bidi="zh-CN"/>
                    </w:rPr>
                  </w:pPr>
                  <w:r>
                    <w:rPr>
                      <w:b/>
                      <w:bCs/>
                      <w:color w:val="auto"/>
                      <w:szCs w:val="21"/>
                    </w:rPr>
                    <w:t>声源控制</w:t>
                  </w:r>
                  <w:r>
                    <w:rPr>
                      <w:rFonts w:hint="eastAsia"/>
                      <w:b/>
                      <w:bCs/>
                      <w:color w:val="auto"/>
                      <w:szCs w:val="21"/>
                      <w:lang w:eastAsia="zh-CN"/>
                    </w:rPr>
                    <w:t>措施</w:t>
                  </w:r>
                </w:p>
              </w:tc>
              <w:tc>
                <w:tcPr>
                  <w:tcW w:w="2206" w:type="dxa"/>
                  <w:gridSpan w:val="3"/>
                  <w:tcBorders>
                    <w:tl2br w:val="nil"/>
                    <w:tr2bl w:val="nil"/>
                  </w:tcBorders>
                  <w:noWrap w:val="0"/>
                  <w:vAlign w:val="center"/>
                </w:tcPr>
                <w:p w14:paraId="4BDE0FAD">
                  <w:pPr>
                    <w:jc w:val="center"/>
                    <w:rPr>
                      <w:b/>
                      <w:bCs/>
                      <w:color w:val="auto"/>
                      <w:szCs w:val="21"/>
                    </w:rPr>
                  </w:pPr>
                  <w:r>
                    <w:rPr>
                      <w:b/>
                      <w:bCs/>
                      <w:color w:val="auto"/>
                      <w:szCs w:val="21"/>
                    </w:rPr>
                    <w:t>空间相对位置/m</w:t>
                  </w:r>
                </w:p>
              </w:tc>
              <w:tc>
                <w:tcPr>
                  <w:tcW w:w="1064" w:type="dxa"/>
                  <w:vMerge w:val="restart"/>
                  <w:tcBorders>
                    <w:tl2br w:val="nil"/>
                    <w:tr2bl w:val="nil"/>
                  </w:tcBorders>
                  <w:noWrap w:val="0"/>
                  <w:vAlign w:val="center"/>
                </w:tcPr>
                <w:p w14:paraId="5A289DA9">
                  <w:pPr>
                    <w:adjustRightInd w:val="0"/>
                    <w:snapToGrid w:val="0"/>
                    <w:jc w:val="center"/>
                    <w:rPr>
                      <w:rFonts w:eastAsia="Times New Roman"/>
                      <w:b/>
                      <w:bCs/>
                      <w:color w:val="auto"/>
                      <w:szCs w:val="21"/>
                      <w:lang w:bidi="zh-CN"/>
                    </w:rPr>
                  </w:pPr>
                  <w:r>
                    <w:rPr>
                      <w:rFonts w:eastAsia="Times New Roman"/>
                      <w:b/>
                      <w:bCs/>
                      <w:color w:val="auto"/>
                      <w:szCs w:val="21"/>
                      <w:lang w:bidi="zh-CN"/>
                    </w:rPr>
                    <w:t>距室内边界距离</w:t>
                  </w:r>
                  <w:r>
                    <w:rPr>
                      <w:b/>
                      <w:bCs/>
                      <w:color w:val="auto"/>
                      <w:szCs w:val="21"/>
                    </w:rPr>
                    <w:t>/m</w:t>
                  </w:r>
                </w:p>
              </w:tc>
              <w:tc>
                <w:tcPr>
                  <w:tcW w:w="1155" w:type="dxa"/>
                  <w:vMerge w:val="restart"/>
                  <w:tcBorders>
                    <w:tl2br w:val="nil"/>
                    <w:tr2bl w:val="nil"/>
                  </w:tcBorders>
                  <w:noWrap w:val="0"/>
                  <w:vAlign w:val="center"/>
                </w:tcPr>
                <w:p w14:paraId="555BE6DB">
                  <w:pPr>
                    <w:adjustRightInd w:val="0"/>
                    <w:snapToGrid w:val="0"/>
                    <w:jc w:val="center"/>
                    <w:rPr>
                      <w:rFonts w:eastAsia="Times New Roman"/>
                      <w:b/>
                      <w:bCs/>
                      <w:color w:val="auto"/>
                      <w:szCs w:val="21"/>
                      <w:lang w:bidi="zh-CN"/>
                    </w:rPr>
                  </w:pPr>
                  <w:r>
                    <w:rPr>
                      <w:b/>
                      <w:bCs/>
                      <w:color w:val="auto"/>
                      <w:szCs w:val="21"/>
                    </w:rPr>
                    <w:t>室内边界声级/dB（A）</w:t>
                  </w:r>
                </w:p>
              </w:tc>
              <w:tc>
                <w:tcPr>
                  <w:tcW w:w="840" w:type="dxa"/>
                  <w:vMerge w:val="restart"/>
                  <w:tcBorders>
                    <w:tl2br w:val="nil"/>
                    <w:tr2bl w:val="nil"/>
                  </w:tcBorders>
                  <w:noWrap w:val="0"/>
                  <w:vAlign w:val="center"/>
                </w:tcPr>
                <w:p w14:paraId="54029D88">
                  <w:pPr>
                    <w:adjustRightInd w:val="0"/>
                    <w:snapToGrid w:val="0"/>
                    <w:jc w:val="center"/>
                    <w:rPr>
                      <w:rFonts w:eastAsia="Times New Roman"/>
                      <w:b/>
                      <w:bCs/>
                      <w:color w:val="auto"/>
                      <w:szCs w:val="21"/>
                      <w:lang w:bidi="zh-CN"/>
                    </w:rPr>
                  </w:pPr>
                  <w:r>
                    <w:rPr>
                      <w:rFonts w:eastAsia="Times New Roman"/>
                      <w:b/>
                      <w:bCs/>
                      <w:color w:val="auto"/>
                      <w:szCs w:val="21"/>
                      <w:lang w:bidi="zh-CN"/>
                    </w:rPr>
                    <w:t>运行</w:t>
                  </w:r>
                </w:p>
                <w:p w14:paraId="115B05A4">
                  <w:pPr>
                    <w:adjustRightInd w:val="0"/>
                    <w:snapToGrid w:val="0"/>
                    <w:jc w:val="center"/>
                    <w:rPr>
                      <w:b/>
                      <w:bCs/>
                      <w:color w:val="auto"/>
                      <w:szCs w:val="21"/>
                      <w:lang w:bidi="zh-CN"/>
                    </w:rPr>
                  </w:pPr>
                  <w:r>
                    <w:rPr>
                      <w:rFonts w:eastAsia="Times New Roman"/>
                      <w:b/>
                      <w:bCs/>
                      <w:color w:val="auto"/>
                      <w:szCs w:val="21"/>
                      <w:lang w:bidi="zh-CN"/>
                    </w:rPr>
                    <w:t>时段</w:t>
                  </w:r>
                </w:p>
              </w:tc>
              <w:tc>
                <w:tcPr>
                  <w:tcW w:w="1080" w:type="dxa"/>
                  <w:vMerge w:val="restart"/>
                  <w:tcBorders>
                    <w:tl2br w:val="nil"/>
                    <w:tr2bl w:val="nil"/>
                  </w:tcBorders>
                  <w:noWrap w:val="0"/>
                  <w:vAlign w:val="center"/>
                </w:tcPr>
                <w:p w14:paraId="2013C66A">
                  <w:pPr>
                    <w:adjustRightInd w:val="0"/>
                    <w:snapToGrid w:val="0"/>
                    <w:jc w:val="center"/>
                    <w:rPr>
                      <w:b/>
                      <w:bCs/>
                      <w:color w:val="auto"/>
                      <w:szCs w:val="21"/>
                    </w:rPr>
                  </w:pPr>
                  <w:r>
                    <w:rPr>
                      <w:b/>
                      <w:bCs/>
                      <w:color w:val="auto"/>
                      <w:szCs w:val="21"/>
                    </w:rPr>
                    <w:t>建筑物插入损失/dB（A）</w:t>
                  </w:r>
                </w:p>
              </w:tc>
              <w:tc>
                <w:tcPr>
                  <w:tcW w:w="2525" w:type="dxa"/>
                  <w:gridSpan w:val="2"/>
                  <w:tcBorders>
                    <w:tl2br w:val="nil"/>
                    <w:tr2bl w:val="nil"/>
                  </w:tcBorders>
                  <w:noWrap w:val="0"/>
                  <w:vAlign w:val="center"/>
                </w:tcPr>
                <w:p w14:paraId="760B1FDF">
                  <w:pPr>
                    <w:adjustRightInd w:val="0"/>
                    <w:snapToGrid w:val="0"/>
                    <w:jc w:val="center"/>
                    <w:rPr>
                      <w:b/>
                      <w:bCs/>
                      <w:color w:val="auto"/>
                      <w:szCs w:val="21"/>
                    </w:rPr>
                  </w:pPr>
                  <w:r>
                    <w:rPr>
                      <w:b/>
                      <w:bCs/>
                      <w:color w:val="auto"/>
                      <w:szCs w:val="21"/>
                    </w:rPr>
                    <w:t>建筑物外噪声</w:t>
                  </w:r>
                </w:p>
              </w:tc>
            </w:tr>
            <w:tr w14:paraId="418AF2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10" w:hRule="atLeast"/>
                <w:jc w:val="center"/>
              </w:trPr>
              <w:tc>
                <w:tcPr>
                  <w:tcW w:w="1605" w:type="dxa"/>
                  <w:vMerge w:val="continue"/>
                  <w:tcBorders>
                    <w:tl2br w:val="nil"/>
                    <w:tr2bl w:val="nil"/>
                  </w:tcBorders>
                  <w:noWrap w:val="0"/>
                  <w:vAlign w:val="center"/>
                </w:tcPr>
                <w:p w14:paraId="389D09AB">
                  <w:pPr>
                    <w:adjustRightInd w:val="0"/>
                    <w:snapToGrid w:val="0"/>
                    <w:jc w:val="center"/>
                    <w:rPr>
                      <w:rFonts w:eastAsia="Times New Roman"/>
                      <w:b/>
                      <w:bCs/>
                      <w:color w:val="auto"/>
                      <w:szCs w:val="21"/>
                      <w:lang w:val="zh-CN" w:bidi="zh-CN"/>
                    </w:rPr>
                  </w:pPr>
                </w:p>
              </w:tc>
              <w:tc>
                <w:tcPr>
                  <w:tcW w:w="988" w:type="dxa"/>
                  <w:vMerge w:val="continue"/>
                  <w:tcBorders>
                    <w:tl2br w:val="nil"/>
                    <w:tr2bl w:val="nil"/>
                  </w:tcBorders>
                  <w:noWrap w:val="0"/>
                  <w:vAlign w:val="center"/>
                </w:tcPr>
                <w:p w14:paraId="2E995F53">
                  <w:pPr>
                    <w:jc w:val="center"/>
                    <w:rPr>
                      <w:rFonts w:eastAsia="Times New Roman"/>
                      <w:b/>
                      <w:bCs/>
                      <w:color w:val="auto"/>
                      <w:szCs w:val="21"/>
                      <w:lang w:bidi="zh-CN"/>
                    </w:rPr>
                  </w:pPr>
                </w:p>
              </w:tc>
              <w:tc>
                <w:tcPr>
                  <w:tcW w:w="0" w:type="auto"/>
                  <w:vMerge w:val="continue"/>
                  <w:tcBorders>
                    <w:tl2br w:val="nil"/>
                    <w:tr2bl w:val="nil"/>
                  </w:tcBorders>
                  <w:noWrap w:val="0"/>
                  <w:vAlign w:val="center"/>
                </w:tcPr>
                <w:p w14:paraId="78BC1391">
                  <w:pPr>
                    <w:adjustRightInd w:val="0"/>
                    <w:snapToGrid w:val="0"/>
                    <w:jc w:val="center"/>
                    <w:rPr>
                      <w:rFonts w:eastAsia="Times New Roman"/>
                      <w:b/>
                      <w:bCs/>
                      <w:color w:val="auto"/>
                      <w:szCs w:val="21"/>
                      <w:lang w:bidi="zh-CN"/>
                    </w:rPr>
                  </w:pPr>
                </w:p>
              </w:tc>
              <w:tc>
                <w:tcPr>
                  <w:tcW w:w="691" w:type="dxa"/>
                  <w:tcBorders>
                    <w:tl2br w:val="nil"/>
                    <w:tr2bl w:val="nil"/>
                  </w:tcBorders>
                  <w:noWrap w:val="0"/>
                  <w:vAlign w:val="center"/>
                </w:tcPr>
                <w:p w14:paraId="28905CE8">
                  <w:pPr>
                    <w:adjustRightInd w:val="0"/>
                    <w:snapToGrid w:val="0"/>
                    <w:jc w:val="center"/>
                    <w:rPr>
                      <w:rFonts w:eastAsia="Times New Roman"/>
                      <w:b/>
                      <w:bCs/>
                      <w:color w:val="auto"/>
                      <w:szCs w:val="21"/>
                      <w:lang w:bidi="zh-CN"/>
                    </w:rPr>
                  </w:pPr>
                  <w:r>
                    <w:rPr>
                      <w:rFonts w:eastAsia="Times New Roman"/>
                      <w:b/>
                      <w:bCs/>
                      <w:color w:val="auto"/>
                      <w:szCs w:val="21"/>
                      <w:lang w:bidi="zh-CN"/>
                    </w:rPr>
                    <w:t>X</w:t>
                  </w:r>
                </w:p>
              </w:tc>
              <w:tc>
                <w:tcPr>
                  <w:tcW w:w="780" w:type="dxa"/>
                  <w:tcBorders>
                    <w:tl2br w:val="nil"/>
                    <w:tr2bl w:val="nil"/>
                  </w:tcBorders>
                  <w:noWrap w:val="0"/>
                  <w:vAlign w:val="center"/>
                </w:tcPr>
                <w:p w14:paraId="37370E4C">
                  <w:pPr>
                    <w:adjustRightInd w:val="0"/>
                    <w:snapToGrid w:val="0"/>
                    <w:jc w:val="center"/>
                    <w:rPr>
                      <w:rFonts w:eastAsia="Times New Roman"/>
                      <w:b/>
                      <w:bCs/>
                      <w:color w:val="auto"/>
                      <w:szCs w:val="21"/>
                      <w:lang w:bidi="zh-CN"/>
                    </w:rPr>
                  </w:pPr>
                  <w:r>
                    <w:rPr>
                      <w:rFonts w:eastAsia="Times New Roman"/>
                      <w:b/>
                      <w:bCs/>
                      <w:color w:val="auto"/>
                      <w:szCs w:val="21"/>
                      <w:lang w:bidi="zh-CN"/>
                    </w:rPr>
                    <w:t>Y</w:t>
                  </w:r>
                </w:p>
              </w:tc>
              <w:tc>
                <w:tcPr>
                  <w:tcW w:w="735" w:type="dxa"/>
                  <w:tcBorders>
                    <w:tl2br w:val="nil"/>
                    <w:tr2bl w:val="nil"/>
                  </w:tcBorders>
                  <w:noWrap w:val="0"/>
                  <w:vAlign w:val="center"/>
                </w:tcPr>
                <w:p w14:paraId="30CB3A02">
                  <w:pPr>
                    <w:adjustRightInd w:val="0"/>
                    <w:snapToGrid w:val="0"/>
                    <w:jc w:val="center"/>
                    <w:rPr>
                      <w:rFonts w:eastAsia="Times New Roman"/>
                      <w:b/>
                      <w:bCs/>
                      <w:color w:val="auto"/>
                      <w:szCs w:val="21"/>
                      <w:lang w:bidi="zh-CN"/>
                    </w:rPr>
                  </w:pPr>
                  <w:r>
                    <w:rPr>
                      <w:rFonts w:eastAsia="Times New Roman"/>
                      <w:b/>
                      <w:bCs/>
                      <w:color w:val="auto"/>
                      <w:szCs w:val="21"/>
                      <w:lang w:bidi="zh-CN"/>
                    </w:rPr>
                    <w:t>Z</w:t>
                  </w:r>
                </w:p>
              </w:tc>
              <w:tc>
                <w:tcPr>
                  <w:tcW w:w="1064" w:type="dxa"/>
                  <w:vMerge w:val="continue"/>
                  <w:tcBorders>
                    <w:tl2br w:val="nil"/>
                    <w:tr2bl w:val="nil"/>
                  </w:tcBorders>
                  <w:noWrap w:val="0"/>
                  <w:vAlign w:val="center"/>
                </w:tcPr>
                <w:p w14:paraId="19513F0E">
                  <w:pPr>
                    <w:adjustRightInd w:val="0"/>
                    <w:snapToGrid w:val="0"/>
                    <w:jc w:val="center"/>
                    <w:rPr>
                      <w:rFonts w:eastAsia="Times New Roman"/>
                      <w:b/>
                      <w:bCs/>
                      <w:color w:val="auto"/>
                      <w:szCs w:val="21"/>
                      <w:lang w:bidi="zh-CN"/>
                    </w:rPr>
                  </w:pPr>
                </w:p>
              </w:tc>
              <w:tc>
                <w:tcPr>
                  <w:tcW w:w="1155" w:type="dxa"/>
                  <w:vMerge w:val="continue"/>
                  <w:tcBorders>
                    <w:tl2br w:val="nil"/>
                    <w:tr2bl w:val="nil"/>
                  </w:tcBorders>
                  <w:noWrap w:val="0"/>
                  <w:vAlign w:val="center"/>
                </w:tcPr>
                <w:p w14:paraId="291FBC48">
                  <w:pPr>
                    <w:adjustRightInd w:val="0"/>
                    <w:snapToGrid w:val="0"/>
                    <w:jc w:val="center"/>
                    <w:rPr>
                      <w:rFonts w:eastAsia="Times New Roman"/>
                      <w:b/>
                      <w:bCs/>
                      <w:color w:val="auto"/>
                      <w:szCs w:val="21"/>
                      <w:lang w:bidi="zh-CN"/>
                    </w:rPr>
                  </w:pPr>
                </w:p>
              </w:tc>
              <w:tc>
                <w:tcPr>
                  <w:tcW w:w="840" w:type="dxa"/>
                  <w:vMerge w:val="continue"/>
                  <w:tcBorders>
                    <w:tl2br w:val="nil"/>
                    <w:tr2bl w:val="nil"/>
                  </w:tcBorders>
                  <w:noWrap w:val="0"/>
                  <w:vAlign w:val="center"/>
                </w:tcPr>
                <w:p w14:paraId="22344DD7">
                  <w:pPr>
                    <w:adjustRightInd w:val="0"/>
                    <w:snapToGrid w:val="0"/>
                    <w:jc w:val="center"/>
                    <w:rPr>
                      <w:rFonts w:eastAsia="Times New Roman"/>
                      <w:b/>
                      <w:bCs/>
                      <w:color w:val="auto"/>
                      <w:szCs w:val="21"/>
                      <w:lang w:bidi="zh-CN"/>
                    </w:rPr>
                  </w:pPr>
                </w:p>
              </w:tc>
              <w:tc>
                <w:tcPr>
                  <w:tcW w:w="1080" w:type="dxa"/>
                  <w:vMerge w:val="continue"/>
                  <w:tcBorders>
                    <w:tl2br w:val="nil"/>
                    <w:tr2bl w:val="nil"/>
                  </w:tcBorders>
                  <w:noWrap w:val="0"/>
                  <w:vAlign w:val="center"/>
                </w:tcPr>
                <w:p w14:paraId="4D3AC482">
                  <w:pPr>
                    <w:jc w:val="center"/>
                    <w:rPr>
                      <w:b/>
                      <w:bCs/>
                      <w:color w:val="auto"/>
                      <w:szCs w:val="21"/>
                    </w:rPr>
                  </w:pPr>
                </w:p>
              </w:tc>
              <w:tc>
                <w:tcPr>
                  <w:tcW w:w="1247" w:type="dxa"/>
                  <w:tcBorders>
                    <w:tl2br w:val="nil"/>
                    <w:tr2bl w:val="nil"/>
                  </w:tcBorders>
                  <w:noWrap w:val="0"/>
                  <w:vAlign w:val="center"/>
                </w:tcPr>
                <w:p w14:paraId="36DF316B">
                  <w:pPr>
                    <w:adjustRightInd w:val="0"/>
                    <w:snapToGrid w:val="0"/>
                    <w:jc w:val="center"/>
                    <w:rPr>
                      <w:rFonts w:eastAsia="Times New Roman"/>
                      <w:b/>
                      <w:bCs/>
                      <w:color w:val="auto"/>
                      <w:szCs w:val="21"/>
                      <w:lang w:bidi="zh-CN"/>
                    </w:rPr>
                  </w:pPr>
                  <w:r>
                    <w:rPr>
                      <w:b/>
                      <w:bCs/>
                      <w:color w:val="auto"/>
                      <w:szCs w:val="21"/>
                    </w:rPr>
                    <w:t>声压级/dB（A）</w:t>
                  </w:r>
                </w:p>
              </w:tc>
              <w:tc>
                <w:tcPr>
                  <w:tcW w:w="0" w:type="auto"/>
                  <w:tcBorders>
                    <w:tl2br w:val="nil"/>
                    <w:tr2bl w:val="nil"/>
                  </w:tcBorders>
                  <w:noWrap w:val="0"/>
                  <w:vAlign w:val="center"/>
                </w:tcPr>
                <w:p w14:paraId="2F316B16">
                  <w:pPr>
                    <w:jc w:val="center"/>
                    <w:rPr>
                      <w:color w:val="auto"/>
                      <w:szCs w:val="21"/>
                    </w:rPr>
                  </w:pPr>
                  <w:r>
                    <w:rPr>
                      <w:b/>
                      <w:bCs/>
                      <w:color w:val="auto"/>
                      <w:szCs w:val="21"/>
                    </w:rPr>
                    <w:t>建筑物外距离</w:t>
                  </w:r>
                </w:p>
              </w:tc>
            </w:tr>
            <w:tr w14:paraId="375C8B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1605" w:type="dxa"/>
                  <w:tcBorders>
                    <w:tl2br w:val="nil"/>
                    <w:tr2bl w:val="nil"/>
                  </w:tcBorders>
                  <w:noWrap w:val="0"/>
                  <w:vAlign w:val="center"/>
                </w:tcPr>
                <w:p w14:paraId="768FE9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Cs w:val="21"/>
                      <w:lang w:val="en-US" w:eastAsia="zh-CN"/>
                    </w:rPr>
                  </w:pPr>
                  <w:r>
                    <w:rPr>
                      <w:rFonts w:hint="eastAsia" w:ascii="Times New Roman" w:hAnsi="宋体" w:eastAsia="宋体" w:cs="Times New Roman"/>
                      <w:color w:val="auto"/>
                      <w:szCs w:val="21"/>
                      <w:lang w:val="en-US" w:eastAsia="zh-CN"/>
                    </w:rPr>
                    <w:t>卷材涂布机1</w:t>
                  </w:r>
                </w:p>
              </w:tc>
              <w:tc>
                <w:tcPr>
                  <w:tcW w:w="988" w:type="dxa"/>
                  <w:tcBorders>
                    <w:tl2br w:val="nil"/>
                    <w:tr2bl w:val="nil"/>
                  </w:tcBorders>
                  <w:noWrap w:val="0"/>
                  <w:vAlign w:val="center"/>
                </w:tcPr>
                <w:p w14:paraId="37E7D45C">
                  <w:pPr>
                    <w:jc w:val="center"/>
                    <w:rPr>
                      <w:rFonts w:hint="eastAsia"/>
                      <w:color w:val="auto"/>
                      <w:szCs w:val="21"/>
                      <w:lang w:val="en-US" w:eastAsia="zh-CN"/>
                    </w:rPr>
                  </w:pPr>
                  <w:r>
                    <w:rPr>
                      <w:rFonts w:hint="eastAsia"/>
                      <w:color w:val="auto"/>
                      <w:szCs w:val="21"/>
                      <w:lang w:val="en-US" w:eastAsia="zh-CN"/>
                    </w:rPr>
                    <w:t>70</w:t>
                  </w:r>
                </w:p>
              </w:tc>
              <w:tc>
                <w:tcPr>
                  <w:tcW w:w="0" w:type="auto"/>
                  <w:vMerge w:val="restart"/>
                  <w:tcBorders>
                    <w:tl2br w:val="nil"/>
                    <w:tr2bl w:val="nil"/>
                  </w:tcBorders>
                  <w:noWrap w:val="0"/>
                  <w:vAlign w:val="center"/>
                </w:tcPr>
                <w:p w14:paraId="3F8B4E68">
                  <w:pPr>
                    <w:jc w:val="center"/>
                    <w:rPr>
                      <w:color w:val="auto"/>
                      <w:szCs w:val="21"/>
                    </w:rPr>
                  </w:pPr>
                  <w:r>
                    <w:rPr>
                      <w:color w:val="auto"/>
                      <w:szCs w:val="21"/>
                    </w:rPr>
                    <w:t>基础减振、厂房隔声</w:t>
                  </w:r>
                </w:p>
              </w:tc>
              <w:tc>
                <w:tcPr>
                  <w:tcW w:w="691" w:type="dxa"/>
                  <w:tcBorders>
                    <w:tl2br w:val="nil"/>
                    <w:tr2bl w:val="nil"/>
                  </w:tcBorders>
                  <w:noWrap w:val="0"/>
                  <w:vAlign w:val="center"/>
                </w:tcPr>
                <w:p w14:paraId="68C61CEF">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11</w:t>
                  </w:r>
                </w:p>
              </w:tc>
              <w:tc>
                <w:tcPr>
                  <w:tcW w:w="780" w:type="dxa"/>
                  <w:tcBorders>
                    <w:tl2br w:val="nil"/>
                    <w:tr2bl w:val="nil"/>
                  </w:tcBorders>
                  <w:noWrap w:val="0"/>
                  <w:vAlign w:val="center"/>
                </w:tcPr>
                <w:p w14:paraId="35D2E096">
                  <w:pPr>
                    <w:widowControl/>
                    <w:adjustRightInd w:val="0"/>
                    <w:snapToGrid w:val="0"/>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w:t>
                  </w:r>
                </w:p>
              </w:tc>
              <w:tc>
                <w:tcPr>
                  <w:tcW w:w="735" w:type="dxa"/>
                  <w:tcBorders>
                    <w:tl2br w:val="nil"/>
                    <w:tr2bl w:val="nil"/>
                  </w:tcBorders>
                  <w:noWrap w:val="0"/>
                  <w:vAlign w:val="center"/>
                </w:tcPr>
                <w:p w14:paraId="62ADBFAB">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064" w:type="dxa"/>
                  <w:tcBorders>
                    <w:tl2br w:val="nil"/>
                    <w:tr2bl w:val="nil"/>
                  </w:tcBorders>
                  <w:noWrap w:val="0"/>
                  <w:vAlign w:val="center"/>
                </w:tcPr>
                <w:p w14:paraId="61FBA75F">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9</w:t>
                  </w:r>
                </w:p>
              </w:tc>
              <w:tc>
                <w:tcPr>
                  <w:tcW w:w="1155" w:type="dxa"/>
                  <w:tcBorders>
                    <w:tl2br w:val="nil"/>
                    <w:tr2bl w:val="nil"/>
                  </w:tcBorders>
                  <w:noWrap w:val="0"/>
                  <w:vAlign w:val="center"/>
                </w:tcPr>
                <w:p w14:paraId="0EAC5A5A">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65</w:t>
                  </w:r>
                </w:p>
              </w:tc>
              <w:tc>
                <w:tcPr>
                  <w:tcW w:w="840" w:type="dxa"/>
                  <w:vMerge w:val="restart"/>
                  <w:tcBorders>
                    <w:tl2br w:val="nil"/>
                    <w:tr2bl w:val="nil"/>
                  </w:tcBorders>
                  <w:noWrap w:val="0"/>
                  <w:vAlign w:val="center"/>
                </w:tcPr>
                <w:p w14:paraId="382CF354">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昼间</w:t>
                  </w:r>
                </w:p>
              </w:tc>
              <w:tc>
                <w:tcPr>
                  <w:tcW w:w="1080" w:type="dxa"/>
                  <w:vMerge w:val="restart"/>
                  <w:tcBorders>
                    <w:tl2br w:val="nil"/>
                    <w:tr2bl w:val="nil"/>
                  </w:tcBorders>
                  <w:noWrap w:val="0"/>
                  <w:vAlign w:val="center"/>
                </w:tcPr>
                <w:p w14:paraId="3C2F155F">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21</w:t>
                  </w:r>
                </w:p>
              </w:tc>
              <w:tc>
                <w:tcPr>
                  <w:tcW w:w="1247" w:type="dxa"/>
                  <w:tcBorders>
                    <w:tl2br w:val="nil"/>
                    <w:tr2bl w:val="nil"/>
                  </w:tcBorders>
                  <w:noWrap w:val="0"/>
                  <w:vAlign w:val="center"/>
                </w:tcPr>
                <w:p w14:paraId="004FE697">
                  <w:pPr>
                    <w:widowControl/>
                    <w:adjustRightInd w:val="0"/>
                    <w:snapToGrid w:val="0"/>
                    <w:jc w:val="center"/>
                    <w:textAlignment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44</w:t>
                  </w:r>
                </w:p>
              </w:tc>
              <w:tc>
                <w:tcPr>
                  <w:tcW w:w="0" w:type="auto"/>
                  <w:tcBorders>
                    <w:tl2br w:val="nil"/>
                    <w:tr2bl w:val="nil"/>
                  </w:tcBorders>
                  <w:shd w:val="clear" w:color="auto" w:fill="auto"/>
                  <w:noWrap w:val="0"/>
                  <w:vAlign w:val="center"/>
                </w:tcPr>
                <w:p w14:paraId="42161715">
                  <w:pPr>
                    <w:widowControl/>
                    <w:adjustRightInd w:val="0"/>
                    <w:snapToGrid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1</w:t>
                  </w:r>
                  <w:r>
                    <w:rPr>
                      <w:rFonts w:hint="eastAsia" w:cs="Times New Roman"/>
                      <w:color w:val="auto"/>
                      <w:lang w:val="en-US" w:eastAsia="zh-CN"/>
                    </w:rPr>
                    <w:t>m</w:t>
                  </w:r>
                </w:p>
              </w:tc>
            </w:tr>
            <w:tr w14:paraId="3F5FDA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1605" w:type="dxa"/>
                  <w:tcBorders>
                    <w:tl2br w:val="nil"/>
                    <w:tr2bl w:val="nil"/>
                  </w:tcBorders>
                  <w:shd w:val="clear" w:color="auto" w:fill="auto"/>
                  <w:noWrap w:val="0"/>
                  <w:vAlign w:val="center"/>
                </w:tcPr>
                <w:p w14:paraId="228AE8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kern w:val="2"/>
                      <w:sz w:val="21"/>
                      <w:szCs w:val="21"/>
                      <w:lang w:val="en-US" w:eastAsia="zh-CN" w:bidi="ar-SA"/>
                    </w:rPr>
                  </w:pPr>
                  <w:r>
                    <w:rPr>
                      <w:rFonts w:hint="default" w:ascii="Times New Roman" w:hAnsi="宋体" w:eastAsia="宋体" w:cs="Times New Roman"/>
                      <w:color w:val="auto"/>
                      <w:sz w:val="21"/>
                      <w:szCs w:val="21"/>
                      <w:lang w:val="en-US" w:eastAsia="zh-CN"/>
                    </w:rPr>
                    <w:t>真空干燥箱</w:t>
                  </w:r>
                  <w:r>
                    <w:rPr>
                      <w:rFonts w:hint="eastAsia" w:ascii="Times New Roman" w:hAnsi="宋体" w:eastAsia="宋体" w:cs="Times New Roman"/>
                      <w:color w:val="auto"/>
                      <w:sz w:val="21"/>
                      <w:szCs w:val="21"/>
                      <w:lang w:val="en-US" w:eastAsia="zh-CN"/>
                    </w:rPr>
                    <w:t>1</w:t>
                  </w:r>
                </w:p>
              </w:tc>
              <w:tc>
                <w:tcPr>
                  <w:tcW w:w="988" w:type="dxa"/>
                  <w:tcBorders>
                    <w:tl2br w:val="nil"/>
                    <w:tr2bl w:val="nil"/>
                  </w:tcBorders>
                  <w:shd w:val="clear" w:color="auto" w:fill="auto"/>
                  <w:noWrap w:val="0"/>
                  <w:vAlign w:val="center"/>
                </w:tcPr>
                <w:p w14:paraId="2F54FBAC">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75</w:t>
                  </w:r>
                </w:p>
              </w:tc>
              <w:tc>
                <w:tcPr>
                  <w:tcW w:w="0" w:type="auto"/>
                  <w:vMerge w:val="continue"/>
                  <w:tcBorders>
                    <w:tl2br w:val="nil"/>
                    <w:tr2bl w:val="nil"/>
                  </w:tcBorders>
                  <w:noWrap w:val="0"/>
                  <w:vAlign w:val="center"/>
                </w:tcPr>
                <w:p w14:paraId="40098C43">
                  <w:pPr>
                    <w:jc w:val="center"/>
                    <w:rPr>
                      <w:color w:val="auto"/>
                      <w:szCs w:val="21"/>
                    </w:rPr>
                  </w:pPr>
                </w:p>
              </w:tc>
              <w:tc>
                <w:tcPr>
                  <w:tcW w:w="691" w:type="dxa"/>
                  <w:tcBorders>
                    <w:tl2br w:val="nil"/>
                    <w:tr2bl w:val="nil"/>
                  </w:tcBorders>
                  <w:noWrap w:val="0"/>
                  <w:vAlign w:val="center"/>
                </w:tcPr>
                <w:p w14:paraId="17E76022">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15</w:t>
                  </w:r>
                </w:p>
              </w:tc>
              <w:tc>
                <w:tcPr>
                  <w:tcW w:w="780" w:type="dxa"/>
                  <w:tcBorders>
                    <w:tl2br w:val="nil"/>
                    <w:tr2bl w:val="nil"/>
                  </w:tcBorders>
                  <w:noWrap w:val="0"/>
                  <w:vAlign w:val="center"/>
                </w:tcPr>
                <w:p w14:paraId="010AF375">
                  <w:pPr>
                    <w:widowControl/>
                    <w:adjustRightInd w:val="0"/>
                    <w:snapToGrid w:val="0"/>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w:t>
                  </w:r>
                </w:p>
              </w:tc>
              <w:tc>
                <w:tcPr>
                  <w:tcW w:w="735" w:type="dxa"/>
                  <w:tcBorders>
                    <w:tl2br w:val="nil"/>
                    <w:tr2bl w:val="nil"/>
                  </w:tcBorders>
                  <w:noWrap w:val="0"/>
                  <w:vAlign w:val="center"/>
                </w:tcPr>
                <w:p w14:paraId="5AEDF5C4">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064" w:type="dxa"/>
                  <w:tcBorders>
                    <w:tl2br w:val="nil"/>
                    <w:tr2bl w:val="nil"/>
                  </w:tcBorders>
                  <w:noWrap w:val="0"/>
                  <w:vAlign w:val="center"/>
                </w:tcPr>
                <w:p w14:paraId="1E5BD2B2">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cs="Times New Roman"/>
                      <w:color w:val="auto"/>
                      <w:lang w:val="en-US" w:eastAsia="zh-CN"/>
                    </w:rPr>
                    <w:t>9</w:t>
                  </w:r>
                </w:p>
              </w:tc>
              <w:tc>
                <w:tcPr>
                  <w:tcW w:w="1155" w:type="dxa"/>
                  <w:tcBorders>
                    <w:tl2br w:val="nil"/>
                    <w:tr2bl w:val="nil"/>
                  </w:tcBorders>
                  <w:noWrap w:val="0"/>
                  <w:vAlign w:val="center"/>
                </w:tcPr>
                <w:p w14:paraId="7341DEB8">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70</w:t>
                  </w:r>
                </w:p>
              </w:tc>
              <w:tc>
                <w:tcPr>
                  <w:tcW w:w="840" w:type="dxa"/>
                  <w:vMerge w:val="continue"/>
                  <w:tcBorders>
                    <w:tl2br w:val="nil"/>
                    <w:tr2bl w:val="nil"/>
                  </w:tcBorders>
                  <w:noWrap w:val="0"/>
                  <w:vAlign w:val="center"/>
                </w:tcPr>
                <w:p w14:paraId="098056EA">
                  <w:pPr>
                    <w:widowControl/>
                    <w:adjustRightInd w:val="0"/>
                    <w:snapToGrid w:val="0"/>
                    <w:jc w:val="center"/>
                    <w:textAlignment w:val="center"/>
                    <w:rPr>
                      <w:rFonts w:hint="eastAsia" w:ascii="Times New Roman" w:hAnsi="Times New Roman" w:eastAsia="宋体" w:cs="Times New Roman"/>
                      <w:color w:val="auto"/>
                      <w:lang w:val="en-US" w:eastAsia="zh-CN"/>
                    </w:rPr>
                  </w:pPr>
                </w:p>
              </w:tc>
              <w:tc>
                <w:tcPr>
                  <w:tcW w:w="1080" w:type="dxa"/>
                  <w:vMerge w:val="continue"/>
                  <w:tcBorders>
                    <w:tl2br w:val="nil"/>
                    <w:tr2bl w:val="nil"/>
                  </w:tcBorders>
                  <w:noWrap w:val="0"/>
                  <w:vAlign w:val="center"/>
                </w:tcPr>
                <w:p w14:paraId="329C1104">
                  <w:pPr>
                    <w:widowControl/>
                    <w:adjustRightInd w:val="0"/>
                    <w:snapToGrid w:val="0"/>
                    <w:jc w:val="center"/>
                    <w:textAlignment w:val="center"/>
                    <w:rPr>
                      <w:rFonts w:hint="eastAsia" w:ascii="Times New Roman" w:hAnsi="Times New Roman" w:eastAsia="宋体" w:cs="Times New Roman"/>
                      <w:color w:val="auto"/>
                      <w:lang w:val="en-US" w:eastAsia="zh-CN"/>
                    </w:rPr>
                  </w:pPr>
                </w:p>
              </w:tc>
              <w:tc>
                <w:tcPr>
                  <w:tcW w:w="1247" w:type="dxa"/>
                  <w:tcBorders>
                    <w:tl2br w:val="nil"/>
                    <w:tr2bl w:val="nil"/>
                  </w:tcBorders>
                  <w:noWrap w:val="0"/>
                  <w:vAlign w:val="center"/>
                </w:tcPr>
                <w:p w14:paraId="30B83694">
                  <w:pPr>
                    <w:widowControl/>
                    <w:adjustRightInd w:val="0"/>
                    <w:snapToGrid w:val="0"/>
                    <w:jc w:val="center"/>
                    <w:textAlignment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49</w:t>
                  </w:r>
                </w:p>
              </w:tc>
              <w:tc>
                <w:tcPr>
                  <w:tcW w:w="0" w:type="auto"/>
                  <w:tcBorders>
                    <w:tl2br w:val="nil"/>
                    <w:tr2bl w:val="nil"/>
                  </w:tcBorders>
                  <w:shd w:val="clear" w:color="auto" w:fill="auto"/>
                  <w:noWrap w:val="0"/>
                  <w:vAlign w:val="center"/>
                </w:tcPr>
                <w:p w14:paraId="4EB888F9">
                  <w:pPr>
                    <w:widowControl/>
                    <w:adjustRightInd w:val="0"/>
                    <w:snapToGrid w:val="0"/>
                    <w:jc w:val="center"/>
                    <w:textAlignment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1</w:t>
                  </w:r>
                  <w:r>
                    <w:rPr>
                      <w:rFonts w:hint="eastAsia" w:cs="Times New Roman"/>
                      <w:color w:val="auto"/>
                      <w:lang w:val="en-US" w:eastAsia="zh-CN"/>
                    </w:rPr>
                    <w:t>m</w:t>
                  </w:r>
                </w:p>
              </w:tc>
            </w:tr>
            <w:tr w14:paraId="0A1959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1605" w:type="dxa"/>
                  <w:tcBorders>
                    <w:tl2br w:val="nil"/>
                    <w:tr2bl w:val="nil"/>
                  </w:tcBorders>
                  <w:shd w:val="clear" w:color="auto" w:fill="auto"/>
                  <w:noWrap w:val="0"/>
                  <w:vAlign w:val="center"/>
                </w:tcPr>
                <w:p w14:paraId="2F916A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szCs w:val="21"/>
                      <w:lang w:val="en-US" w:eastAsia="zh-CN"/>
                    </w:rPr>
                    <w:t>伺服热压机</w:t>
                  </w:r>
                </w:p>
              </w:tc>
              <w:tc>
                <w:tcPr>
                  <w:tcW w:w="988" w:type="dxa"/>
                  <w:tcBorders>
                    <w:tl2br w:val="nil"/>
                    <w:tr2bl w:val="nil"/>
                  </w:tcBorders>
                  <w:shd w:val="clear" w:color="auto" w:fill="auto"/>
                  <w:noWrap w:val="0"/>
                  <w:vAlign w:val="center"/>
                </w:tcPr>
                <w:p w14:paraId="7ADD4715">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70</w:t>
                  </w:r>
                </w:p>
              </w:tc>
              <w:tc>
                <w:tcPr>
                  <w:tcW w:w="0" w:type="auto"/>
                  <w:vMerge w:val="continue"/>
                  <w:tcBorders>
                    <w:tl2br w:val="nil"/>
                    <w:tr2bl w:val="nil"/>
                  </w:tcBorders>
                  <w:noWrap w:val="0"/>
                  <w:vAlign w:val="center"/>
                </w:tcPr>
                <w:p w14:paraId="45C41939">
                  <w:pPr>
                    <w:jc w:val="center"/>
                    <w:rPr>
                      <w:color w:val="auto"/>
                      <w:szCs w:val="21"/>
                    </w:rPr>
                  </w:pPr>
                </w:p>
              </w:tc>
              <w:tc>
                <w:tcPr>
                  <w:tcW w:w="691" w:type="dxa"/>
                  <w:tcBorders>
                    <w:tl2br w:val="nil"/>
                    <w:tr2bl w:val="nil"/>
                  </w:tcBorders>
                  <w:noWrap w:val="0"/>
                  <w:vAlign w:val="center"/>
                </w:tcPr>
                <w:p w14:paraId="57CAC6BE">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24</w:t>
                  </w:r>
                </w:p>
              </w:tc>
              <w:tc>
                <w:tcPr>
                  <w:tcW w:w="780" w:type="dxa"/>
                  <w:tcBorders>
                    <w:tl2br w:val="nil"/>
                    <w:tr2bl w:val="nil"/>
                  </w:tcBorders>
                  <w:noWrap w:val="0"/>
                  <w:vAlign w:val="center"/>
                </w:tcPr>
                <w:p w14:paraId="397DD5AE">
                  <w:pPr>
                    <w:widowControl/>
                    <w:adjustRightInd w:val="0"/>
                    <w:snapToGrid w:val="0"/>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w:t>
                  </w:r>
                </w:p>
              </w:tc>
              <w:tc>
                <w:tcPr>
                  <w:tcW w:w="735" w:type="dxa"/>
                  <w:tcBorders>
                    <w:tl2br w:val="nil"/>
                    <w:tr2bl w:val="nil"/>
                  </w:tcBorders>
                  <w:noWrap w:val="0"/>
                  <w:vAlign w:val="center"/>
                </w:tcPr>
                <w:p w14:paraId="675D32AA">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064" w:type="dxa"/>
                  <w:tcBorders>
                    <w:tl2br w:val="nil"/>
                    <w:tr2bl w:val="nil"/>
                  </w:tcBorders>
                  <w:noWrap w:val="0"/>
                  <w:vAlign w:val="center"/>
                </w:tcPr>
                <w:p w14:paraId="59E59BAA">
                  <w:pPr>
                    <w:widowControl/>
                    <w:adjustRightInd w:val="0"/>
                    <w:snapToGrid w:val="0"/>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9</w:t>
                  </w:r>
                </w:p>
              </w:tc>
              <w:tc>
                <w:tcPr>
                  <w:tcW w:w="1155" w:type="dxa"/>
                  <w:tcBorders>
                    <w:tl2br w:val="nil"/>
                    <w:tr2bl w:val="nil"/>
                  </w:tcBorders>
                  <w:noWrap w:val="0"/>
                  <w:vAlign w:val="center"/>
                </w:tcPr>
                <w:p w14:paraId="396FA287">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65</w:t>
                  </w:r>
                </w:p>
              </w:tc>
              <w:tc>
                <w:tcPr>
                  <w:tcW w:w="840" w:type="dxa"/>
                  <w:vMerge w:val="continue"/>
                  <w:tcBorders>
                    <w:tl2br w:val="nil"/>
                    <w:tr2bl w:val="nil"/>
                  </w:tcBorders>
                  <w:noWrap w:val="0"/>
                  <w:vAlign w:val="center"/>
                </w:tcPr>
                <w:p w14:paraId="2EE640B2">
                  <w:pPr>
                    <w:widowControl/>
                    <w:adjustRightInd w:val="0"/>
                    <w:snapToGrid w:val="0"/>
                    <w:jc w:val="center"/>
                    <w:textAlignment w:val="center"/>
                    <w:rPr>
                      <w:rFonts w:hint="eastAsia" w:ascii="Times New Roman" w:hAnsi="Times New Roman" w:eastAsia="宋体" w:cs="Times New Roman"/>
                      <w:color w:val="auto"/>
                      <w:lang w:val="en-US" w:eastAsia="zh-CN"/>
                    </w:rPr>
                  </w:pPr>
                </w:p>
              </w:tc>
              <w:tc>
                <w:tcPr>
                  <w:tcW w:w="1080" w:type="dxa"/>
                  <w:vMerge w:val="continue"/>
                  <w:tcBorders>
                    <w:tl2br w:val="nil"/>
                    <w:tr2bl w:val="nil"/>
                  </w:tcBorders>
                  <w:noWrap w:val="0"/>
                  <w:vAlign w:val="center"/>
                </w:tcPr>
                <w:p w14:paraId="0EB6BA60">
                  <w:pPr>
                    <w:widowControl/>
                    <w:adjustRightInd w:val="0"/>
                    <w:snapToGrid w:val="0"/>
                    <w:jc w:val="center"/>
                    <w:textAlignment w:val="center"/>
                    <w:rPr>
                      <w:rFonts w:hint="eastAsia" w:ascii="Times New Roman" w:hAnsi="Times New Roman" w:eastAsia="宋体" w:cs="Times New Roman"/>
                      <w:color w:val="auto"/>
                      <w:lang w:val="en-US" w:eastAsia="zh-CN"/>
                    </w:rPr>
                  </w:pPr>
                </w:p>
              </w:tc>
              <w:tc>
                <w:tcPr>
                  <w:tcW w:w="1247" w:type="dxa"/>
                  <w:tcBorders>
                    <w:tl2br w:val="nil"/>
                    <w:tr2bl w:val="nil"/>
                  </w:tcBorders>
                  <w:noWrap w:val="0"/>
                  <w:vAlign w:val="center"/>
                </w:tcPr>
                <w:p w14:paraId="4E93DF22">
                  <w:pPr>
                    <w:widowControl/>
                    <w:adjustRightInd w:val="0"/>
                    <w:snapToGrid w:val="0"/>
                    <w:jc w:val="center"/>
                    <w:textAlignment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44</w:t>
                  </w:r>
                </w:p>
              </w:tc>
              <w:tc>
                <w:tcPr>
                  <w:tcW w:w="0" w:type="auto"/>
                  <w:tcBorders>
                    <w:tl2br w:val="nil"/>
                    <w:tr2bl w:val="nil"/>
                  </w:tcBorders>
                  <w:shd w:val="clear" w:color="auto" w:fill="auto"/>
                  <w:noWrap w:val="0"/>
                  <w:vAlign w:val="center"/>
                </w:tcPr>
                <w:p w14:paraId="1113FFF2">
                  <w:pPr>
                    <w:widowControl/>
                    <w:adjustRightInd w:val="0"/>
                    <w:snapToGrid w:val="0"/>
                    <w:jc w:val="center"/>
                    <w:textAlignment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1</w:t>
                  </w:r>
                  <w:r>
                    <w:rPr>
                      <w:rFonts w:hint="eastAsia" w:cs="Times New Roman"/>
                      <w:color w:val="auto"/>
                      <w:lang w:val="en-US" w:eastAsia="zh-CN"/>
                    </w:rPr>
                    <w:t>m</w:t>
                  </w:r>
                </w:p>
              </w:tc>
            </w:tr>
            <w:tr w14:paraId="59F05A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1605" w:type="dxa"/>
                  <w:tcBorders>
                    <w:tl2br w:val="nil"/>
                    <w:tr2bl w:val="nil"/>
                  </w:tcBorders>
                  <w:shd w:val="clear" w:color="auto" w:fill="auto"/>
                  <w:noWrap w:val="0"/>
                  <w:vAlign w:val="center"/>
                </w:tcPr>
                <w:p w14:paraId="3DD89C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szCs w:val="21"/>
                      <w:lang w:val="en-US" w:eastAsia="zh-CN"/>
                    </w:rPr>
                    <w:t>五合一贴合设备</w:t>
                  </w:r>
                </w:p>
              </w:tc>
              <w:tc>
                <w:tcPr>
                  <w:tcW w:w="988" w:type="dxa"/>
                  <w:tcBorders>
                    <w:tl2br w:val="nil"/>
                    <w:tr2bl w:val="nil"/>
                  </w:tcBorders>
                  <w:shd w:val="clear" w:color="auto" w:fill="auto"/>
                  <w:noWrap w:val="0"/>
                  <w:vAlign w:val="center"/>
                </w:tcPr>
                <w:p w14:paraId="5D71660B">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70</w:t>
                  </w:r>
                </w:p>
              </w:tc>
              <w:tc>
                <w:tcPr>
                  <w:tcW w:w="0" w:type="auto"/>
                  <w:vMerge w:val="continue"/>
                  <w:tcBorders>
                    <w:tl2br w:val="nil"/>
                    <w:tr2bl w:val="nil"/>
                  </w:tcBorders>
                  <w:noWrap w:val="0"/>
                  <w:vAlign w:val="center"/>
                </w:tcPr>
                <w:p w14:paraId="51286ADC">
                  <w:pPr>
                    <w:jc w:val="center"/>
                    <w:rPr>
                      <w:color w:val="auto"/>
                      <w:szCs w:val="21"/>
                    </w:rPr>
                  </w:pPr>
                </w:p>
              </w:tc>
              <w:tc>
                <w:tcPr>
                  <w:tcW w:w="691" w:type="dxa"/>
                  <w:tcBorders>
                    <w:tl2br w:val="nil"/>
                    <w:tr2bl w:val="nil"/>
                  </w:tcBorders>
                  <w:noWrap w:val="0"/>
                  <w:vAlign w:val="center"/>
                </w:tcPr>
                <w:p w14:paraId="1B70EA6C">
                  <w:pPr>
                    <w:widowControl/>
                    <w:adjustRightInd w:val="0"/>
                    <w:snapToGrid w:val="0"/>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28</w:t>
                  </w:r>
                </w:p>
              </w:tc>
              <w:tc>
                <w:tcPr>
                  <w:tcW w:w="780" w:type="dxa"/>
                  <w:tcBorders>
                    <w:tl2br w:val="nil"/>
                    <w:tr2bl w:val="nil"/>
                  </w:tcBorders>
                  <w:noWrap w:val="0"/>
                  <w:vAlign w:val="center"/>
                </w:tcPr>
                <w:p w14:paraId="37FB9343">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w:t>
                  </w:r>
                </w:p>
              </w:tc>
              <w:tc>
                <w:tcPr>
                  <w:tcW w:w="735" w:type="dxa"/>
                  <w:tcBorders>
                    <w:tl2br w:val="nil"/>
                    <w:tr2bl w:val="nil"/>
                  </w:tcBorders>
                  <w:noWrap w:val="0"/>
                  <w:vAlign w:val="center"/>
                </w:tcPr>
                <w:p w14:paraId="4C9DDE8D">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064" w:type="dxa"/>
                  <w:tcBorders>
                    <w:tl2br w:val="nil"/>
                    <w:tr2bl w:val="nil"/>
                  </w:tcBorders>
                  <w:noWrap w:val="0"/>
                  <w:vAlign w:val="center"/>
                </w:tcPr>
                <w:p w14:paraId="53C11D27">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cs="Times New Roman"/>
                      <w:color w:val="auto"/>
                      <w:lang w:val="en-US" w:eastAsia="zh-CN"/>
                    </w:rPr>
                    <w:t>9</w:t>
                  </w:r>
                </w:p>
              </w:tc>
              <w:tc>
                <w:tcPr>
                  <w:tcW w:w="1155" w:type="dxa"/>
                  <w:tcBorders>
                    <w:tl2br w:val="nil"/>
                    <w:tr2bl w:val="nil"/>
                  </w:tcBorders>
                  <w:noWrap w:val="0"/>
                  <w:vAlign w:val="center"/>
                </w:tcPr>
                <w:p w14:paraId="621EF274">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65</w:t>
                  </w:r>
                </w:p>
              </w:tc>
              <w:tc>
                <w:tcPr>
                  <w:tcW w:w="840" w:type="dxa"/>
                  <w:vMerge w:val="continue"/>
                  <w:tcBorders>
                    <w:tl2br w:val="nil"/>
                    <w:tr2bl w:val="nil"/>
                  </w:tcBorders>
                  <w:noWrap w:val="0"/>
                  <w:vAlign w:val="center"/>
                </w:tcPr>
                <w:p w14:paraId="7D7C470D">
                  <w:pPr>
                    <w:widowControl/>
                    <w:adjustRightInd w:val="0"/>
                    <w:snapToGrid w:val="0"/>
                    <w:jc w:val="center"/>
                    <w:textAlignment w:val="center"/>
                    <w:rPr>
                      <w:rFonts w:hint="eastAsia" w:ascii="Times New Roman" w:hAnsi="Times New Roman" w:eastAsia="宋体" w:cs="Times New Roman"/>
                      <w:color w:val="auto"/>
                      <w:lang w:val="en-US" w:eastAsia="zh-CN"/>
                    </w:rPr>
                  </w:pPr>
                </w:p>
              </w:tc>
              <w:tc>
                <w:tcPr>
                  <w:tcW w:w="1080" w:type="dxa"/>
                  <w:vMerge w:val="continue"/>
                  <w:tcBorders>
                    <w:tl2br w:val="nil"/>
                    <w:tr2bl w:val="nil"/>
                  </w:tcBorders>
                  <w:noWrap w:val="0"/>
                  <w:vAlign w:val="center"/>
                </w:tcPr>
                <w:p w14:paraId="3594B65F">
                  <w:pPr>
                    <w:widowControl/>
                    <w:adjustRightInd w:val="0"/>
                    <w:snapToGrid w:val="0"/>
                    <w:jc w:val="center"/>
                    <w:textAlignment w:val="center"/>
                    <w:rPr>
                      <w:rFonts w:hint="eastAsia" w:ascii="Times New Roman" w:hAnsi="Times New Roman" w:eastAsia="宋体" w:cs="Times New Roman"/>
                      <w:color w:val="auto"/>
                      <w:lang w:val="en-US" w:eastAsia="zh-CN"/>
                    </w:rPr>
                  </w:pPr>
                </w:p>
              </w:tc>
              <w:tc>
                <w:tcPr>
                  <w:tcW w:w="1247" w:type="dxa"/>
                  <w:tcBorders>
                    <w:tl2br w:val="nil"/>
                    <w:tr2bl w:val="nil"/>
                  </w:tcBorders>
                  <w:noWrap w:val="0"/>
                  <w:vAlign w:val="center"/>
                </w:tcPr>
                <w:p w14:paraId="434C4CD9">
                  <w:pPr>
                    <w:widowControl/>
                    <w:adjustRightInd w:val="0"/>
                    <w:snapToGrid w:val="0"/>
                    <w:jc w:val="center"/>
                    <w:textAlignment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44</w:t>
                  </w:r>
                </w:p>
              </w:tc>
              <w:tc>
                <w:tcPr>
                  <w:tcW w:w="0" w:type="auto"/>
                  <w:tcBorders>
                    <w:tl2br w:val="nil"/>
                    <w:tr2bl w:val="nil"/>
                  </w:tcBorders>
                  <w:shd w:val="clear" w:color="auto" w:fill="auto"/>
                  <w:noWrap w:val="0"/>
                  <w:vAlign w:val="center"/>
                </w:tcPr>
                <w:p w14:paraId="222D4260">
                  <w:pPr>
                    <w:widowControl/>
                    <w:adjustRightInd w:val="0"/>
                    <w:snapToGrid w:val="0"/>
                    <w:jc w:val="center"/>
                    <w:textAlignment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1</w:t>
                  </w:r>
                  <w:r>
                    <w:rPr>
                      <w:rFonts w:hint="eastAsia" w:cs="Times New Roman"/>
                      <w:color w:val="auto"/>
                      <w:lang w:val="en-US" w:eastAsia="zh-CN"/>
                    </w:rPr>
                    <w:t>m</w:t>
                  </w:r>
                </w:p>
              </w:tc>
            </w:tr>
            <w:tr w14:paraId="5D44C2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1605" w:type="dxa"/>
                  <w:tcBorders>
                    <w:tl2br w:val="nil"/>
                    <w:tr2bl w:val="nil"/>
                  </w:tcBorders>
                  <w:shd w:val="clear" w:color="auto" w:fill="auto"/>
                  <w:noWrap w:val="0"/>
                  <w:vAlign w:val="center"/>
                </w:tcPr>
                <w:p w14:paraId="65DD61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szCs w:val="21"/>
                      <w:lang w:val="en-US" w:eastAsia="zh-CN"/>
                    </w:rPr>
                    <w:t>七合一贴合设备</w:t>
                  </w:r>
                </w:p>
              </w:tc>
              <w:tc>
                <w:tcPr>
                  <w:tcW w:w="988" w:type="dxa"/>
                  <w:tcBorders>
                    <w:tl2br w:val="nil"/>
                    <w:tr2bl w:val="nil"/>
                  </w:tcBorders>
                  <w:shd w:val="clear" w:color="auto" w:fill="auto"/>
                  <w:noWrap w:val="0"/>
                  <w:vAlign w:val="center"/>
                </w:tcPr>
                <w:p w14:paraId="13C1D642">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70</w:t>
                  </w:r>
                </w:p>
              </w:tc>
              <w:tc>
                <w:tcPr>
                  <w:tcW w:w="0" w:type="auto"/>
                  <w:vMerge w:val="continue"/>
                  <w:tcBorders>
                    <w:tl2br w:val="nil"/>
                    <w:tr2bl w:val="nil"/>
                  </w:tcBorders>
                  <w:noWrap w:val="0"/>
                  <w:vAlign w:val="center"/>
                </w:tcPr>
                <w:p w14:paraId="0B28D80F">
                  <w:pPr>
                    <w:jc w:val="center"/>
                    <w:rPr>
                      <w:color w:val="auto"/>
                      <w:szCs w:val="21"/>
                    </w:rPr>
                  </w:pPr>
                </w:p>
              </w:tc>
              <w:tc>
                <w:tcPr>
                  <w:tcW w:w="691" w:type="dxa"/>
                  <w:tcBorders>
                    <w:tl2br w:val="nil"/>
                    <w:tr2bl w:val="nil"/>
                  </w:tcBorders>
                  <w:noWrap w:val="0"/>
                  <w:vAlign w:val="center"/>
                </w:tcPr>
                <w:p w14:paraId="19217011">
                  <w:pPr>
                    <w:widowControl/>
                    <w:adjustRightInd w:val="0"/>
                    <w:snapToGrid w:val="0"/>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32</w:t>
                  </w:r>
                </w:p>
              </w:tc>
              <w:tc>
                <w:tcPr>
                  <w:tcW w:w="780" w:type="dxa"/>
                  <w:tcBorders>
                    <w:tl2br w:val="nil"/>
                    <w:tr2bl w:val="nil"/>
                  </w:tcBorders>
                  <w:noWrap w:val="0"/>
                  <w:vAlign w:val="center"/>
                </w:tcPr>
                <w:p w14:paraId="44513979">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w:t>
                  </w:r>
                </w:p>
              </w:tc>
              <w:tc>
                <w:tcPr>
                  <w:tcW w:w="735" w:type="dxa"/>
                  <w:tcBorders>
                    <w:tl2br w:val="nil"/>
                    <w:tr2bl w:val="nil"/>
                  </w:tcBorders>
                  <w:noWrap w:val="0"/>
                  <w:vAlign w:val="center"/>
                </w:tcPr>
                <w:p w14:paraId="71CD5E35">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064" w:type="dxa"/>
                  <w:tcBorders>
                    <w:tl2br w:val="nil"/>
                    <w:tr2bl w:val="nil"/>
                  </w:tcBorders>
                  <w:noWrap w:val="0"/>
                  <w:vAlign w:val="center"/>
                </w:tcPr>
                <w:p w14:paraId="3DECE1BA">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cs="Times New Roman"/>
                      <w:color w:val="auto"/>
                      <w:lang w:val="en-US" w:eastAsia="zh-CN"/>
                    </w:rPr>
                    <w:t>9</w:t>
                  </w:r>
                </w:p>
              </w:tc>
              <w:tc>
                <w:tcPr>
                  <w:tcW w:w="1155" w:type="dxa"/>
                  <w:tcBorders>
                    <w:tl2br w:val="nil"/>
                    <w:tr2bl w:val="nil"/>
                  </w:tcBorders>
                  <w:noWrap w:val="0"/>
                  <w:vAlign w:val="center"/>
                </w:tcPr>
                <w:p w14:paraId="38757657">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65</w:t>
                  </w:r>
                </w:p>
              </w:tc>
              <w:tc>
                <w:tcPr>
                  <w:tcW w:w="840" w:type="dxa"/>
                  <w:vMerge w:val="continue"/>
                  <w:tcBorders>
                    <w:tl2br w:val="nil"/>
                    <w:tr2bl w:val="nil"/>
                  </w:tcBorders>
                  <w:noWrap w:val="0"/>
                  <w:vAlign w:val="center"/>
                </w:tcPr>
                <w:p w14:paraId="7C274DA5">
                  <w:pPr>
                    <w:widowControl/>
                    <w:adjustRightInd w:val="0"/>
                    <w:snapToGrid w:val="0"/>
                    <w:jc w:val="center"/>
                    <w:textAlignment w:val="center"/>
                    <w:rPr>
                      <w:rFonts w:hint="eastAsia" w:ascii="Times New Roman" w:hAnsi="Times New Roman" w:eastAsia="宋体" w:cs="Times New Roman"/>
                      <w:color w:val="auto"/>
                      <w:lang w:val="en-US" w:eastAsia="zh-CN"/>
                    </w:rPr>
                  </w:pPr>
                </w:p>
              </w:tc>
              <w:tc>
                <w:tcPr>
                  <w:tcW w:w="1080" w:type="dxa"/>
                  <w:vMerge w:val="continue"/>
                  <w:tcBorders>
                    <w:tl2br w:val="nil"/>
                    <w:tr2bl w:val="nil"/>
                  </w:tcBorders>
                  <w:noWrap w:val="0"/>
                  <w:vAlign w:val="center"/>
                </w:tcPr>
                <w:p w14:paraId="6CBABBA6">
                  <w:pPr>
                    <w:widowControl/>
                    <w:adjustRightInd w:val="0"/>
                    <w:snapToGrid w:val="0"/>
                    <w:jc w:val="center"/>
                    <w:textAlignment w:val="center"/>
                    <w:rPr>
                      <w:rFonts w:hint="eastAsia" w:ascii="Times New Roman" w:hAnsi="Times New Roman" w:eastAsia="宋体" w:cs="Times New Roman"/>
                      <w:color w:val="auto"/>
                      <w:lang w:val="en-US" w:eastAsia="zh-CN"/>
                    </w:rPr>
                  </w:pPr>
                </w:p>
              </w:tc>
              <w:tc>
                <w:tcPr>
                  <w:tcW w:w="1247" w:type="dxa"/>
                  <w:tcBorders>
                    <w:tl2br w:val="nil"/>
                    <w:tr2bl w:val="nil"/>
                  </w:tcBorders>
                  <w:noWrap w:val="0"/>
                  <w:vAlign w:val="center"/>
                </w:tcPr>
                <w:p w14:paraId="341E7C32">
                  <w:pPr>
                    <w:widowControl/>
                    <w:adjustRightInd w:val="0"/>
                    <w:snapToGrid w:val="0"/>
                    <w:jc w:val="center"/>
                    <w:textAlignment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44</w:t>
                  </w:r>
                </w:p>
              </w:tc>
              <w:tc>
                <w:tcPr>
                  <w:tcW w:w="1278" w:type="dxa"/>
                  <w:tcBorders>
                    <w:tl2br w:val="nil"/>
                    <w:tr2bl w:val="nil"/>
                  </w:tcBorders>
                  <w:shd w:val="clear" w:color="auto" w:fill="auto"/>
                  <w:noWrap w:val="0"/>
                  <w:vAlign w:val="center"/>
                </w:tcPr>
                <w:p w14:paraId="3481F42A">
                  <w:pPr>
                    <w:widowControl/>
                    <w:adjustRightInd w:val="0"/>
                    <w:snapToGrid w:val="0"/>
                    <w:jc w:val="center"/>
                    <w:textAlignment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1</w:t>
                  </w:r>
                  <w:r>
                    <w:rPr>
                      <w:rFonts w:hint="eastAsia" w:cs="Times New Roman"/>
                      <w:color w:val="auto"/>
                      <w:lang w:val="en-US" w:eastAsia="zh-CN"/>
                    </w:rPr>
                    <w:t>m</w:t>
                  </w:r>
                </w:p>
              </w:tc>
            </w:tr>
            <w:tr w14:paraId="24892E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1605" w:type="dxa"/>
                  <w:tcBorders>
                    <w:tl2br w:val="nil"/>
                    <w:tr2bl w:val="nil"/>
                  </w:tcBorders>
                  <w:shd w:val="clear" w:color="auto" w:fill="auto"/>
                  <w:noWrap w:val="0"/>
                  <w:vAlign w:val="center"/>
                </w:tcPr>
                <w:p w14:paraId="2C8734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szCs w:val="21"/>
                      <w:lang w:val="en-US" w:eastAsia="zh-CN"/>
                    </w:rPr>
                    <w:t>精密视觉裁切机</w:t>
                  </w:r>
                </w:p>
              </w:tc>
              <w:tc>
                <w:tcPr>
                  <w:tcW w:w="988" w:type="dxa"/>
                  <w:tcBorders>
                    <w:tl2br w:val="nil"/>
                    <w:tr2bl w:val="nil"/>
                  </w:tcBorders>
                  <w:shd w:val="clear" w:color="auto" w:fill="auto"/>
                  <w:noWrap w:val="0"/>
                  <w:vAlign w:val="center"/>
                </w:tcPr>
                <w:p w14:paraId="0D56BC2A">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75</w:t>
                  </w:r>
                </w:p>
              </w:tc>
              <w:tc>
                <w:tcPr>
                  <w:tcW w:w="0" w:type="auto"/>
                  <w:vMerge w:val="continue"/>
                  <w:tcBorders>
                    <w:tl2br w:val="nil"/>
                    <w:tr2bl w:val="nil"/>
                  </w:tcBorders>
                  <w:noWrap w:val="0"/>
                  <w:vAlign w:val="center"/>
                </w:tcPr>
                <w:p w14:paraId="25852A86">
                  <w:pPr>
                    <w:jc w:val="center"/>
                    <w:rPr>
                      <w:color w:val="auto"/>
                      <w:szCs w:val="21"/>
                    </w:rPr>
                  </w:pPr>
                </w:p>
              </w:tc>
              <w:tc>
                <w:tcPr>
                  <w:tcW w:w="691" w:type="dxa"/>
                  <w:tcBorders>
                    <w:tl2br w:val="nil"/>
                    <w:tr2bl w:val="nil"/>
                  </w:tcBorders>
                  <w:noWrap w:val="0"/>
                  <w:vAlign w:val="center"/>
                </w:tcPr>
                <w:p w14:paraId="5D75F21C">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36</w:t>
                  </w:r>
                </w:p>
              </w:tc>
              <w:tc>
                <w:tcPr>
                  <w:tcW w:w="780" w:type="dxa"/>
                  <w:tcBorders>
                    <w:tl2br w:val="nil"/>
                    <w:tr2bl w:val="nil"/>
                  </w:tcBorders>
                  <w:noWrap w:val="0"/>
                  <w:vAlign w:val="center"/>
                </w:tcPr>
                <w:p w14:paraId="17D63E0E">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w:t>
                  </w:r>
                </w:p>
              </w:tc>
              <w:tc>
                <w:tcPr>
                  <w:tcW w:w="735" w:type="dxa"/>
                  <w:tcBorders>
                    <w:tl2br w:val="nil"/>
                    <w:tr2bl w:val="nil"/>
                  </w:tcBorders>
                  <w:noWrap w:val="0"/>
                  <w:vAlign w:val="center"/>
                </w:tcPr>
                <w:p w14:paraId="65BA15F7">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064" w:type="dxa"/>
                  <w:tcBorders>
                    <w:tl2br w:val="nil"/>
                    <w:tr2bl w:val="nil"/>
                  </w:tcBorders>
                  <w:noWrap w:val="0"/>
                  <w:vAlign w:val="center"/>
                </w:tcPr>
                <w:p w14:paraId="1EA19AB4">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cs="Times New Roman"/>
                      <w:color w:val="auto"/>
                      <w:lang w:val="en-US" w:eastAsia="zh-CN"/>
                    </w:rPr>
                    <w:t>9</w:t>
                  </w:r>
                </w:p>
              </w:tc>
              <w:tc>
                <w:tcPr>
                  <w:tcW w:w="1155" w:type="dxa"/>
                  <w:tcBorders>
                    <w:tl2br w:val="nil"/>
                    <w:tr2bl w:val="nil"/>
                  </w:tcBorders>
                  <w:noWrap w:val="0"/>
                  <w:vAlign w:val="center"/>
                </w:tcPr>
                <w:p w14:paraId="63A18FC5">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70</w:t>
                  </w:r>
                </w:p>
              </w:tc>
              <w:tc>
                <w:tcPr>
                  <w:tcW w:w="840" w:type="dxa"/>
                  <w:vMerge w:val="continue"/>
                  <w:tcBorders>
                    <w:tl2br w:val="nil"/>
                    <w:tr2bl w:val="nil"/>
                  </w:tcBorders>
                  <w:noWrap w:val="0"/>
                  <w:vAlign w:val="center"/>
                </w:tcPr>
                <w:p w14:paraId="07A53065">
                  <w:pPr>
                    <w:widowControl/>
                    <w:adjustRightInd w:val="0"/>
                    <w:snapToGrid w:val="0"/>
                    <w:jc w:val="center"/>
                    <w:textAlignment w:val="center"/>
                    <w:rPr>
                      <w:rFonts w:hint="eastAsia" w:ascii="Times New Roman" w:hAnsi="Times New Roman" w:eastAsia="宋体" w:cs="Times New Roman"/>
                      <w:color w:val="auto"/>
                      <w:lang w:val="en-US" w:eastAsia="zh-CN"/>
                    </w:rPr>
                  </w:pPr>
                </w:p>
              </w:tc>
              <w:tc>
                <w:tcPr>
                  <w:tcW w:w="1080" w:type="dxa"/>
                  <w:vMerge w:val="continue"/>
                  <w:tcBorders>
                    <w:tl2br w:val="nil"/>
                    <w:tr2bl w:val="nil"/>
                  </w:tcBorders>
                  <w:noWrap w:val="0"/>
                  <w:vAlign w:val="center"/>
                </w:tcPr>
                <w:p w14:paraId="4F1778DB">
                  <w:pPr>
                    <w:widowControl/>
                    <w:adjustRightInd w:val="0"/>
                    <w:snapToGrid w:val="0"/>
                    <w:jc w:val="center"/>
                    <w:textAlignment w:val="center"/>
                    <w:rPr>
                      <w:rFonts w:hint="eastAsia" w:ascii="Times New Roman" w:hAnsi="Times New Roman" w:eastAsia="宋体" w:cs="Times New Roman"/>
                      <w:color w:val="auto"/>
                      <w:lang w:val="en-US" w:eastAsia="zh-CN"/>
                    </w:rPr>
                  </w:pPr>
                </w:p>
              </w:tc>
              <w:tc>
                <w:tcPr>
                  <w:tcW w:w="1247" w:type="dxa"/>
                  <w:tcBorders>
                    <w:tl2br w:val="nil"/>
                    <w:tr2bl w:val="nil"/>
                  </w:tcBorders>
                  <w:noWrap w:val="0"/>
                  <w:vAlign w:val="center"/>
                </w:tcPr>
                <w:p w14:paraId="393201C2">
                  <w:pPr>
                    <w:widowControl/>
                    <w:adjustRightInd w:val="0"/>
                    <w:snapToGrid w:val="0"/>
                    <w:jc w:val="center"/>
                    <w:textAlignment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49</w:t>
                  </w:r>
                </w:p>
              </w:tc>
              <w:tc>
                <w:tcPr>
                  <w:tcW w:w="1278" w:type="dxa"/>
                  <w:tcBorders>
                    <w:tl2br w:val="nil"/>
                    <w:tr2bl w:val="nil"/>
                  </w:tcBorders>
                  <w:shd w:val="clear" w:color="auto" w:fill="auto"/>
                  <w:noWrap w:val="0"/>
                  <w:vAlign w:val="center"/>
                </w:tcPr>
                <w:p w14:paraId="57FD2F16">
                  <w:pPr>
                    <w:widowControl/>
                    <w:adjustRightInd w:val="0"/>
                    <w:snapToGrid w:val="0"/>
                    <w:jc w:val="center"/>
                    <w:textAlignment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1</w:t>
                  </w:r>
                  <w:r>
                    <w:rPr>
                      <w:rFonts w:hint="eastAsia" w:cs="Times New Roman"/>
                      <w:color w:val="auto"/>
                      <w:lang w:val="en-US" w:eastAsia="zh-CN"/>
                    </w:rPr>
                    <w:t>m</w:t>
                  </w:r>
                </w:p>
              </w:tc>
            </w:tr>
            <w:tr w14:paraId="0231A9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1605" w:type="dxa"/>
                  <w:tcBorders>
                    <w:tl2br w:val="nil"/>
                    <w:tr2bl w:val="nil"/>
                  </w:tcBorders>
                  <w:shd w:val="clear" w:color="auto" w:fill="auto"/>
                  <w:noWrap w:val="0"/>
                  <w:vAlign w:val="center"/>
                </w:tcPr>
                <w:p w14:paraId="16E2DF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szCs w:val="21"/>
                      <w:lang w:val="en-US" w:eastAsia="zh-CN"/>
                    </w:rPr>
                    <w:t>卷材涂布机</w:t>
                  </w:r>
                  <w:r>
                    <w:rPr>
                      <w:rFonts w:hint="eastAsia" w:hAnsi="宋体" w:cs="Times New Roman"/>
                      <w:color w:val="auto"/>
                      <w:szCs w:val="21"/>
                      <w:lang w:val="en-US" w:eastAsia="zh-CN"/>
                    </w:rPr>
                    <w:t>2</w:t>
                  </w:r>
                </w:p>
              </w:tc>
              <w:tc>
                <w:tcPr>
                  <w:tcW w:w="988" w:type="dxa"/>
                  <w:tcBorders>
                    <w:tl2br w:val="nil"/>
                    <w:tr2bl w:val="nil"/>
                  </w:tcBorders>
                  <w:shd w:val="clear" w:color="auto" w:fill="auto"/>
                  <w:noWrap w:val="0"/>
                  <w:vAlign w:val="center"/>
                </w:tcPr>
                <w:p w14:paraId="68339076">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70</w:t>
                  </w:r>
                </w:p>
              </w:tc>
              <w:tc>
                <w:tcPr>
                  <w:tcW w:w="0" w:type="auto"/>
                  <w:vMerge w:val="continue"/>
                  <w:tcBorders>
                    <w:tl2br w:val="nil"/>
                    <w:tr2bl w:val="nil"/>
                  </w:tcBorders>
                  <w:noWrap w:val="0"/>
                  <w:vAlign w:val="center"/>
                </w:tcPr>
                <w:p w14:paraId="2D7DD450">
                  <w:pPr>
                    <w:jc w:val="center"/>
                    <w:rPr>
                      <w:color w:val="auto"/>
                      <w:szCs w:val="21"/>
                    </w:rPr>
                  </w:pPr>
                </w:p>
              </w:tc>
              <w:tc>
                <w:tcPr>
                  <w:tcW w:w="691" w:type="dxa"/>
                  <w:tcBorders>
                    <w:tl2br w:val="nil"/>
                    <w:tr2bl w:val="nil"/>
                  </w:tcBorders>
                  <w:noWrap w:val="0"/>
                  <w:vAlign w:val="center"/>
                </w:tcPr>
                <w:p w14:paraId="157012D3">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44</w:t>
                  </w:r>
                </w:p>
              </w:tc>
              <w:tc>
                <w:tcPr>
                  <w:tcW w:w="780" w:type="dxa"/>
                  <w:tcBorders>
                    <w:tl2br w:val="nil"/>
                    <w:tr2bl w:val="nil"/>
                  </w:tcBorders>
                  <w:noWrap w:val="0"/>
                  <w:vAlign w:val="center"/>
                </w:tcPr>
                <w:p w14:paraId="719ABDA3">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20</w:t>
                  </w:r>
                </w:p>
              </w:tc>
              <w:tc>
                <w:tcPr>
                  <w:tcW w:w="735" w:type="dxa"/>
                  <w:tcBorders>
                    <w:tl2br w:val="nil"/>
                    <w:tr2bl w:val="nil"/>
                  </w:tcBorders>
                  <w:noWrap w:val="0"/>
                  <w:vAlign w:val="center"/>
                </w:tcPr>
                <w:p w14:paraId="0DD401E3">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064" w:type="dxa"/>
                  <w:tcBorders>
                    <w:tl2br w:val="nil"/>
                    <w:tr2bl w:val="nil"/>
                  </w:tcBorders>
                  <w:noWrap w:val="0"/>
                  <w:vAlign w:val="center"/>
                </w:tcPr>
                <w:p w14:paraId="44485E46">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w:t>
                  </w:r>
                </w:p>
              </w:tc>
              <w:tc>
                <w:tcPr>
                  <w:tcW w:w="1155" w:type="dxa"/>
                  <w:tcBorders>
                    <w:tl2br w:val="nil"/>
                    <w:tr2bl w:val="nil"/>
                  </w:tcBorders>
                  <w:noWrap w:val="0"/>
                  <w:vAlign w:val="center"/>
                </w:tcPr>
                <w:p w14:paraId="41DA84EF">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65</w:t>
                  </w:r>
                </w:p>
              </w:tc>
              <w:tc>
                <w:tcPr>
                  <w:tcW w:w="840" w:type="dxa"/>
                  <w:vMerge w:val="continue"/>
                  <w:tcBorders>
                    <w:tl2br w:val="nil"/>
                    <w:tr2bl w:val="nil"/>
                  </w:tcBorders>
                  <w:noWrap w:val="0"/>
                  <w:vAlign w:val="center"/>
                </w:tcPr>
                <w:p w14:paraId="342F0457">
                  <w:pPr>
                    <w:widowControl/>
                    <w:adjustRightInd w:val="0"/>
                    <w:snapToGrid w:val="0"/>
                    <w:jc w:val="center"/>
                    <w:textAlignment w:val="center"/>
                    <w:rPr>
                      <w:rFonts w:hint="eastAsia" w:ascii="Times New Roman" w:hAnsi="Times New Roman" w:eastAsia="宋体" w:cs="Times New Roman"/>
                      <w:color w:val="auto"/>
                      <w:lang w:val="en-US" w:eastAsia="zh-CN"/>
                    </w:rPr>
                  </w:pPr>
                </w:p>
              </w:tc>
              <w:tc>
                <w:tcPr>
                  <w:tcW w:w="1080" w:type="dxa"/>
                  <w:vMerge w:val="continue"/>
                  <w:tcBorders>
                    <w:tl2br w:val="nil"/>
                    <w:tr2bl w:val="nil"/>
                  </w:tcBorders>
                  <w:noWrap w:val="0"/>
                  <w:vAlign w:val="center"/>
                </w:tcPr>
                <w:p w14:paraId="4588C598">
                  <w:pPr>
                    <w:widowControl/>
                    <w:adjustRightInd w:val="0"/>
                    <w:snapToGrid w:val="0"/>
                    <w:jc w:val="center"/>
                    <w:textAlignment w:val="center"/>
                    <w:rPr>
                      <w:rFonts w:hint="eastAsia" w:ascii="Times New Roman" w:hAnsi="Times New Roman" w:eastAsia="宋体" w:cs="Times New Roman"/>
                      <w:color w:val="auto"/>
                      <w:lang w:val="en-US" w:eastAsia="zh-CN"/>
                    </w:rPr>
                  </w:pPr>
                </w:p>
              </w:tc>
              <w:tc>
                <w:tcPr>
                  <w:tcW w:w="1247" w:type="dxa"/>
                  <w:tcBorders>
                    <w:tl2br w:val="nil"/>
                    <w:tr2bl w:val="nil"/>
                  </w:tcBorders>
                  <w:noWrap w:val="0"/>
                  <w:vAlign w:val="center"/>
                </w:tcPr>
                <w:p w14:paraId="4ED7EF3C">
                  <w:pPr>
                    <w:widowControl/>
                    <w:adjustRightInd w:val="0"/>
                    <w:snapToGrid w:val="0"/>
                    <w:jc w:val="center"/>
                    <w:textAlignment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44</w:t>
                  </w:r>
                </w:p>
              </w:tc>
              <w:tc>
                <w:tcPr>
                  <w:tcW w:w="1278" w:type="dxa"/>
                  <w:tcBorders>
                    <w:tl2br w:val="nil"/>
                    <w:tr2bl w:val="nil"/>
                  </w:tcBorders>
                  <w:shd w:val="clear" w:color="auto" w:fill="auto"/>
                  <w:noWrap w:val="0"/>
                  <w:vAlign w:val="center"/>
                </w:tcPr>
                <w:p w14:paraId="7160BBB1">
                  <w:pPr>
                    <w:widowControl/>
                    <w:adjustRightInd w:val="0"/>
                    <w:snapToGrid w:val="0"/>
                    <w:jc w:val="center"/>
                    <w:textAlignment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1</w:t>
                  </w:r>
                  <w:r>
                    <w:rPr>
                      <w:rFonts w:hint="eastAsia" w:cs="Times New Roman"/>
                      <w:color w:val="auto"/>
                      <w:lang w:val="en-US" w:eastAsia="zh-CN"/>
                    </w:rPr>
                    <w:t>m</w:t>
                  </w:r>
                </w:p>
              </w:tc>
            </w:tr>
            <w:tr w14:paraId="177BD9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1605" w:type="dxa"/>
                  <w:tcBorders>
                    <w:tl2br w:val="nil"/>
                    <w:tr2bl w:val="nil"/>
                  </w:tcBorders>
                  <w:shd w:val="clear" w:color="auto" w:fill="auto"/>
                  <w:noWrap w:val="0"/>
                  <w:vAlign w:val="center"/>
                </w:tcPr>
                <w:p w14:paraId="4499C4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kern w:val="2"/>
                      <w:sz w:val="21"/>
                      <w:szCs w:val="21"/>
                      <w:lang w:val="en-US" w:eastAsia="zh-CN" w:bidi="ar-SA"/>
                    </w:rPr>
                  </w:pPr>
                  <w:r>
                    <w:rPr>
                      <w:rFonts w:hint="default" w:ascii="Times New Roman" w:hAnsi="宋体" w:eastAsia="宋体" w:cs="Times New Roman"/>
                      <w:color w:val="auto"/>
                      <w:sz w:val="21"/>
                      <w:szCs w:val="21"/>
                      <w:lang w:val="en-US" w:eastAsia="zh-CN"/>
                    </w:rPr>
                    <w:t>真空干燥箱</w:t>
                  </w:r>
                  <w:r>
                    <w:rPr>
                      <w:rFonts w:hint="eastAsia" w:ascii="Times New Roman" w:hAnsi="宋体" w:eastAsia="宋体" w:cs="Times New Roman"/>
                      <w:color w:val="auto"/>
                      <w:sz w:val="21"/>
                      <w:szCs w:val="21"/>
                      <w:lang w:val="en-US" w:eastAsia="zh-CN"/>
                    </w:rPr>
                    <w:t>2</w:t>
                  </w:r>
                </w:p>
              </w:tc>
              <w:tc>
                <w:tcPr>
                  <w:tcW w:w="988" w:type="dxa"/>
                  <w:tcBorders>
                    <w:tl2br w:val="nil"/>
                    <w:tr2bl w:val="nil"/>
                  </w:tcBorders>
                  <w:shd w:val="clear" w:color="auto" w:fill="auto"/>
                  <w:noWrap w:val="0"/>
                  <w:vAlign w:val="center"/>
                </w:tcPr>
                <w:p w14:paraId="23F759D3">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75</w:t>
                  </w:r>
                </w:p>
              </w:tc>
              <w:tc>
                <w:tcPr>
                  <w:tcW w:w="0" w:type="auto"/>
                  <w:vMerge w:val="continue"/>
                  <w:tcBorders>
                    <w:tl2br w:val="nil"/>
                    <w:tr2bl w:val="nil"/>
                  </w:tcBorders>
                  <w:noWrap w:val="0"/>
                  <w:vAlign w:val="center"/>
                </w:tcPr>
                <w:p w14:paraId="3927A4B1">
                  <w:pPr>
                    <w:jc w:val="center"/>
                    <w:rPr>
                      <w:color w:val="auto"/>
                      <w:szCs w:val="21"/>
                    </w:rPr>
                  </w:pPr>
                </w:p>
              </w:tc>
              <w:tc>
                <w:tcPr>
                  <w:tcW w:w="691" w:type="dxa"/>
                  <w:tcBorders>
                    <w:tl2br w:val="nil"/>
                    <w:tr2bl w:val="nil"/>
                  </w:tcBorders>
                  <w:noWrap w:val="0"/>
                  <w:vAlign w:val="center"/>
                </w:tcPr>
                <w:p w14:paraId="3C8EB5D5">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44</w:t>
                  </w:r>
                </w:p>
              </w:tc>
              <w:tc>
                <w:tcPr>
                  <w:tcW w:w="780" w:type="dxa"/>
                  <w:tcBorders>
                    <w:tl2br w:val="nil"/>
                    <w:tr2bl w:val="nil"/>
                  </w:tcBorders>
                  <w:noWrap w:val="0"/>
                  <w:vAlign w:val="center"/>
                </w:tcPr>
                <w:p w14:paraId="403B1575">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17</w:t>
                  </w:r>
                </w:p>
              </w:tc>
              <w:tc>
                <w:tcPr>
                  <w:tcW w:w="735" w:type="dxa"/>
                  <w:tcBorders>
                    <w:tl2br w:val="nil"/>
                    <w:tr2bl w:val="nil"/>
                  </w:tcBorders>
                  <w:noWrap w:val="0"/>
                  <w:vAlign w:val="center"/>
                </w:tcPr>
                <w:p w14:paraId="506E7EF2">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064" w:type="dxa"/>
                  <w:tcBorders>
                    <w:tl2br w:val="nil"/>
                    <w:tr2bl w:val="nil"/>
                  </w:tcBorders>
                  <w:noWrap w:val="0"/>
                  <w:vAlign w:val="center"/>
                </w:tcPr>
                <w:p w14:paraId="294DCE45">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cs="Times New Roman"/>
                      <w:color w:val="auto"/>
                      <w:lang w:val="en-US" w:eastAsia="zh-CN"/>
                    </w:rPr>
                    <w:t>7</w:t>
                  </w:r>
                </w:p>
              </w:tc>
              <w:tc>
                <w:tcPr>
                  <w:tcW w:w="1155" w:type="dxa"/>
                  <w:tcBorders>
                    <w:tl2br w:val="nil"/>
                    <w:tr2bl w:val="nil"/>
                  </w:tcBorders>
                  <w:noWrap w:val="0"/>
                  <w:vAlign w:val="center"/>
                </w:tcPr>
                <w:p w14:paraId="652E52DC">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70</w:t>
                  </w:r>
                </w:p>
              </w:tc>
              <w:tc>
                <w:tcPr>
                  <w:tcW w:w="840" w:type="dxa"/>
                  <w:vMerge w:val="continue"/>
                  <w:tcBorders>
                    <w:tl2br w:val="nil"/>
                    <w:tr2bl w:val="nil"/>
                  </w:tcBorders>
                  <w:noWrap w:val="0"/>
                  <w:vAlign w:val="center"/>
                </w:tcPr>
                <w:p w14:paraId="56E01E89">
                  <w:pPr>
                    <w:widowControl/>
                    <w:adjustRightInd w:val="0"/>
                    <w:snapToGrid w:val="0"/>
                    <w:jc w:val="center"/>
                    <w:textAlignment w:val="center"/>
                    <w:rPr>
                      <w:rFonts w:hint="eastAsia" w:ascii="Times New Roman" w:hAnsi="Times New Roman" w:eastAsia="宋体" w:cs="Times New Roman"/>
                      <w:color w:val="auto"/>
                      <w:lang w:val="en-US" w:eastAsia="zh-CN"/>
                    </w:rPr>
                  </w:pPr>
                </w:p>
              </w:tc>
              <w:tc>
                <w:tcPr>
                  <w:tcW w:w="1080" w:type="dxa"/>
                  <w:vMerge w:val="continue"/>
                  <w:tcBorders>
                    <w:tl2br w:val="nil"/>
                    <w:tr2bl w:val="nil"/>
                  </w:tcBorders>
                  <w:noWrap w:val="0"/>
                  <w:vAlign w:val="center"/>
                </w:tcPr>
                <w:p w14:paraId="0F303B8D">
                  <w:pPr>
                    <w:widowControl/>
                    <w:adjustRightInd w:val="0"/>
                    <w:snapToGrid w:val="0"/>
                    <w:jc w:val="center"/>
                    <w:textAlignment w:val="center"/>
                    <w:rPr>
                      <w:rFonts w:hint="eastAsia" w:ascii="Times New Roman" w:hAnsi="Times New Roman" w:eastAsia="宋体" w:cs="Times New Roman"/>
                      <w:color w:val="auto"/>
                      <w:lang w:val="en-US" w:eastAsia="zh-CN"/>
                    </w:rPr>
                  </w:pPr>
                </w:p>
              </w:tc>
              <w:tc>
                <w:tcPr>
                  <w:tcW w:w="1247" w:type="dxa"/>
                  <w:tcBorders>
                    <w:tl2br w:val="nil"/>
                    <w:tr2bl w:val="nil"/>
                  </w:tcBorders>
                  <w:noWrap w:val="0"/>
                  <w:vAlign w:val="center"/>
                </w:tcPr>
                <w:p w14:paraId="76760979">
                  <w:pPr>
                    <w:widowControl/>
                    <w:adjustRightInd w:val="0"/>
                    <w:snapToGrid w:val="0"/>
                    <w:jc w:val="center"/>
                    <w:textAlignment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49</w:t>
                  </w:r>
                </w:p>
              </w:tc>
              <w:tc>
                <w:tcPr>
                  <w:tcW w:w="1278" w:type="dxa"/>
                  <w:tcBorders>
                    <w:tl2br w:val="nil"/>
                    <w:tr2bl w:val="nil"/>
                  </w:tcBorders>
                  <w:shd w:val="clear" w:color="auto" w:fill="auto"/>
                  <w:noWrap w:val="0"/>
                  <w:vAlign w:val="center"/>
                </w:tcPr>
                <w:p w14:paraId="0B4BE106">
                  <w:pPr>
                    <w:widowControl/>
                    <w:adjustRightInd w:val="0"/>
                    <w:snapToGrid w:val="0"/>
                    <w:jc w:val="center"/>
                    <w:textAlignment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1</w:t>
                  </w:r>
                  <w:r>
                    <w:rPr>
                      <w:rFonts w:hint="eastAsia" w:cs="Times New Roman"/>
                      <w:color w:val="auto"/>
                      <w:lang w:val="en-US" w:eastAsia="zh-CN"/>
                    </w:rPr>
                    <w:t>m</w:t>
                  </w:r>
                </w:p>
              </w:tc>
            </w:tr>
            <w:tr w14:paraId="0235AC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1605" w:type="dxa"/>
                  <w:tcBorders>
                    <w:tl2br w:val="nil"/>
                    <w:tr2bl w:val="nil"/>
                  </w:tcBorders>
                  <w:shd w:val="clear" w:color="auto" w:fill="auto"/>
                  <w:noWrap w:val="0"/>
                  <w:vAlign w:val="center"/>
                </w:tcPr>
                <w:p w14:paraId="75B2D6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kern w:val="2"/>
                      <w:sz w:val="21"/>
                      <w:szCs w:val="21"/>
                      <w:lang w:val="en-US" w:eastAsia="zh-CN" w:bidi="ar-SA"/>
                    </w:rPr>
                  </w:pPr>
                  <w:r>
                    <w:rPr>
                      <w:rFonts w:hint="default" w:ascii="Times New Roman" w:hAnsi="宋体" w:eastAsia="宋体" w:cs="Times New Roman"/>
                      <w:color w:val="auto"/>
                      <w:sz w:val="21"/>
                      <w:szCs w:val="21"/>
                      <w:lang w:val="en-US" w:eastAsia="zh-CN"/>
                    </w:rPr>
                    <w:t>裁切机</w:t>
                  </w:r>
                </w:p>
              </w:tc>
              <w:tc>
                <w:tcPr>
                  <w:tcW w:w="988" w:type="dxa"/>
                  <w:tcBorders>
                    <w:tl2br w:val="nil"/>
                    <w:tr2bl w:val="nil"/>
                  </w:tcBorders>
                  <w:shd w:val="clear" w:color="auto" w:fill="auto"/>
                  <w:noWrap w:val="0"/>
                  <w:vAlign w:val="center"/>
                </w:tcPr>
                <w:p w14:paraId="6C08E95F">
                  <w:pPr>
                    <w:jc w:val="center"/>
                    <w:rPr>
                      <w:rFonts w:hint="eastAsia" w:ascii="Times New Roman" w:hAnsi="Times New Roman" w:eastAsia="宋体" w:cs="Times New Roman"/>
                      <w:color w:val="auto"/>
                      <w:kern w:val="2"/>
                      <w:sz w:val="21"/>
                      <w:szCs w:val="21"/>
                      <w:lang w:val="en-US" w:eastAsia="zh-CN" w:bidi="ar-SA"/>
                    </w:rPr>
                  </w:pPr>
                  <w:r>
                    <w:rPr>
                      <w:color w:val="auto"/>
                      <w:szCs w:val="21"/>
                    </w:rPr>
                    <w:t>7</w:t>
                  </w:r>
                  <w:r>
                    <w:rPr>
                      <w:rFonts w:hint="eastAsia"/>
                      <w:color w:val="auto"/>
                      <w:szCs w:val="21"/>
                      <w:lang w:val="en-US" w:eastAsia="zh-CN"/>
                    </w:rPr>
                    <w:t>5</w:t>
                  </w:r>
                </w:p>
              </w:tc>
              <w:tc>
                <w:tcPr>
                  <w:tcW w:w="0" w:type="auto"/>
                  <w:vMerge w:val="continue"/>
                  <w:tcBorders>
                    <w:tl2br w:val="nil"/>
                    <w:tr2bl w:val="nil"/>
                  </w:tcBorders>
                  <w:noWrap w:val="0"/>
                  <w:vAlign w:val="center"/>
                </w:tcPr>
                <w:p w14:paraId="7C759329">
                  <w:pPr>
                    <w:jc w:val="center"/>
                    <w:rPr>
                      <w:color w:val="auto"/>
                      <w:szCs w:val="21"/>
                    </w:rPr>
                  </w:pPr>
                </w:p>
              </w:tc>
              <w:tc>
                <w:tcPr>
                  <w:tcW w:w="691" w:type="dxa"/>
                  <w:tcBorders>
                    <w:tl2br w:val="nil"/>
                    <w:tr2bl w:val="nil"/>
                  </w:tcBorders>
                  <w:noWrap w:val="0"/>
                  <w:vAlign w:val="center"/>
                </w:tcPr>
                <w:p w14:paraId="5BDBF7A5">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44</w:t>
                  </w:r>
                </w:p>
              </w:tc>
              <w:tc>
                <w:tcPr>
                  <w:tcW w:w="780" w:type="dxa"/>
                  <w:tcBorders>
                    <w:tl2br w:val="nil"/>
                    <w:tr2bl w:val="nil"/>
                  </w:tcBorders>
                  <w:noWrap w:val="0"/>
                  <w:vAlign w:val="center"/>
                </w:tcPr>
                <w:p w14:paraId="30C74D54">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14</w:t>
                  </w:r>
                </w:p>
              </w:tc>
              <w:tc>
                <w:tcPr>
                  <w:tcW w:w="735" w:type="dxa"/>
                  <w:tcBorders>
                    <w:tl2br w:val="nil"/>
                    <w:tr2bl w:val="nil"/>
                  </w:tcBorders>
                  <w:noWrap w:val="0"/>
                  <w:vAlign w:val="center"/>
                </w:tcPr>
                <w:p w14:paraId="2FD0DC00">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064" w:type="dxa"/>
                  <w:tcBorders>
                    <w:tl2br w:val="nil"/>
                    <w:tr2bl w:val="nil"/>
                  </w:tcBorders>
                  <w:noWrap w:val="0"/>
                  <w:vAlign w:val="center"/>
                </w:tcPr>
                <w:p w14:paraId="50BD55CE">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w:t>
                  </w:r>
                </w:p>
              </w:tc>
              <w:tc>
                <w:tcPr>
                  <w:tcW w:w="1155" w:type="dxa"/>
                  <w:tcBorders>
                    <w:tl2br w:val="nil"/>
                    <w:tr2bl w:val="nil"/>
                  </w:tcBorders>
                  <w:noWrap w:val="0"/>
                  <w:vAlign w:val="center"/>
                </w:tcPr>
                <w:p w14:paraId="09BEC046">
                  <w:pPr>
                    <w:widowControl/>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70</w:t>
                  </w:r>
                </w:p>
              </w:tc>
              <w:tc>
                <w:tcPr>
                  <w:tcW w:w="840" w:type="dxa"/>
                  <w:vMerge w:val="continue"/>
                  <w:tcBorders>
                    <w:tl2br w:val="nil"/>
                    <w:tr2bl w:val="nil"/>
                  </w:tcBorders>
                  <w:noWrap w:val="0"/>
                  <w:vAlign w:val="center"/>
                </w:tcPr>
                <w:p w14:paraId="094C4A22">
                  <w:pPr>
                    <w:widowControl/>
                    <w:adjustRightInd w:val="0"/>
                    <w:snapToGrid w:val="0"/>
                    <w:jc w:val="center"/>
                    <w:textAlignment w:val="center"/>
                    <w:rPr>
                      <w:rFonts w:hint="eastAsia" w:ascii="Times New Roman" w:hAnsi="Times New Roman" w:eastAsia="宋体" w:cs="Times New Roman"/>
                      <w:color w:val="auto"/>
                      <w:lang w:val="en-US" w:eastAsia="zh-CN"/>
                    </w:rPr>
                  </w:pPr>
                </w:p>
              </w:tc>
              <w:tc>
                <w:tcPr>
                  <w:tcW w:w="1080" w:type="dxa"/>
                  <w:vMerge w:val="continue"/>
                  <w:tcBorders>
                    <w:tl2br w:val="nil"/>
                    <w:tr2bl w:val="nil"/>
                  </w:tcBorders>
                  <w:noWrap w:val="0"/>
                  <w:vAlign w:val="center"/>
                </w:tcPr>
                <w:p w14:paraId="4A8348E5">
                  <w:pPr>
                    <w:widowControl/>
                    <w:adjustRightInd w:val="0"/>
                    <w:snapToGrid w:val="0"/>
                    <w:jc w:val="center"/>
                    <w:textAlignment w:val="center"/>
                    <w:rPr>
                      <w:rFonts w:hint="eastAsia" w:ascii="Times New Roman" w:hAnsi="Times New Roman" w:eastAsia="宋体" w:cs="Times New Roman"/>
                      <w:color w:val="auto"/>
                      <w:lang w:val="en-US" w:eastAsia="zh-CN"/>
                    </w:rPr>
                  </w:pPr>
                </w:p>
              </w:tc>
              <w:tc>
                <w:tcPr>
                  <w:tcW w:w="1247" w:type="dxa"/>
                  <w:tcBorders>
                    <w:tl2br w:val="nil"/>
                    <w:tr2bl w:val="nil"/>
                  </w:tcBorders>
                  <w:noWrap w:val="0"/>
                  <w:vAlign w:val="center"/>
                </w:tcPr>
                <w:p w14:paraId="530510EF">
                  <w:pPr>
                    <w:widowControl/>
                    <w:adjustRightInd w:val="0"/>
                    <w:snapToGrid w:val="0"/>
                    <w:jc w:val="center"/>
                    <w:textAlignment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49</w:t>
                  </w:r>
                </w:p>
              </w:tc>
              <w:tc>
                <w:tcPr>
                  <w:tcW w:w="0" w:type="auto"/>
                  <w:tcBorders>
                    <w:tl2br w:val="nil"/>
                    <w:tr2bl w:val="nil"/>
                  </w:tcBorders>
                  <w:shd w:val="clear" w:color="auto" w:fill="auto"/>
                  <w:noWrap w:val="0"/>
                  <w:vAlign w:val="center"/>
                </w:tcPr>
                <w:p w14:paraId="419F1AFC">
                  <w:pPr>
                    <w:widowControl/>
                    <w:adjustRightInd w:val="0"/>
                    <w:snapToGrid w:val="0"/>
                    <w:jc w:val="center"/>
                    <w:textAlignment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1</w:t>
                  </w:r>
                  <w:r>
                    <w:rPr>
                      <w:rFonts w:hint="eastAsia" w:cs="Times New Roman"/>
                      <w:color w:val="auto"/>
                      <w:lang w:val="en-US" w:eastAsia="zh-CN"/>
                    </w:rPr>
                    <w:t>m</w:t>
                  </w:r>
                </w:p>
              </w:tc>
            </w:tr>
          </w:tbl>
          <w:p w14:paraId="66D680A7">
            <w:pPr>
              <w:spacing w:line="240" w:lineRule="auto"/>
              <w:jc w:val="center"/>
              <w:rPr>
                <w:rFonts w:hint="default" w:ascii="Times New Roman" w:hAnsi="Times New Roman" w:eastAsia="宋体" w:cs="Times New Roman"/>
                <w:b/>
                <w:color w:val="auto"/>
                <w:kern w:val="0"/>
                <w:szCs w:val="21"/>
              </w:rPr>
            </w:pPr>
            <w:r>
              <w:rPr>
                <w:b/>
                <w:color w:val="auto"/>
                <w:sz w:val="24"/>
              </w:rPr>
              <w:t>表4-</w:t>
            </w:r>
            <w:r>
              <w:rPr>
                <w:rFonts w:hint="eastAsia"/>
                <w:b/>
                <w:color w:val="auto"/>
                <w:sz w:val="24"/>
                <w:lang w:val="en-US" w:eastAsia="zh-CN"/>
              </w:rPr>
              <w:t>10</w:t>
            </w:r>
            <w:r>
              <w:rPr>
                <w:b/>
                <w:color w:val="auto"/>
                <w:sz w:val="24"/>
              </w:rPr>
              <w:t xml:space="preserve">   </w:t>
            </w:r>
            <w:r>
              <w:rPr>
                <w:rFonts w:hint="eastAsia"/>
                <w:b/>
                <w:bCs/>
                <w:color w:val="auto"/>
                <w:sz w:val="24"/>
              </w:rPr>
              <w:t>本项目</w:t>
            </w:r>
            <w:r>
              <w:rPr>
                <w:b/>
                <w:bCs/>
                <w:color w:val="auto"/>
                <w:sz w:val="24"/>
              </w:rPr>
              <w:t>噪声源强调查清单</w:t>
            </w:r>
            <w:r>
              <w:rPr>
                <w:rFonts w:hint="eastAsia"/>
                <w:b/>
                <w:bCs/>
                <w:color w:val="auto"/>
                <w:sz w:val="24"/>
              </w:rPr>
              <w:t>（室外）</w:t>
            </w:r>
          </w:p>
          <w:tbl>
            <w:tblPr>
              <w:tblStyle w:val="27"/>
              <w:tblW w:w="504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1751"/>
              <w:gridCol w:w="1461"/>
              <w:gridCol w:w="1351"/>
              <w:gridCol w:w="2258"/>
              <w:gridCol w:w="1730"/>
              <w:gridCol w:w="1810"/>
              <w:gridCol w:w="1888"/>
            </w:tblGrid>
            <w:tr w14:paraId="36E19B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3" w:type="pct"/>
                  <w:vMerge w:val="restart"/>
                  <w:tcBorders>
                    <w:tl2br w:val="nil"/>
                    <w:tr2bl w:val="nil"/>
                  </w:tcBorders>
                  <w:noWrap w:val="0"/>
                  <w:vAlign w:val="center"/>
                </w:tcPr>
                <w:p w14:paraId="30C14A04">
                  <w:pPr>
                    <w:adjustRightInd w:val="0"/>
                    <w:snapToGrid w:val="0"/>
                    <w:jc w:val="center"/>
                    <w:rPr>
                      <w:b/>
                      <w:bCs/>
                      <w:color w:val="auto"/>
                      <w:szCs w:val="21"/>
                    </w:rPr>
                  </w:pPr>
                  <w:r>
                    <w:rPr>
                      <w:b/>
                      <w:bCs/>
                      <w:color w:val="auto"/>
                      <w:szCs w:val="21"/>
                    </w:rPr>
                    <w:t>序号</w:t>
                  </w:r>
                </w:p>
              </w:tc>
              <w:tc>
                <w:tcPr>
                  <w:tcW w:w="657" w:type="pct"/>
                  <w:vMerge w:val="restart"/>
                  <w:tcBorders>
                    <w:tl2br w:val="nil"/>
                    <w:tr2bl w:val="nil"/>
                  </w:tcBorders>
                  <w:noWrap w:val="0"/>
                  <w:vAlign w:val="center"/>
                </w:tcPr>
                <w:p w14:paraId="6AC4DD3C">
                  <w:pPr>
                    <w:adjustRightInd w:val="0"/>
                    <w:snapToGrid w:val="0"/>
                    <w:jc w:val="center"/>
                    <w:rPr>
                      <w:b/>
                      <w:bCs/>
                      <w:color w:val="auto"/>
                      <w:szCs w:val="21"/>
                    </w:rPr>
                  </w:pPr>
                  <w:r>
                    <w:rPr>
                      <w:b/>
                      <w:bCs/>
                      <w:color w:val="auto"/>
                      <w:szCs w:val="21"/>
                    </w:rPr>
                    <w:t>声源名称</w:t>
                  </w:r>
                </w:p>
              </w:tc>
              <w:tc>
                <w:tcPr>
                  <w:tcW w:w="1902" w:type="pct"/>
                  <w:gridSpan w:val="3"/>
                  <w:tcBorders>
                    <w:tl2br w:val="nil"/>
                    <w:tr2bl w:val="nil"/>
                  </w:tcBorders>
                  <w:noWrap w:val="0"/>
                  <w:vAlign w:val="center"/>
                </w:tcPr>
                <w:p w14:paraId="78996AD2">
                  <w:pPr>
                    <w:adjustRightInd w:val="0"/>
                    <w:snapToGrid w:val="0"/>
                    <w:jc w:val="center"/>
                    <w:rPr>
                      <w:b/>
                      <w:bCs/>
                      <w:color w:val="auto"/>
                      <w:szCs w:val="21"/>
                    </w:rPr>
                  </w:pPr>
                  <w:r>
                    <w:rPr>
                      <w:b/>
                      <w:bCs/>
                      <w:color w:val="auto"/>
                      <w:szCs w:val="21"/>
                    </w:rPr>
                    <w:t>空间相对位置/m</w:t>
                  </w:r>
                </w:p>
              </w:tc>
              <w:tc>
                <w:tcPr>
                  <w:tcW w:w="649" w:type="pct"/>
                  <w:vMerge w:val="restart"/>
                  <w:tcBorders>
                    <w:tl2br w:val="nil"/>
                    <w:tr2bl w:val="nil"/>
                  </w:tcBorders>
                  <w:noWrap w:val="0"/>
                  <w:vAlign w:val="center"/>
                </w:tcPr>
                <w:p w14:paraId="2BB3EBDE">
                  <w:pPr>
                    <w:adjustRightInd w:val="0"/>
                    <w:snapToGrid w:val="0"/>
                    <w:jc w:val="center"/>
                    <w:rPr>
                      <w:b/>
                      <w:bCs/>
                      <w:color w:val="auto"/>
                      <w:szCs w:val="21"/>
                    </w:rPr>
                  </w:pPr>
                  <w:r>
                    <w:rPr>
                      <w:b/>
                      <w:bCs/>
                      <w:color w:val="auto"/>
                      <w:szCs w:val="21"/>
                    </w:rPr>
                    <w:t>声功率级/dB（A）</w:t>
                  </w:r>
                </w:p>
              </w:tc>
              <w:tc>
                <w:tcPr>
                  <w:tcW w:w="679" w:type="pct"/>
                  <w:vMerge w:val="restart"/>
                  <w:tcBorders>
                    <w:tl2br w:val="nil"/>
                    <w:tr2bl w:val="nil"/>
                  </w:tcBorders>
                  <w:noWrap w:val="0"/>
                  <w:vAlign w:val="center"/>
                </w:tcPr>
                <w:p w14:paraId="5ABA6F8D">
                  <w:pPr>
                    <w:adjustRightInd w:val="0"/>
                    <w:snapToGrid w:val="0"/>
                    <w:jc w:val="center"/>
                    <w:rPr>
                      <w:b/>
                      <w:bCs/>
                      <w:color w:val="auto"/>
                      <w:szCs w:val="21"/>
                    </w:rPr>
                  </w:pPr>
                  <w:r>
                    <w:rPr>
                      <w:b/>
                      <w:bCs/>
                      <w:color w:val="auto"/>
                      <w:szCs w:val="21"/>
                    </w:rPr>
                    <w:t>声源控制措施</w:t>
                  </w:r>
                </w:p>
              </w:tc>
              <w:tc>
                <w:tcPr>
                  <w:tcW w:w="708" w:type="pct"/>
                  <w:vMerge w:val="restart"/>
                  <w:tcBorders>
                    <w:tl2br w:val="nil"/>
                    <w:tr2bl w:val="nil"/>
                  </w:tcBorders>
                  <w:noWrap w:val="0"/>
                  <w:vAlign w:val="center"/>
                </w:tcPr>
                <w:p w14:paraId="776D62D8">
                  <w:pPr>
                    <w:adjustRightInd w:val="0"/>
                    <w:snapToGrid w:val="0"/>
                    <w:jc w:val="center"/>
                    <w:rPr>
                      <w:b/>
                      <w:bCs/>
                      <w:color w:val="auto"/>
                      <w:szCs w:val="21"/>
                    </w:rPr>
                  </w:pPr>
                  <w:r>
                    <w:rPr>
                      <w:b/>
                      <w:bCs/>
                      <w:color w:val="auto"/>
                      <w:szCs w:val="21"/>
                    </w:rPr>
                    <w:t>运行时段</w:t>
                  </w:r>
                </w:p>
              </w:tc>
            </w:tr>
            <w:tr w14:paraId="72160D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3" w:type="pct"/>
                  <w:vMerge w:val="continue"/>
                  <w:tcBorders>
                    <w:tl2br w:val="nil"/>
                    <w:tr2bl w:val="nil"/>
                  </w:tcBorders>
                  <w:noWrap w:val="0"/>
                  <w:vAlign w:val="center"/>
                </w:tcPr>
                <w:p w14:paraId="4D115F97">
                  <w:pPr>
                    <w:adjustRightInd w:val="0"/>
                    <w:snapToGrid w:val="0"/>
                    <w:jc w:val="center"/>
                    <w:rPr>
                      <w:color w:val="auto"/>
                      <w:szCs w:val="21"/>
                    </w:rPr>
                  </w:pPr>
                </w:p>
              </w:tc>
              <w:tc>
                <w:tcPr>
                  <w:tcW w:w="657" w:type="pct"/>
                  <w:vMerge w:val="continue"/>
                  <w:tcBorders>
                    <w:tl2br w:val="nil"/>
                    <w:tr2bl w:val="nil"/>
                  </w:tcBorders>
                  <w:noWrap w:val="0"/>
                  <w:vAlign w:val="center"/>
                </w:tcPr>
                <w:p w14:paraId="6B20E809">
                  <w:pPr>
                    <w:adjustRightInd w:val="0"/>
                    <w:snapToGrid w:val="0"/>
                    <w:jc w:val="center"/>
                    <w:rPr>
                      <w:color w:val="auto"/>
                      <w:szCs w:val="21"/>
                    </w:rPr>
                  </w:pPr>
                </w:p>
              </w:tc>
              <w:tc>
                <w:tcPr>
                  <w:tcW w:w="548" w:type="pct"/>
                  <w:tcBorders>
                    <w:tl2br w:val="nil"/>
                    <w:tr2bl w:val="nil"/>
                  </w:tcBorders>
                  <w:noWrap w:val="0"/>
                  <w:vAlign w:val="center"/>
                </w:tcPr>
                <w:p w14:paraId="456FC19D">
                  <w:pPr>
                    <w:adjustRightInd w:val="0"/>
                    <w:snapToGrid w:val="0"/>
                    <w:jc w:val="center"/>
                    <w:rPr>
                      <w:b/>
                      <w:bCs/>
                      <w:color w:val="auto"/>
                      <w:szCs w:val="21"/>
                    </w:rPr>
                  </w:pPr>
                  <w:r>
                    <w:rPr>
                      <w:b/>
                      <w:bCs/>
                      <w:color w:val="auto"/>
                      <w:szCs w:val="21"/>
                    </w:rPr>
                    <w:t>X</w:t>
                  </w:r>
                </w:p>
              </w:tc>
              <w:tc>
                <w:tcPr>
                  <w:tcW w:w="507" w:type="pct"/>
                  <w:tcBorders>
                    <w:tl2br w:val="nil"/>
                    <w:tr2bl w:val="nil"/>
                  </w:tcBorders>
                  <w:noWrap w:val="0"/>
                  <w:vAlign w:val="center"/>
                </w:tcPr>
                <w:p w14:paraId="1A546DD6">
                  <w:pPr>
                    <w:adjustRightInd w:val="0"/>
                    <w:snapToGrid w:val="0"/>
                    <w:jc w:val="center"/>
                    <w:rPr>
                      <w:b/>
                      <w:bCs/>
                      <w:color w:val="auto"/>
                      <w:szCs w:val="21"/>
                    </w:rPr>
                  </w:pPr>
                  <w:r>
                    <w:rPr>
                      <w:b/>
                      <w:bCs/>
                      <w:color w:val="auto"/>
                      <w:szCs w:val="21"/>
                    </w:rPr>
                    <w:t>Y</w:t>
                  </w:r>
                </w:p>
              </w:tc>
              <w:tc>
                <w:tcPr>
                  <w:tcW w:w="847" w:type="pct"/>
                  <w:tcBorders>
                    <w:tl2br w:val="nil"/>
                    <w:tr2bl w:val="nil"/>
                  </w:tcBorders>
                  <w:noWrap w:val="0"/>
                  <w:vAlign w:val="center"/>
                </w:tcPr>
                <w:p w14:paraId="0B438EB6">
                  <w:pPr>
                    <w:adjustRightInd w:val="0"/>
                    <w:snapToGrid w:val="0"/>
                    <w:jc w:val="center"/>
                    <w:rPr>
                      <w:b/>
                      <w:bCs/>
                      <w:color w:val="auto"/>
                      <w:szCs w:val="21"/>
                    </w:rPr>
                  </w:pPr>
                  <w:r>
                    <w:rPr>
                      <w:b/>
                      <w:bCs/>
                      <w:color w:val="auto"/>
                      <w:szCs w:val="21"/>
                    </w:rPr>
                    <w:t>Z</w:t>
                  </w:r>
                </w:p>
              </w:tc>
              <w:tc>
                <w:tcPr>
                  <w:tcW w:w="649" w:type="pct"/>
                  <w:vMerge w:val="continue"/>
                  <w:tcBorders>
                    <w:tl2br w:val="nil"/>
                    <w:tr2bl w:val="nil"/>
                  </w:tcBorders>
                  <w:noWrap w:val="0"/>
                  <w:vAlign w:val="center"/>
                </w:tcPr>
                <w:p w14:paraId="2F1DD6C3">
                  <w:pPr>
                    <w:adjustRightInd w:val="0"/>
                    <w:snapToGrid w:val="0"/>
                    <w:jc w:val="center"/>
                    <w:rPr>
                      <w:color w:val="auto"/>
                      <w:szCs w:val="21"/>
                    </w:rPr>
                  </w:pPr>
                </w:p>
              </w:tc>
              <w:tc>
                <w:tcPr>
                  <w:tcW w:w="679" w:type="pct"/>
                  <w:vMerge w:val="continue"/>
                  <w:tcBorders>
                    <w:tl2br w:val="nil"/>
                    <w:tr2bl w:val="nil"/>
                  </w:tcBorders>
                  <w:noWrap w:val="0"/>
                  <w:vAlign w:val="center"/>
                </w:tcPr>
                <w:p w14:paraId="3E117593">
                  <w:pPr>
                    <w:adjustRightInd w:val="0"/>
                    <w:snapToGrid w:val="0"/>
                    <w:jc w:val="center"/>
                    <w:rPr>
                      <w:color w:val="auto"/>
                      <w:szCs w:val="21"/>
                    </w:rPr>
                  </w:pPr>
                </w:p>
              </w:tc>
              <w:tc>
                <w:tcPr>
                  <w:tcW w:w="708" w:type="pct"/>
                  <w:vMerge w:val="continue"/>
                  <w:tcBorders>
                    <w:tl2br w:val="nil"/>
                    <w:tr2bl w:val="nil"/>
                  </w:tcBorders>
                  <w:noWrap w:val="0"/>
                  <w:vAlign w:val="center"/>
                </w:tcPr>
                <w:p w14:paraId="6103CA33">
                  <w:pPr>
                    <w:adjustRightInd w:val="0"/>
                    <w:snapToGrid w:val="0"/>
                    <w:jc w:val="center"/>
                    <w:rPr>
                      <w:color w:val="auto"/>
                      <w:szCs w:val="21"/>
                    </w:rPr>
                  </w:pPr>
                </w:p>
              </w:tc>
            </w:tr>
            <w:tr w14:paraId="332F41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3" w:type="pct"/>
                  <w:tcBorders>
                    <w:tl2br w:val="nil"/>
                    <w:tr2bl w:val="nil"/>
                  </w:tcBorders>
                  <w:noWrap w:val="0"/>
                  <w:vAlign w:val="center"/>
                </w:tcPr>
                <w:p w14:paraId="50A20C90">
                  <w:pPr>
                    <w:adjustRightInd w:val="0"/>
                    <w:snapToGrid w:val="0"/>
                    <w:jc w:val="center"/>
                    <w:rPr>
                      <w:color w:val="auto"/>
                      <w:szCs w:val="21"/>
                    </w:rPr>
                  </w:pPr>
                  <w:r>
                    <w:rPr>
                      <w:color w:val="auto"/>
                      <w:szCs w:val="21"/>
                    </w:rPr>
                    <w:t>1</w:t>
                  </w:r>
                </w:p>
              </w:tc>
              <w:tc>
                <w:tcPr>
                  <w:tcW w:w="657" w:type="pct"/>
                  <w:tcBorders>
                    <w:tl2br w:val="nil"/>
                    <w:tr2bl w:val="nil"/>
                  </w:tcBorders>
                  <w:noWrap w:val="0"/>
                  <w:vAlign w:val="center"/>
                </w:tcPr>
                <w:p w14:paraId="54976466">
                  <w:pPr>
                    <w:adjustRightInd w:val="0"/>
                    <w:snapToGrid w:val="0"/>
                    <w:jc w:val="center"/>
                    <w:rPr>
                      <w:color w:val="auto"/>
                      <w:szCs w:val="21"/>
                    </w:rPr>
                  </w:pPr>
                  <w:r>
                    <w:rPr>
                      <w:rFonts w:hint="eastAsia"/>
                      <w:color w:val="auto"/>
                    </w:rPr>
                    <w:t>风机</w:t>
                  </w:r>
                </w:p>
              </w:tc>
              <w:tc>
                <w:tcPr>
                  <w:tcW w:w="548" w:type="pct"/>
                  <w:tcBorders>
                    <w:tl2br w:val="nil"/>
                    <w:tr2bl w:val="nil"/>
                  </w:tcBorders>
                  <w:noWrap w:val="0"/>
                  <w:vAlign w:val="center"/>
                </w:tcPr>
                <w:p w14:paraId="27DBCB5D">
                  <w:pPr>
                    <w:widowControl/>
                    <w:adjustRightInd w:val="0"/>
                    <w:snapToGrid w:val="0"/>
                    <w:jc w:val="center"/>
                    <w:textAlignment w:val="center"/>
                    <w:rPr>
                      <w:rFonts w:hint="default" w:eastAsia="宋体"/>
                      <w:color w:val="auto"/>
                      <w:lang w:val="en-US" w:eastAsia="zh-CN"/>
                    </w:rPr>
                  </w:pPr>
                  <w:r>
                    <w:rPr>
                      <w:rFonts w:hint="eastAsia"/>
                      <w:color w:val="auto"/>
                      <w:lang w:val="en-US" w:eastAsia="zh-CN"/>
                    </w:rPr>
                    <w:t>50</w:t>
                  </w:r>
                </w:p>
              </w:tc>
              <w:tc>
                <w:tcPr>
                  <w:tcW w:w="507" w:type="pct"/>
                  <w:tcBorders>
                    <w:tl2br w:val="nil"/>
                    <w:tr2bl w:val="nil"/>
                  </w:tcBorders>
                  <w:noWrap w:val="0"/>
                  <w:vAlign w:val="center"/>
                </w:tcPr>
                <w:p w14:paraId="08B4395D">
                  <w:pPr>
                    <w:widowControl/>
                    <w:adjustRightInd w:val="0"/>
                    <w:snapToGrid w:val="0"/>
                    <w:jc w:val="center"/>
                    <w:textAlignment w:val="center"/>
                    <w:rPr>
                      <w:rFonts w:hint="default" w:eastAsia="宋体"/>
                      <w:color w:val="auto"/>
                      <w:lang w:val="en-US" w:eastAsia="zh-CN"/>
                    </w:rPr>
                  </w:pPr>
                  <w:r>
                    <w:rPr>
                      <w:rFonts w:hint="eastAsia"/>
                      <w:color w:val="auto"/>
                      <w:lang w:val="en-US" w:eastAsia="zh-CN"/>
                    </w:rPr>
                    <w:t>23</w:t>
                  </w:r>
                </w:p>
              </w:tc>
              <w:tc>
                <w:tcPr>
                  <w:tcW w:w="847" w:type="pct"/>
                  <w:tcBorders>
                    <w:tl2br w:val="nil"/>
                    <w:tr2bl w:val="nil"/>
                  </w:tcBorders>
                  <w:noWrap w:val="0"/>
                  <w:vAlign w:val="center"/>
                </w:tcPr>
                <w:p w14:paraId="3254A092">
                  <w:pPr>
                    <w:widowControl/>
                    <w:adjustRightInd w:val="0"/>
                    <w:snapToGrid w:val="0"/>
                    <w:jc w:val="center"/>
                    <w:textAlignment w:val="center"/>
                    <w:rPr>
                      <w:rFonts w:hint="eastAsia" w:eastAsia="宋体"/>
                      <w:color w:val="auto"/>
                      <w:lang w:eastAsia="zh-CN"/>
                    </w:rPr>
                  </w:pPr>
                  <w:r>
                    <w:rPr>
                      <w:rFonts w:hint="eastAsia"/>
                      <w:color w:val="auto"/>
                      <w:lang w:val="en-US" w:eastAsia="zh-CN"/>
                    </w:rPr>
                    <w:t>1</w:t>
                  </w:r>
                </w:p>
              </w:tc>
              <w:tc>
                <w:tcPr>
                  <w:tcW w:w="649" w:type="pct"/>
                  <w:tcBorders>
                    <w:tl2br w:val="nil"/>
                    <w:tr2bl w:val="nil"/>
                  </w:tcBorders>
                  <w:noWrap w:val="0"/>
                  <w:vAlign w:val="center"/>
                </w:tcPr>
                <w:p w14:paraId="176EE354">
                  <w:pPr>
                    <w:adjustRightInd w:val="0"/>
                    <w:snapToGrid w:val="0"/>
                    <w:jc w:val="center"/>
                    <w:rPr>
                      <w:color w:val="auto"/>
                      <w:szCs w:val="21"/>
                    </w:rPr>
                  </w:pPr>
                  <w:r>
                    <w:rPr>
                      <w:rFonts w:hint="eastAsia"/>
                      <w:color w:val="auto"/>
                      <w:szCs w:val="21"/>
                    </w:rPr>
                    <w:t>80</w:t>
                  </w:r>
                </w:p>
              </w:tc>
              <w:tc>
                <w:tcPr>
                  <w:tcW w:w="679" w:type="pct"/>
                  <w:tcBorders>
                    <w:tl2br w:val="nil"/>
                    <w:tr2bl w:val="nil"/>
                  </w:tcBorders>
                  <w:noWrap w:val="0"/>
                  <w:vAlign w:val="center"/>
                </w:tcPr>
                <w:p w14:paraId="578063A4">
                  <w:pPr>
                    <w:adjustRightInd w:val="0"/>
                    <w:snapToGrid w:val="0"/>
                    <w:jc w:val="center"/>
                    <w:rPr>
                      <w:color w:val="auto"/>
                      <w:szCs w:val="21"/>
                    </w:rPr>
                  </w:pPr>
                  <w:r>
                    <w:rPr>
                      <w:color w:val="auto"/>
                      <w:szCs w:val="21"/>
                    </w:rPr>
                    <w:t>选用低噪声设备</w:t>
                  </w:r>
                  <w:r>
                    <w:rPr>
                      <w:rFonts w:hint="eastAsia"/>
                      <w:color w:val="auto"/>
                      <w:szCs w:val="21"/>
                    </w:rPr>
                    <w:t>、隔声、减振</w:t>
                  </w:r>
                </w:p>
              </w:tc>
              <w:tc>
                <w:tcPr>
                  <w:tcW w:w="708" w:type="pct"/>
                  <w:tcBorders>
                    <w:tl2br w:val="nil"/>
                    <w:tr2bl w:val="nil"/>
                  </w:tcBorders>
                  <w:noWrap w:val="0"/>
                  <w:vAlign w:val="center"/>
                </w:tcPr>
                <w:p w14:paraId="089D82C9">
                  <w:pPr>
                    <w:adjustRightInd w:val="0"/>
                    <w:snapToGrid w:val="0"/>
                    <w:jc w:val="center"/>
                    <w:rPr>
                      <w:color w:val="auto"/>
                      <w:szCs w:val="21"/>
                    </w:rPr>
                  </w:pPr>
                  <w:r>
                    <w:rPr>
                      <w:rFonts w:hint="eastAsia"/>
                      <w:color w:val="auto"/>
                      <w:kern w:val="0"/>
                      <w:szCs w:val="21"/>
                      <w:lang w:bidi="ar"/>
                    </w:rPr>
                    <w:t>昼间</w:t>
                  </w:r>
                </w:p>
              </w:tc>
            </w:tr>
          </w:tbl>
          <w:p w14:paraId="43D7D418">
            <w:pPr>
              <w:numPr>
                <w:ilvl w:val="0"/>
                <w:numId w:val="0"/>
              </w:numPr>
              <w:adjustRightInd w:val="0"/>
              <w:snapToGrid w:val="0"/>
              <w:spacing w:line="360" w:lineRule="auto"/>
              <w:ind w:firstLine="480" w:firstLineChars="200"/>
              <w:rPr>
                <w:rFonts w:hint="default" w:ascii="Times New Roman" w:hAnsi="Times New Roman" w:cs="Times New Roman"/>
                <w:bCs/>
                <w:color w:val="auto"/>
                <w:spacing w:val="0"/>
                <w:sz w:val="24"/>
                <w:szCs w:val="24"/>
                <w:lang w:val="en-US" w:eastAsia="zh-CN"/>
              </w:rPr>
            </w:pPr>
          </w:p>
        </w:tc>
      </w:tr>
    </w:tbl>
    <w:p w14:paraId="3499CC93">
      <w:pPr>
        <w:adjustRightInd w:val="0"/>
        <w:snapToGrid w:val="0"/>
        <w:spacing w:line="360" w:lineRule="auto"/>
        <w:rPr>
          <w:rFonts w:hint="default" w:ascii="Times New Roman" w:hAnsi="Times New Roman" w:cs="Times New Roman"/>
          <w:b/>
          <w:kern w:val="0"/>
          <w:sz w:val="28"/>
          <w:szCs w:val="28"/>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6"/>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8"/>
        <w:gridCol w:w="8440"/>
      </w:tblGrid>
      <w:tr w14:paraId="3F8D65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1" w:hRule="atLeast"/>
          <w:jc w:val="center"/>
        </w:trPr>
        <w:tc>
          <w:tcPr>
            <w:tcW w:w="468" w:type="dxa"/>
            <w:noWrap w:val="0"/>
            <w:tcMar>
              <w:left w:w="28" w:type="dxa"/>
              <w:right w:w="28" w:type="dxa"/>
            </w:tcMar>
            <w:vAlign w:val="center"/>
          </w:tcPr>
          <w:p w14:paraId="5AB249D3">
            <w:pPr>
              <w:pStyle w:val="23"/>
              <w:adjustRightInd w:val="0"/>
              <w:snapToGrid w:val="0"/>
              <w:spacing w:before="0" w:beforeAutospacing="0" w:after="0" w:afterAutospacing="0"/>
              <w:jc w:val="center"/>
              <w:rPr>
                <w:rFonts w:hint="default" w:ascii="Times New Roman" w:hAnsi="Times New Roman" w:cs="Times New Roman"/>
                <w:bCs/>
                <w:color w:val="auto"/>
                <w:kern w:val="2"/>
                <w:sz w:val="24"/>
                <w:szCs w:val="24"/>
              </w:rPr>
            </w:pPr>
          </w:p>
        </w:tc>
        <w:tc>
          <w:tcPr>
            <w:tcW w:w="8440" w:type="dxa"/>
            <w:noWrap w:val="0"/>
            <w:vAlign w:val="top"/>
          </w:tcPr>
          <w:p w14:paraId="2D749502">
            <w:pPr>
              <w:numPr>
                <w:ilvl w:val="0"/>
                <w:numId w:val="0"/>
              </w:numPr>
              <w:adjustRightInd w:val="0"/>
              <w:snapToGrid w:val="0"/>
              <w:spacing w:line="360" w:lineRule="auto"/>
              <w:rPr>
                <w:rFonts w:hint="eastAsia" w:ascii="Times New Roman" w:hAnsi="Times New Roman" w:eastAsia="宋体" w:cs="Times New Roman"/>
                <w:b/>
                <w:bCs w:val="0"/>
                <w:color w:val="auto"/>
                <w:spacing w:val="0"/>
                <w:sz w:val="24"/>
                <w:szCs w:val="24"/>
                <w:lang w:val="en-US" w:eastAsia="zh-CN"/>
              </w:rPr>
            </w:pPr>
            <w:r>
              <w:rPr>
                <w:rFonts w:hint="eastAsia" w:ascii="Times New Roman" w:hAnsi="Times New Roman" w:eastAsia="宋体" w:cs="Times New Roman"/>
                <w:b/>
                <w:bCs w:val="0"/>
                <w:color w:val="auto"/>
                <w:spacing w:val="0"/>
                <w:sz w:val="24"/>
                <w:szCs w:val="24"/>
                <w:lang w:val="en-US" w:eastAsia="zh-CN"/>
              </w:rPr>
              <w:t>3.2</w:t>
            </w:r>
            <w:r>
              <w:rPr>
                <w:rFonts w:hint="eastAsia" w:cs="Times New Roman"/>
                <w:b/>
                <w:bCs w:val="0"/>
                <w:color w:val="auto"/>
                <w:spacing w:val="0"/>
                <w:sz w:val="24"/>
                <w:szCs w:val="24"/>
                <w:lang w:val="en-US" w:eastAsia="zh-CN"/>
              </w:rPr>
              <w:t>噪声预测</w:t>
            </w:r>
          </w:p>
          <w:p w14:paraId="265F1AF9">
            <w:pPr>
              <w:pStyle w:val="11"/>
              <w:keepNext w:val="0"/>
              <w:keepLines w:val="0"/>
              <w:pageBreakBefore w:val="0"/>
              <w:kinsoku/>
              <w:wordWrap/>
              <w:overflowPunct/>
              <w:topLinePunct w:val="0"/>
              <w:autoSpaceDE/>
              <w:autoSpaceDN/>
              <w:bidi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（1）预测模式</w:t>
            </w:r>
          </w:p>
          <w:p w14:paraId="1688AAEC">
            <w:pPr>
              <w:pStyle w:val="11"/>
              <w:keepNext w:val="0"/>
              <w:keepLines w:val="0"/>
              <w:pageBreakBefore w:val="0"/>
              <w:kinsoku/>
              <w:wordWrap/>
              <w:overflowPunct/>
              <w:topLinePunct w:val="0"/>
              <w:autoSpaceDE/>
              <w:autoSpaceDN/>
              <w:bidi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根据《环境影响评价技术导则 声环境》（HJ2.4-2021）的规定选取预测模式，应用过程中将根据具体情况做必要简化，计算过程如下：</w:t>
            </w:r>
          </w:p>
          <w:p w14:paraId="1EF79698">
            <w:pPr>
              <w:keepNext w:val="0"/>
              <w:keepLines w:val="0"/>
              <w:pageBreakBefore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a.室外点声源预测模式</w:t>
            </w:r>
            <w:r>
              <w:rPr>
                <w:rFonts w:hint="default" w:ascii="Times New Roman" w:hAnsi="Times New Roman" w:eastAsia="宋体" w:cs="Times New Roman"/>
                <w:color w:val="auto"/>
                <w:sz w:val="24"/>
                <w:szCs w:val="24"/>
                <w:highlight w:val="none"/>
              </w:rPr>
              <w:tab/>
            </w:r>
          </w:p>
          <w:p w14:paraId="7DC5AC03">
            <w:pPr>
              <w:keepNext w:val="0"/>
              <w:keepLines w:val="0"/>
              <w:pageBreakBefore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某个噪声源在预测点的声压级为：</w:t>
            </w:r>
          </w:p>
          <w:p w14:paraId="06288944">
            <w:pPr>
              <w:keepNext w:val="0"/>
              <w:keepLines w:val="0"/>
              <w:pageBreakBefore w:val="0"/>
              <w:kinsoku/>
              <w:wordWrap/>
              <w:overflowPunct/>
              <w:topLinePunct w:val="0"/>
              <w:autoSpaceDE/>
              <w:autoSpaceDN/>
              <w:bidi w:val="0"/>
              <w:adjustRightInd/>
              <w:snapToGrid/>
              <w:spacing w:line="360" w:lineRule="auto"/>
              <w:ind w:right="0" w:firstLine="480" w:firstLineChars="20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114300" distR="114300">
                  <wp:extent cx="2019300" cy="241300"/>
                  <wp:effectExtent l="0" t="0" r="0" b="5080"/>
                  <wp:docPr id="9" name="图片 41" descr="C:\Users\ADMINI~1\AppData\Local\Temp\ksohtml668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1" descr="C:\Users\ADMINI~1\AppData\Local\Temp\ksohtml6680\wps1.png"/>
                          <pic:cNvPicPr>
                            <a:picLocks noChangeAspect="1"/>
                          </pic:cNvPicPr>
                        </pic:nvPicPr>
                        <pic:blipFill>
                          <a:blip r:embed="rId16"/>
                          <a:stretch>
                            <a:fillRect/>
                          </a:stretch>
                        </pic:blipFill>
                        <pic:spPr>
                          <a:xfrm>
                            <a:off x="0" y="0"/>
                            <a:ext cx="2019300" cy="241300"/>
                          </a:xfrm>
                          <a:prstGeom prst="rect">
                            <a:avLst/>
                          </a:prstGeom>
                          <a:noFill/>
                          <a:ln>
                            <a:noFill/>
                          </a:ln>
                        </pic:spPr>
                      </pic:pic>
                    </a:graphicData>
                  </a:graphic>
                </wp:inline>
              </w:drawing>
            </w:r>
          </w:p>
          <w:p w14:paraId="25E2B74B">
            <w:pPr>
              <w:keepNext w:val="0"/>
              <w:keepLines w:val="0"/>
              <w:pageBreakBefore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w:t>
            </w:r>
            <w:r>
              <w:rPr>
                <w:rFonts w:hint="default" w:ascii="Times New Roman" w:hAnsi="Times New Roman" w:eastAsia="宋体" w:cs="Times New Roman"/>
                <w:color w:val="auto"/>
                <w:sz w:val="24"/>
                <w:szCs w:val="24"/>
                <w:highlight w:val="none"/>
              </w:rPr>
              <w:drawing>
                <wp:inline distT="0" distB="0" distL="114300" distR="114300">
                  <wp:extent cx="380365" cy="241300"/>
                  <wp:effectExtent l="0" t="0" r="635" b="5080"/>
                  <wp:docPr id="10" name="图片 42" descr="C:\Users\ADMINI~1\AppData\Local\Temp\ksohtml668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2" descr="C:\Users\ADMINI~1\AppData\Local\Temp\ksohtml6680\wps2.png"/>
                          <pic:cNvPicPr>
                            <a:picLocks noChangeAspect="1"/>
                          </pic:cNvPicPr>
                        </pic:nvPicPr>
                        <pic:blipFill>
                          <a:blip r:embed="rId17"/>
                          <a:stretch>
                            <a:fillRect/>
                          </a:stretch>
                        </pic:blipFill>
                        <pic:spPr>
                          <a:xfrm>
                            <a:off x="0" y="0"/>
                            <a:ext cx="380365" cy="241300"/>
                          </a:xfrm>
                          <a:prstGeom prst="rect">
                            <a:avLst/>
                          </a:prstGeom>
                          <a:noFill/>
                          <a:ln>
                            <a:noFill/>
                          </a:ln>
                        </pic:spPr>
                      </pic:pic>
                    </a:graphicData>
                  </a:graphic>
                </wp:inline>
              </w:drawing>
            </w:r>
            <w:r>
              <w:rPr>
                <w:rFonts w:hint="default" w:ascii="Times New Roman" w:hAnsi="Times New Roman" w:eastAsia="宋体" w:cs="Times New Roman"/>
                <w:color w:val="auto"/>
                <w:sz w:val="24"/>
                <w:szCs w:val="24"/>
                <w:highlight w:val="none"/>
              </w:rPr>
              <w:t>—噪声源在预测点的声压级，dB(A)；</w:t>
            </w:r>
          </w:p>
          <w:p w14:paraId="7AB9652C">
            <w:pPr>
              <w:keepNext w:val="0"/>
              <w:keepLines w:val="0"/>
              <w:pageBreakBefore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114300" distR="114300">
                  <wp:extent cx="417195" cy="241300"/>
                  <wp:effectExtent l="0" t="0" r="1905" b="5080"/>
                  <wp:docPr id="11" name="图片 43" descr="C:\Users\ADMINI~1\AppData\Local\Temp\ksohtml6680\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3" descr="C:\Users\ADMINI~1\AppData\Local\Temp\ksohtml6680\wps3.png"/>
                          <pic:cNvPicPr>
                            <a:picLocks noChangeAspect="1"/>
                          </pic:cNvPicPr>
                        </pic:nvPicPr>
                        <pic:blipFill>
                          <a:blip r:embed="rId18"/>
                          <a:stretch>
                            <a:fillRect/>
                          </a:stretch>
                        </pic:blipFill>
                        <pic:spPr>
                          <a:xfrm>
                            <a:off x="0" y="0"/>
                            <a:ext cx="417195" cy="241300"/>
                          </a:xfrm>
                          <a:prstGeom prst="rect">
                            <a:avLst/>
                          </a:prstGeom>
                          <a:noFill/>
                          <a:ln>
                            <a:noFill/>
                          </a:ln>
                        </pic:spPr>
                      </pic:pic>
                    </a:graphicData>
                  </a:graphic>
                </wp:inline>
              </w:drawing>
            </w:r>
            <w:r>
              <w:rPr>
                <w:rFonts w:hint="default" w:ascii="Times New Roman" w:hAnsi="Times New Roman" w:eastAsia="宋体" w:cs="Times New Roman"/>
                <w:color w:val="auto"/>
                <w:sz w:val="24"/>
                <w:szCs w:val="24"/>
                <w:highlight w:val="none"/>
              </w:rPr>
              <w:t>－参考位置</w:t>
            </w:r>
            <w:r>
              <w:rPr>
                <w:rFonts w:hint="default" w:ascii="Times New Roman" w:hAnsi="Times New Roman" w:eastAsia="宋体" w:cs="Times New Roman"/>
                <w:color w:val="auto"/>
                <w:sz w:val="24"/>
                <w:szCs w:val="24"/>
                <w:highlight w:val="none"/>
              </w:rPr>
              <w:drawing>
                <wp:inline distT="0" distB="0" distL="114300" distR="114300">
                  <wp:extent cx="153670" cy="226695"/>
                  <wp:effectExtent l="0" t="0" r="17780" b="1270"/>
                  <wp:docPr id="12" name="图片 44" descr="C:\Users\ADMINI~1\AppData\Local\Temp\ksohtml6680\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4" descr="C:\Users\ADMINI~1\AppData\Local\Temp\ksohtml6680\wps4.png"/>
                          <pic:cNvPicPr>
                            <a:picLocks noChangeAspect="1"/>
                          </pic:cNvPicPr>
                        </pic:nvPicPr>
                        <pic:blipFill>
                          <a:blip r:embed="rId19"/>
                          <a:stretch>
                            <a:fillRect/>
                          </a:stretch>
                        </pic:blipFill>
                        <pic:spPr>
                          <a:xfrm>
                            <a:off x="0" y="0"/>
                            <a:ext cx="153670" cy="226695"/>
                          </a:xfrm>
                          <a:prstGeom prst="rect">
                            <a:avLst/>
                          </a:prstGeom>
                          <a:noFill/>
                          <a:ln>
                            <a:noFill/>
                          </a:ln>
                        </pic:spPr>
                      </pic:pic>
                    </a:graphicData>
                  </a:graphic>
                </wp:inline>
              </w:drawing>
            </w:r>
            <w:r>
              <w:rPr>
                <w:rFonts w:hint="default" w:ascii="Times New Roman" w:hAnsi="Times New Roman" w:eastAsia="宋体" w:cs="Times New Roman"/>
                <w:color w:val="auto"/>
                <w:sz w:val="24"/>
                <w:szCs w:val="24"/>
                <w:highlight w:val="none"/>
              </w:rPr>
              <w:t>处的声压级，dB(A)；</w:t>
            </w:r>
          </w:p>
          <w:p w14:paraId="4CA0D0B4">
            <w:pPr>
              <w:keepNext w:val="0"/>
              <w:keepLines w:val="0"/>
              <w:pageBreakBefore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114300" distR="114300">
                  <wp:extent cx="153670" cy="226695"/>
                  <wp:effectExtent l="0" t="0" r="17780" b="1270"/>
                  <wp:docPr id="13" name="图片 45" descr="C:\Users\ADMINI~1\AppData\Local\Temp\ksohtml6680\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5" descr="C:\Users\ADMINI~1\AppData\Local\Temp\ksohtml6680\wps5.png"/>
                          <pic:cNvPicPr>
                            <a:picLocks noChangeAspect="1"/>
                          </pic:cNvPicPr>
                        </pic:nvPicPr>
                        <pic:blipFill>
                          <a:blip r:embed="rId19"/>
                          <a:stretch>
                            <a:fillRect/>
                          </a:stretch>
                        </pic:blipFill>
                        <pic:spPr>
                          <a:xfrm>
                            <a:off x="0" y="0"/>
                            <a:ext cx="153670" cy="226695"/>
                          </a:xfrm>
                          <a:prstGeom prst="rect">
                            <a:avLst/>
                          </a:prstGeom>
                          <a:noFill/>
                          <a:ln>
                            <a:noFill/>
                          </a:ln>
                        </pic:spPr>
                      </pic:pic>
                    </a:graphicData>
                  </a:graphic>
                </wp:inline>
              </w:drawing>
            </w:r>
            <w:r>
              <w:rPr>
                <w:rFonts w:hint="default" w:ascii="Times New Roman" w:hAnsi="Times New Roman" w:eastAsia="宋体" w:cs="Times New Roman"/>
                <w:color w:val="auto"/>
                <w:sz w:val="24"/>
                <w:szCs w:val="24"/>
                <w:highlight w:val="none"/>
              </w:rPr>
              <w:t>－参考位置距声源中心的位置，m；</w:t>
            </w:r>
          </w:p>
          <w:p w14:paraId="3DD1B4BA">
            <w:pPr>
              <w:keepNext w:val="0"/>
              <w:keepLines w:val="0"/>
              <w:pageBreakBefore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114300" distR="114300">
                  <wp:extent cx="116840" cy="124460"/>
                  <wp:effectExtent l="0" t="0" r="16510" b="7620"/>
                  <wp:docPr id="14" name="图片 46" descr="C:\Users\ADMINI~1\AppData\Local\Temp\ksohtml6680\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6" descr="C:\Users\ADMINI~1\AppData\Local\Temp\ksohtml6680\wps6.png"/>
                          <pic:cNvPicPr>
                            <a:picLocks noChangeAspect="1"/>
                          </pic:cNvPicPr>
                        </pic:nvPicPr>
                        <pic:blipFill>
                          <a:blip r:embed="rId20"/>
                          <a:stretch>
                            <a:fillRect/>
                          </a:stretch>
                        </pic:blipFill>
                        <pic:spPr>
                          <a:xfrm>
                            <a:off x="0" y="0"/>
                            <a:ext cx="116840" cy="124460"/>
                          </a:xfrm>
                          <a:prstGeom prst="rect">
                            <a:avLst/>
                          </a:prstGeom>
                          <a:noFill/>
                          <a:ln>
                            <a:noFill/>
                          </a:ln>
                        </pic:spPr>
                      </pic:pic>
                    </a:graphicData>
                  </a:graphic>
                </wp:inline>
              </w:drawing>
            </w:r>
            <w:r>
              <w:rPr>
                <w:rFonts w:hint="default" w:ascii="Times New Roman" w:hAnsi="Times New Roman" w:eastAsia="宋体" w:cs="Times New Roman"/>
                <w:color w:val="auto"/>
                <w:sz w:val="24"/>
                <w:szCs w:val="24"/>
                <w:highlight w:val="none"/>
              </w:rPr>
              <w:t>－声源中心至预测点的距离，m；</w:t>
            </w:r>
          </w:p>
          <w:p w14:paraId="79D22813">
            <w:pPr>
              <w:keepNext w:val="0"/>
              <w:keepLines w:val="0"/>
              <w:pageBreakBefore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114300" distR="114300">
                  <wp:extent cx="226695" cy="160655"/>
                  <wp:effectExtent l="0" t="0" r="1905" b="12065"/>
                  <wp:docPr id="15" name="图片 47" descr="C:\Users\ADMINI~1\AppData\Local\Temp\ksohtml6680\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7" descr="C:\Users\ADMINI~1\AppData\Local\Temp\ksohtml6680\wps7.png"/>
                          <pic:cNvPicPr>
                            <a:picLocks noChangeAspect="1"/>
                          </pic:cNvPicPr>
                        </pic:nvPicPr>
                        <pic:blipFill>
                          <a:blip r:embed="rId21"/>
                          <a:stretch>
                            <a:fillRect/>
                          </a:stretch>
                        </pic:blipFill>
                        <pic:spPr>
                          <a:xfrm>
                            <a:off x="0" y="0"/>
                            <a:ext cx="226695" cy="160655"/>
                          </a:xfrm>
                          <a:prstGeom prst="rect">
                            <a:avLst/>
                          </a:prstGeom>
                          <a:noFill/>
                          <a:ln>
                            <a:noFill/>
                          </a:ln>
                        </pic:spPr>
                      </pic:pic>
                    </a:graphicData>
                  </a:graphic>
                </wp:inline>
              </w:drawing>
            </w:r>
            <w:r>
              <w:rPr>
                <w:rFonts w:hint="default" w:ascii="Times New Roman" w:hAnsi="Times New Roman" w:eastAsia="宋体" w:cs="Times New Roman"/>
                <w:color w:val="auto"/>
                <w:sz w:val="24"/>
                <w:szCs w:val="24"/>
                <w:highlight w:val="none"/>
              </w:rPr>
              <w:t>－各种因素引起的声衰减量（如声屏障，遮挡物，空气吸收，地面吸收等引起的声衰减。</w:t>
            </w:r>
          </w:p>
          <w:p w14:paraId="3BBAFDE3">
            <w:pPr>
              <w:keepNext w:val="0"/>
              <w:keepLines w:val="0"/>
              <w:pageBreakBefore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b.室内声源</w:t>
            </w:r>
          </w:p>
          <w:p w14:paraId="5D6DFC8F">
            <w:pPr>
              <w:keepNext w:val="0"/>
              <w:keepLines w:val="0"/>
              <w:pageBreakBefore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①所有室内声源在围护结构处产生的i倍频带叠加声压级：</w:t>
            </w:r>
          </w:p>
          <w:p w14:paraId="545874B7">
            <w:pPr>
              <w:keepNext w:val="0"/>
              <w:keepLines w:val="0"/>
              <w:pageBreakBefore w:val="0"/>
              <w:kinsoku/>
              <w:wordWrap/>
              <w:overflowPunct/>
              <w:topLinePunct w:val="0"/>
              <w:autoSpaceDE/>
              <w:autoSpaceDN/>
              <w:bidi w:val="0"/>
              <w:adjustRightInd/>
              <w:snapToGrid/>
              <w:spacing w:line="360" w:lineRule="auto"/>
              <w:ind w:right="0" w:firstLine="480" w:firstLineChars="20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114300" distR="114300">
                  <wp:extent cx="2715260" cy="770890"/>
                  <wp:effectExtent l="0" t="0" r="8890" b="1016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2"/>
                          <a:stretch>
                            <a:fillRect/>
                          </a:stretch>
                        </pic:blipFill>
                        <pic:spPr>
                          <a:xfrm>
                            <a:off x="0" y="0"/>
                            <a:ext cx="2715260" cy="770890"/>
                          </a:xfrm>
                          <a:prstGeom prst="rect">
                            <a:avLst/>
                          </a:prstGeom>
                          <a:noFill/>
                          <a:ln>
                            <a:noFill/>
                          </a:ln>
                        </pic:spPr>
                      </pic:pic>
                    </a:graphicData>
                  </a:graphic>
                </wp:inline>
              </w:drawing>
            </w:r>
          </w:p>
          <w:p w14:paraId="02B2E9AC">
            <w:pPr>
              <w:keepNext w:val="0"/>
              <w:keepLines w:val="0"/>
              <w:pageBreakBefore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式中：Lp</w:t>
            </w:r>
            <w:r>
              <w:rPr>
                <w:rFonts w:hint="default" w:ascii="Times New Roman" w:hAnsi="Times New Roman" w:eastAsia="宋体" w:cs="Times New Roman"/>
                <w:color w:val="auto"/>
                <w:sz w:val="24"/>
                <w:szCs w:val="24"/>
                <w:highlight w:val="none"/>
                <w:vertAlign w:val="subscript"/>
              </w:rPr>
              <w:t>1i</w:t>
            </w:r>
            <w:r>
              <w:rPr>
                <w:rFonts w:hint="default" w:ascii="Times New Roman" w:hAnsi="Times New Roman" w:eastAsia="宋体" w:cs="Times New Roman"/>
                <w:color w:val="auto"/>
                <w:sz w:val="24"/>
                <w:szCs w:val="24"/>
                <w:highlight w:val="none"/>
              </w:rPr>
              <w:t>(T)－靠近围护结构处室内N个声源i倍频带的叠加声压级，dB；</w:t>
            </w:r>
          </w:p>
          <w:p w14:paraId="0C5189A7">
            <w:pPr>
              <w:keepNext w:val="0"/>
              <w:keepLines w:val="0"/>
              <w:pageBreakBefore w:val="0"/>
              <w:kinsoku/>
              <w:wordWrap/>
              <w:overflowPunct/>
              <w:topLinePunct w:val="0"/>
              <w:autoSpaceDE/>
              <w:autoSpaceDN/>
              <w:bidi w:val="0"/>
              <w:adjustRightInd/>
              <w:snapToGrid/>
              <w:spacing w:line="360" w:lineRule="auto"/>
              <w:ind w:right="0"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Lp</w:t>
            </w:r>
            <w:r>
              <w:rPr>
                <w:rFonts w:hint="default" w:ascii="Times New Roman" w:hAnsi="Times New Roman" w:eastAsia="宋体" w:cs="Times New Roman"/>
                <w:color w:val="auto"/>
                <w:sz w:val="24"/>
                <w:szCs w:val="24"/>
                <w:highlight w:val="none"/>
                <w:vertAlign w:val="subscript"/>
              </w:rPr>
              <w:t>1ij</w:t>
            </w:r>
            <w:r>
              <w:rPr>
                <w:rFonts w:hint="default" w:ascii="Times New Roman" w:hAnsi="Times New Roman" w:eastAsia="宋体" w:cs="Times New Roman"/>
                <w:color w:val="auto"/>
                <w:sz w:val="24"/>
                <w:szCs w:val="24"/>
                <w:highlight w:val="none"/>
              </w:rPr>
              <w:t>－室内j声源i倍频带的声压级，dB；</w:t>
            </w:r>
          </w:p>
          <w:p w14:paraId="136247D8">
            <w:pPr>
              <w:keepNext w:val="0"/>
              <w:keepLines w:val="0"/>
              <w:pageBreakBefore w:val="0"/>
              <w:kinsoku/>
              <w:wordWrap/>
              <w:overflowPunct/>
              <w:topLinePunct w:val="0"/>
              <w:autoSpaceDE/>
              <w:autoSpaceDN/>
              <w:bidi w:val="0"/>
              <w:adjustRightInd/>
              <w:snapToGrid/>
              <w:spacing w:line="360" w:lineRule="auto"/>
              <w:ind w:right="0"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N－室内声源总数。</w:t>
            </w:r>
          </w:p>
          <w:p w14:paraId="667A2E00">
            <w:pPr>
              <w:keepNext w:val="0"/>
              <w:keepLines w:val="0"/>
              <w:pageBreakBefore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②靠近室外围护结构处的声压级计算公式：</w:t>
            </w:r>
          </w:p>
          <w:p w14:paraId="15F881E9">
            <w:pPr>
              <w:keepNext w:val="0"/>
              <w:keepLines w:val="0"/>
              <w:pageBreakBefore w:val="0"/>
              <w:kinsoku/>
              <w:wordWrap/>
              <w:overflowPunct/>
              <w:topLinePunct w:val="0"/>
              <w:autoSpaceDE/>
              <w:autoSpaceDN/>
              <w:bidi w:val="0"/>
              <w:adjustRightInd/>
              <w:snapToGrid/>
              <w:spacing w:line="360" w:lineRule="auto"/>
              <w:ind w:right="0" w:firstLine="480" w:firstLineChars="20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114300" distR="114300">
                  <wp:extent cx="2034540" cy="408940"/>
                  <wp:effectExtent l="0" t="0" r="3810" b="1016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3"/>
                          <a:stretch>
                            <a:fillRect/>
                          </a:stretch>
                        </pic:blipFill>
                        <pic:spPr>
                          <a:xfrm>
                            <a:off x="0" y="0"/>
                            <a:ext cx="2034540" cy="408940"/>
                          </a:xfrm>
                          <a:prstGeom prst="rect">
                            <a:avLst/>
                          </a:prstGeom>
                          <a:noFill/>
                          <a:ln>
                            <a:noFill/>
                          </a:ln>
                        </pic:spPr>
                      </pic:pic>
                    </a:graphicData>
                  </a:graphic>
                </wp:inline>
              </w:drawing>
            </w:r>
          </w:p>
          <w:p w14:paraId="7EB45535">
            <w:pPr>
              <w:keepNext w:val="0"/>
              <w:keepLines w:val="0"/>
              <w:pageBreakBefore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式中：Lp</w:t>
            </w:r>
            <w:r>
              <w:rPr>
                <w:rFonts w:hint="default" w:ascii="Times New Roman" w:hAnsi="Times New Roman" w:eastAsia="宋体" w:cs="Times New Roman"/>
                <w:color w:val="auto"/>
                <w:sz w:val="24"/>
                <w:szCs w:val="24"/>
                <w:highlight w:val="none"/>
                <w:vertAlign w:val="subscript"/>
              </w:rPr>
              <w:t>2i</w:t>
            </w:r>
            <w:r>
              <w:rPr>
                <w:rFonts w:hint="default" w:ascii="Times New Roman" w:hAnsi="Times New Roman" w:eastAsia="宋体" w:cs="Times New Roman"/>
                <w:color w:val="auto"/>
                <w:sz w:val="24"/>
                <w:szCs w:val="24"/>
                <w:highlight w:val="none"/>
              </w:rPr>
              <w:t>(T)－靠近围护结构处室外N个声源i倍频带的叠加声压级，dB；</w:t>
            </w:r>
          </w:p>
          <w:p w14:paraId="6C7C91DD">
            <w:pPr>
              <w:keepNext w:val="0"/>
              <w:keepLines w:val="0"/>
              <w:pageBreakBefore w:val="0"/>
              <w:kinsoku/>
              <w:wordWrap/>
              <w:overflowPunct/>
              <w:topLinePunct w:val="0"/>
              <w:autoSpaceDE/>
              <w:autoSpaceDN/>
              <w:bidi w:val="0"/>
              <w:adjustRightInd/>
              <w:snapToGrid/>
              <w:spacing w:line="360" w:lineRule="auto"/>
              <w:ind w:right="0"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p1i</w:t>
            </w:r>
            <w:r>
              <w:rPr>
                <w:rFonts w:hint="default" w:ascii="Times New Roman" w:hAnsi="Times New Roman" w:eastAsia="宋体" w:cs="Times New Roman"/>
                <w:color w:val="auto"/>
                <w:sz w:val="24"/>
                <w:szCs w:val="24"/>
                <w:highlight w:val="none"/>
              </w:rPr>
              <w:t>(T)－靠近围护结构处室内N个声源i倍频带的叠加声压级，dB；</w:t>
            </w:r>
          </w:p>
          <w:p w14:paraId="394B5804">
            <w:pPr>
              <w:keepNext w:val="0"/>
              <w:keepLines w:val="0"/>
              <w:pageBreakBefore w:val="0"/>
              <w:kinsoku/>
              <w:wordWrap/>
              <w:overflowPunct/>
              <w:topLinePunct w:val="0"/>
              <w:autoSpaceDE/>
              <w:autoSpaceDN/>
              <w:bidi w:val="0"/>
              <w:adjustRightInd/>
              <w:snapToGrid/>
              <w:spacing w:line="360" w:lineRule="auto"/>
              <w:ind w:right="0"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TL－围护结构i倍频带的隔声量，dB</w:t>
            </w:r>
          </w:p>
          <w:p w14:paraId="4F44105F">
            <w:pPr>
              <w:keepNext w:val="0"/>
              <w:keepLines w:val="0"/>
              <w:pageBreakBefore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rPr>
              <w:t>预测点噪声贡献值：</w:t>
            </w:r>
          </w:p>
          <w:p w14:paraId="643608B4">
            <w:pPr>
              <w:keepNext w:val="0"/>
              <w:keepLines w:val="0"/>
              <w:pageBreakBefore w:val="0"/>
              <w:kinsoku/>
              <w:wordWrap/>
              <w:overflowPunct/>
              <w:topLinePunct w:val="0"/>
              <w:autoSpaceDE/>
              <w:autoSpaceDN/>
              <w:bidi w:val="0"/>
              <w:spacing w:line="360" w:lineRule="auto"/>
              <w:ind w:right="0" w:firstLine="480" w:firstLineChars="20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114300" distR="114300">
                  <wp:extent cx="3076575" cy="704850"/>
                  <wp:effectExtent l="0" t="0" r="9525"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4"/>
                          <a:stretch>
                            <a:fillRect/>
                          </a:stretch>
                        </pic:blipFill>
                        <pic:spPr>
                          <a:xfrm>
                            <a:off x="0" y="0"/>
                            <a:ext cx="3076575" cy="704850"/>
                          </a:xfrm>
                          <a:prstGeom prst="rect">
                            <a:avLst/>
                          </a:prstGeom>
                          <a:noFill/>
                          <a:ln>
                            <a:noFill/>
                          </a:ln>
                        </pic:spPr>
                      </pic:pic>
                    </a:graphicData>
                  </a:graphic>
                </wp:inline>
              </w:drawing>
            </w:r>
          </w:p>
          <w:p w14:paraId="66CF53B5">
            <w:pPr>
              <w:keepNext w:val="0"/>
              <w:keepLines w:val="0"/>
              <w:pageBreakBefore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式中：L</w:t>
            </w:r>
            <w:r>
              <w:rPr>
                <w:rFonts w:hint="default" w:ascii="Times New Roman" w:hAnsi="Times New Roman" w:eastAsia="宋体" w:cs="Times New Roman"/>
                <w:color w:val="auto"/>
                <w:sz w:val="24"/>
                <w:szCs w:val="24"/>
                <w:highlight w:val="none"/>
                <w:vertAlign w:val="subscript"/>
              </w:rPr>
              <w:t>eqg</w:t>
            </w:r>
            <w:r>
              <w:rPr>
                <w:rFonts w:hint="default" w:ascii="Times New Roman" w:hAnsi="Times New Roman" w:eastAsia="宋体" w:cs="Times New Roman"/>
                <w:color w:val="auto"/>
                <w:sz w:val="24"/>
                <w:szCs w:val="24"/>
                <w:highlight w:val="none"/>
              </w:rPr>
              <w:t>－项目声源在预测点产生的噪声贡献值，dB；</w:t>
            </w:r>
          </w:p>
          <w:p w14:paraId="1A5AD9E8">
            <w:pPr>
              <w:keepNext w:val="0"/>
              <w:keepLines w:val="0"/>
              <w:pageBreakBefore w:val="0"/>
              <w:kinsoku/>
              <w:wordWrap/>
              <w:overflowPunct/>
              <w:topLinePunct w:val="0"/>
              <w:autoSpaceDE/>
              <w:autoSpaceDN/>
              <w:bidi w:val="0"/>
              <w:adjustRightInd/>
              <w:snapToGrid/>
              <w:spacing w:line="360" w:lineRule="auto"/>
              <w:ind w:right="0"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T－用于计算等效声级的时间，s；</w:t>
            </w:r>
          </w:p>
          <w:p w14:paraId="20D29EF8">
            <w:pPr>
              <w:keepNext w:val="0"/>
              <w:keepLines w:val="0"/>
              <w:pageBreakBefore w:val="0"/>
              <w:kinsoku/>
              <w:wordWrap/>
              <w:overflowPunct/>
              <w:topLinePunct w:val="0"/>
              <w:autoSpaceDE/>
              <w:autoSpaceDN/>
              <w:bidi w:val="0"/>
              <w:adjustRightInd/>
              <w:snapToGrid/>
              <w:spacing w:line="360" w:lineRule="auto"/>
              <w:ind w:right="0"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N－室外声源个数；</w:t>
            </w:r>
          </w:p>
          <w:p w14:paraId="63A69811">
            <w:pPr>
              <w:keepNext w:val="0"/>
              <w:keepLines w:val="0"/>
              <w:pageBreakBefore w:val="0"/>
              <w:kinsoku/>
              <w:wordWrap/>
              <w:overflowPunct/>
              <w:topLinePunct w:val="0"/>
              <w:autoSpaceDE/>
              <w:autoSpaceDN/>
              <w:bidi w:val="0"/>
              <w:adjustRightInd/>
              <w:snapToGrid/>
              <w:spacing w:line="360" w:lineRule="auto"/>
              <w:ind w:right="0"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w:t>
            </w:r>
            <w:r>
              <w:rPr>
                <w:rFonts w:hint="default" w:ascii="Times New Roman" w:hAnsi="Times New Roman" w:eastAsia="宋体" w:cs="Times New Roman"/>
                <w:color w:val="auto"/>
                <w:sz w:val="24"/>
                <w:szCs w:val="24"/>
                <w:highlight w:val="none"/>
                <w:vertAlign w:val="subscript"/>
              </w:rPr>
              <w:t>i</w:t>
            </w:r>
            <w:r>
              <w:rPr>
                <w:rFonts w:hint="default" w:ascii="Times New Roman" w:hAnsi="Times New Roman" w:eastAsia="宋体" w:cs="Times New Roman"/>
                <w:color w:val="auto"/>
                <w:sz w:val="24"/>
                <w:szCs w:val="24"/>
                <w:highlight w:val="none"/>
              </w:rPr>
              <w:t>－在T时间内i声源的工作时间，s；</w:t>
            </w:r>
          </w:p>
          <w:p w14:paraId="1EF936ED">
            <w:pPr>
              <w:keepNext w:val="0"/>
              <w:keepLines w:val="0"/>
              <w:pageBreakBefore w:val="0"/>
              <w:kinsoku/>
              <w:wordWrap/>
              <w:overflowPunct/>
              <w:topLinePunct w:val="0"/>
              <w:autoSpaceDE/>
              <w:autoSpaceDN/>
              <w:bidi w:val="0"/>
              <w:adjustRightInd/>
              <w:snapToGrid/>
              <w:spacing w:line="360" w:lineRule="auto"/>
              <w:ind w:right="0"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M－等效室外声源个数；</w:t>
            </w:r>
          </w:p>
          <w:p w14:paraId="4E6D333F">
            <w:pPr>
              <w:keepNext w:val="0"/>
              <w:keepLines w:val="0"/>
              <w:pageBreakBefore w:val="0"/>
              <w:kinsoku/>
              <w:wordWrap/>
              <w:overflowPunct/>
              <w:topLinePunct w:val="0"/>
              <w:autoSpaceDE/>
              <w:autoSpaceDN/>
              <w:bidi w:val="0"/>
              <w:adjustRightInd/>
              <w:snapToGrid/>
              <w:spacing w:line="360" w:lineRule="auto"/>
              <w:ind w:right="0"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w:t>
            </w:r>
            <w:r>
              <w:rPr>
                <w:rFonts w:hint="default" w:ascii="Times New Roman" w:hAnsi="Times New Roman" w:eastAsia="宋体" w:cs="Times New Roman"/>
                <w:color w:val="auto"/>
                <w:sz w:val="24"/>
                <w:szCs w:val="24"/>
                <w:highlight w:val="none"/>
                <w:vertAlign w:val="subscript"/>
              </w:rPr>
              <w:t>j</w:t>
            </w:r>
            <w:r>
              <w:rPr>
                <w:rFonts w:hint="default" w:ascii="Times New Roman" w:hAnsi="Times New Roman" w:eastAsia="宋体" w:cs="Times New Roman"/>
                <w:color w:val="auto"/>
                <w:sz w:val="24"/>
                <w:szCs w:val="24"/>
                <w:highlight w:val="none"/>
              </w:rPr>
              <w:t>－在T时间内j声源的工作时间，s。</w:t>
            </w:r>
          </w:p>
          <w:p w14:paraId="43E22B46">
            <w:pPr>
              <w:pStyle w:val="11"/>
              <w:keepNext w:val="0"/>
              <w:keepLines w:val="0"/>
              <w:pageBreakBefore w:val="0"/>
              <w:kinsoku/>
              <w:wordWrap/>
              <w:overflowPunct/>
              <w:topLinePunct w:val="0"/>
              <w:autoSpaceDE/>
              <w:autoSpaceDN/>
              <w:bidi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（2）预测结果</w:t>
            </w:r>
          </w:p>
          <w:p w14:paraId="61786E47">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rPr>
                <w:color w:val="auto"/>
                <w:kern w:val="0"/>
                <w:sz w:val="24"/>
                <w:szCs w:val="20"/>
                <w:lang w:val="zh-CN"/>
              </w:rPr>
            </w:pPr>
            <w:r>
              <w:rPr>
                <w:rFonts w:hint="default" w:ascii="Times New Roman" w:hAnsi="Times New Roman" w:eastAsia="宋体" w:cs="Times New Roman"/>
                <w:color w:val="auto"/>
                <w:sz w:val="24"/>
                <w:szCs w:val="24"/>
                <w:highlight w:val="none"/>
              </w:rPr>
              <w:t>本次噪声预测按照《环境影响评价技术导则 声环境》（HJ2.4-2021）进行，预测设备噪声到厂界的排放情况，并判断是否达标，预测结果见</w:t>
            </w:r>
            <w:r>
              <w:rPr>
                <w:rFonts w:hint="default" w:ascii="Times New Roman" w:hAnsi="Times New Roman" w:eastAsia="宋体" w:cs="Times New Roman"/>
                <w:color w:val="auto"/>
                <w:sz w:val="24"/>
                <w:szCs w:val="24"/>
                <w:highlight w:val="none"/>
                <w:lang w:val="en-US" w:eastAsia="zh-CN"/>
              </w:rPr>
              <w:t>下表</w:t>
            </w:r>
            <w:r>
              <w:rPr>
                <w:rFonts w:hint="default" w:ascii="Times New Roman" w:hAnsi="Times New Roman" w:eastAsia="宋体" w:cs="Times New Roman"/>
                <w:color w:val="auto"/>
                <w:kern w:val="0"/>
                <w:sz w:val="24"/>
                <w:szCs w:val="24"/>
                <w:lang w:val="zh-CN"/>
              </w:rPr>
              <w:t>。</w:t>
            </w:r>
          </w:p>
          <w:p w14:paraId="14377C6C">
            <w:pPr>
              <w:pStyle w:val="71"/>
              <w:adjustRightInd/>
              <w:spacing w:line="240" w:lineRule="auto"/>
              <w:ind w:left="0" w:right="0" w:firstLine="0"/>
              <w:jc w:val="center"/>
              <w:rPr>
                <w:b/>
                <w:color w:val="auto"/>
                <w:szCs w:val="24"/>
              </w:rPr>
            </w:pPr>
            <w:r>
              <w:rPr>
                <w:b/>
                <w:color w:val="auto"/>
                <w:szCs w:val="24"/>
              </w:rPr>
              <w:t>表4-</w:t>
            </w:r>
            <w:r>
              <w:rPr>
                <w:rFonts w:hint="eastAsia"/>
                <w:b/>
                <w:color w:val="auto"/>
                <w:szCs w:val="24"/>
                <w:lang w:val="en-US" w:eastAsia="zh-CN"/>
              </w:rPr>
              <w:t>11</w:t>
            </w:r>
            <w:r>
              <w:rPr>
                <w:rFonts w:hint="eastAsia"/>
                <w:b/>
                <w:color w:val="auto"/>
                <w:szCs w:val="24"/>
              </w:rPr>
              <w:t xml:space="preserve">  </w:t>
            </w:r>
            <w:r>
              <w:rPr>
                <w:b/>
                <w:color w:val="auto"/>
                <w:szCs w:val="24"/>
              </w:rPr>
              <w:t xml:space="preserve"> </w:t>
            </w:r>
            <w:r>
              <w:rPr>
                <w:rFonts w:hint="eastAsia"/>
                <w:b/>
                <w:color w:val="auto"/>
                <w:szCs w:val="24"/>
              </w:rPr>
              <w:t>厂界</w:t>
            </w:r>
            <w:r>
              <w:rPr>
                <w:b/>
                <w:color w:val="auto"/>
                <w:szCs w:val="24"/>
              </w:rPr>
              <w:t>噪声预测结果一览表     单位：dB(A)</w:t>
            </w:r>
          </w:p>
          <w:tbl>
            <w:tblPr>
              <w:tblStyle w:val="26"/>
              <w:tblW w:w="493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7"/>
              <w:gridCol w:w="1936"/>
              <w:gridCol w:w="1878"/>
              <w:gridCol w:w="1800"/>
              <w:gridCol w:w="1223"/>
            </w:tblGrid>
            <w:tr w14:paraId="4EEA36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83" w:type="pct"/>
                  <w:gridSpan w:val="2"/>
                  <w:vMerge w:val="restart"/>
                  <w:tcBorders>
                    <w:tl2br w:val="nil"/>
                    <w:tr2bl w:val="nil"/>
                  </w:tcBorders>
                  <w:noWrap w:val="0"/>
                  <w:vAlign w:val="center"/>
                </w:tcPr>
                <w:p w14:paraId="72DC20CC">
                  <w:pPr>
                    <w:jc w:val="center"/>
                    <w:rPr>
                      <w:b/>
                      <w:bCs/>
                      <w:color w:val="auto"/>
                      <w:szCs w:val="21"/>
                    </w:rPr>
                  </w:pPr>
                  <w:r>
                    <w:rPr>
                      <w:b/>
                      <w:bCs/>
                      <w:color w:val="auto"/>
                      <w:szCs w:val="21"/>
                    </w:rPr>
                    <w:t>预测点位置</w:t>
                  </w:r>
                </w:p>
              </w:tc>
              <w:tc>
                <w:tcPr>
                  <w:tcW w:w="1155" w:type="pct"/>
                  <w:tcBorders>
                    <w:tl2br w:val="nil"/>
                    <w:tr2bl w:val="nil"/>
                  </w:tcBorders>
                  <w:noWrap w:val="0"/>
                  <w:vAlign w:val="center"/>
                </w:tcPr>
                <w:p w14:paraId="5AB5743B">
                  <w:pPr>
                    <w:jc w:val="center"/>
                    <w:rPr>
                      <w:b/>
                      <w:bCs/>
                      <w:color w:val="auto"/>
                      <w:szCs w:val="21"/>
                    </w:rPr>
                  </w:pPr>
                  <w:r>
                    <w:rPr>
                      <w:b/>
                      <w:bCs/>
                      <w:color w:val="auto"/>
                      <w:szCs w:val="21"/>
                    </w:rPr>
                    <w:t>昼间</w:t>
                  </w:r>
                </w:p>
              </w:tc>
              <w:tc>
                <w:tcPr>
                  <w:tcW w:w="1107" w:type="pct"/>
                  <w:vMerge w:val="restart"/>
                  <w:tcBorders>
                    <w:tl2br w:val="nil"/>
                    <w:tr2bl w:val="nil"/>
                  </w:tcBorders>
                  <w:noWrap w:val="0"/>
                  <w:vAlign w:val="center"/>
                </w:tcPr>
                <w:p w14:paraId="108BC44B">
                  <w:pPr>
                    <w:jc w:val="center"/>
                    <w:rPr>
                      <w:b/>
                      <w:bCs/>
                      <w:color w:val="auto"/>
                      <w:szCs w:val="21"/>
                    </w:rPr>
                  </w:pPr>
                  <w:r>
                    <w:rPr>
                      <w:rFonts w:hint="eastAsia"/>
                      <w:b/>
                      <w:bCs/>
                      <w:color w:val="auto"/>
                      <w:szCs w:val="21"/>
                    </w:rPr>
                    <w:t>昼间</w:t>
                  </w:r>
                  <w:r>
                    <w:rPr>
                      <w:b/>
                      <w:bCs/>
                      <w:color w:val="auto"/>
                      <w:szCs w:val="21"/>
                    </w:rPr>
                    <w:t>标准限值</w:t>
                  </w:r>
                </w:p>
              </w:tc>
              <w:tc>
                <w:tcPr>
                  <w:tcW w:w="752" w:type="pct"/>
                  <w:vMerge w:val="restart"/>
                  <w:tcBorders>
                    <w:tl2br w:val="nil"/>
                    <w:tr2bl w:val="nil"/>
                  </w:tcBorders>
                  <w:noWrap w:val="0"/>
                  <w:vAlign w:val="center"/>
                </w:tcPr>
                <w:p w14:paraId="4CDC7CA1">
                  <w:pPr>
                    <w:jc w:val="center"/>
                    <w:rPr>
                      <w:b/>
                      <w:bCs/>
                      <w:color w:val="auto"/>
                      <w:szCs w:val="21"/>
                    </w:rPr>
                  </w:pPr>
                  <w:r>
                    <w:rPr>
                      <w:b/>
                      <w:bCs/>
                      <w:color w:val="auto"/>
                      <w:szCs w:val="21"/>
                    </w:rPr>
                    <w:t>达标情况</w:t>
                  </w:r>
                </w:p>
              </w:tc>
            </w:tr>
            <w:tr w14:paraId="5B95AC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83" w:type="pct"/>
                  <w:gridSpan w:val="2"/>
                  <w:vMerge w:val="continue"/>
                  <w:tcBorders>
                    <w:tl2br w:val="nil"/>
                    <w:tr2bl w:val="nil"/>
                  </w:tcBorders>
                  <w:noWrap w:val="0"/>
                  <w:vAlign w:val="center"/>
                </w:tcPr>
                <w:p w14:paraId="56B1E822">
                  <w:pPr>
                    <w:jc w:val="center"/>
                    <w:rPr>
                      <w:color w:val="auto"/>
                    </w:rPr>
                  </w:pPr>
                </w:p>
              </w:tc>
              <w:tc>
                <w:tcPr>
                  <w:tcW w:w="1155" w:type="pct"/>
                  <w:tcBorders>
                    <w:tl2br w:val="nil"/>
                    <w:tr2bl w:val="nil"/>
                  </w:tcBorders>
                  <w:noWrap w:val="0"/>
                  <w:vAlign w:val="center"/>
                </w:tcPr>
                <w:p w14:paraId="14D93A48">
                  <w:pPr>
                    <w:jc w:val="center"/>
                    <w:rPr>
                      <w:color w:val="auto"/>
                      <w:szCs w:val="21"/>
                    </w:rPr>
                  </w:pPr>
                  <w:r>
                    <w:rPr>
                      <w:b/>
                      <w:bCs/>
                      <w:color w:val="auto"/>
                      <w:szCs w:val="21"/>
                    </w:rPr>
                    <w:t>贡献值</w:t>
                  </w:r>
                </w:p>
              </w:tc>
              <w:tc>
                <w:tcPr>
                  <w:tcW w:w="1107" w:type="pct"/>
                  <w:vMerge w:val="continue"/>
                  <w:tcBorders>
                    <w:tl2br w:val="nil"/>
                    <w:tr2bl w:val="nil"/>
                  </w:tcBorders>
                  <w:noWrap w:val="0"/>
                  <w:vAlign w:val="center"/>
                </w:tcPr>
                <w:p w14:paraId="05A04BD8">
                  <w:pPr>
                    <w:jc w:val="center"/>
                    <w:rPr>
                      <w:b/>
                      <w:bCs/>
                      <w:color w:val="auto"/>
                      <w:szCs w:val="21"/>
                    </w:rPr>
                  </w:pPr>
                </w:p>
              </w:tc>
              <w:tc>
                <w:tcPr>
                  <w:tcW w:w="752" w:type="pct"/>
                  <w:vMerge w:val="continue"/>
                  <w:tcBorders>
                    <w:tl2br w:val="nil"/>
                    <w:tr2bl w:val="nil"/>
                  </w:tcBorders>
                  <w:noWrap w:val="0"/>
                  <w:vAlign w:val="center"/>
                </w:tcPr>
                <w:p w14:paraId="1363F0FB">
                  <w:pPr>
                    <w:jc w:val="center"/>
                    <w:rPr>
                      <w:b/>
                      <w:bCs/>
                      <w:color w:val="auto"/>
                      <w:szCs w:val="21"/>
                    </w:rPr>
                  </w:pPr>
                </w:p>
              </w:tc>
            </w:tr>
            <w:tr w14:paraId="015E65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92" w:type="pct"/>
                  <w:vMerge w:val="restart"/>
                  <w:tcBorders>
                    <w:tl2br w:val="nil"/>
                    <w:tr2bl w:val="nil"/>
                  </w:tcBorders>
                  <w:noWrap w:val="0"/>
                  <w:vAlign w:val="center"/>
                </w:tcPr>
                <w:p w14:paraId="2915E0AA">
                  <w:pPr>
                    <w:jc w:val="center"/>
                    <w:rPr>
                      <w:bCs/>
                      <w:color w:val="auto"/>
                      <w:szCs w:val="21"/>
                    </w:rPr>
                  </w:pPr>
                  <w:r>
                    <w:rPr>
                      <w:bCs/>
                      <w:color w:val="auto"/>
                      <w:szCs w:val="21"/>
                    </w:rPr>
                    <w:t>厂界</w:t>
                  </w:r>
                </w:p>
              </w:tc>
              <w:tc>
                <w:tcPr>
                  <w:tcW w:w="1191" w:type="pct"/>
                  <w:tcBorders>
                    <w:tl2br w:val="nil"/>
                    <w:tr2bl w:val="nil"/>
                  </w:tcBorders>
                  <w:noWrap w:val="0"/>
                  <w:vAlign w:val="center"/>
                </w:tcPr>
                <w:p w14:paraId="0F9EAF33">
                  <w:pPr>
                    <w:pStyle w:val="9"/>
                    <w:jc w:val="center"/>
                    <w:rPr>
                      <w:bCs/>
                      <w:color w:val="auto"/>
                      <w:sz w:val="21"/>
                      <w:szCs w:val="21"/>
                    </w:rPr>
                  </w:pPr>
                  <w:r>
                    <w:rPr>
                      <w:rFonts w:hint="eastAsia"/>
                      <w:color w:val="auto"/>
                      <w:sz w:val="21"/>
                      <w:szCs w:val="21"/>
                    </w:rPr>
                    <w:t>厂界东侧</w:t>
                  </w:r>
                </w:p>
              </w:tc>
              <w:tc>
                <w:tcPr>
                  <w:tcW w:w="1155" w:type="pct"/>
                  <w:tcBorders>
                    <w:tl2br w:val="nil"/>
                    <w:tr2bl w:val="nil"/>
                  </w:tcBorders>
                  <w:noWrap w:val="0"/>
                  <w:vAlign w:val="center"/>
                </w:tcPr>
                <w:p w14:paraId="66E2E96A">
                  <w:pPr>
                    <w:autoSpaceDE w:val="0"/>
                    <w:autoSpaceDN w:val="0"/>
                    <w:adjustRightInd w:val="0"/>
                    <w:jc w:val="center"/>
                    <w:rPr>
                      <w:rFonts w:hint="default" w:eastAsia="宋体"/>
                      <w:bCs/>
                      <w:color w:val="auto"/>
                      <w:szCs w:val="21"/>
                      <w:lang w:val="en-US" w:eastAsia="zh-CN"/>
                    </w:rPr>
                  </w:pPr>
                  <w:r>
                    <w:rPr>
                      <w:rFonts w:hint="eastAsia"/>
                      <w:bCs/>
                      <w:color w:val="auto"/>
                      <w:szCs w:val="21"/>
                      <w:lang w:val="en-US" w:eastAsia="zh-CN"/>
                    </w:rPr>
                    <w:t>54</w:t>
                  </w:r>
                </w:p>
              </w:tc>
              <w:tc>
                <w:tcPr>
                  <w:tcW w:w="1107" w:type="pct"/>
                  <w:tcBorders>
                    <w:tl2br w:val="nil"/>
                    <w:tr2bl w:val="nil"/>
                  </w:tcBorders>
                  <w:noWrap w:val="0"/>
                  <w:vAlign w:val="center"/>
                </w:tcPr>
                <w:p w14:paraId="07C3DEE8">
                  <w:pPr>
                    <w:jc w:val="center"/>
                    <w:rPr>
                      <w:rFonts w:hint="default" w:eastAsia="宋体"/>
                      <w:bCs/>
                      <w:color w:val="auto"/>
                      <w:szCs w:val="21"/>
                      <w:lang w:val="en-US" w:eastAsia="zh-CN"/>
                    </w:rPr>
                  </w:pPr>
                  <w:r>
                    <w:rPr>
                      <w:rFonts w:hint="eastAsia"/>
                      <w:bCs/>
                      <w:color w:val="auto"/>
                      <w:szCs w:val="21"/>
                      <w:lang w:val="en-US" w:eastAsia="zh-CN"/>
                    </w:rPr>
                    <w:t>65</w:t>
                  </w:r>
                </w:p>
              </w:tc>
              <w:tc>
                <w:tcPr>
                  <w:tcW w:w="752" w:type="pct"/>
                  <w:vMerge w:val="restart"/>
                  <w:tcBorders>
                    <w:tl2br w:val="nil"/>
                    <w:tr2bl w:val="nil"/>
                  </w:tcBorders>
                  <w:noWrap w:val="0"/>
                  <w:vAlign w:val="center"/>
                </w:tcPr>
                <w:p w14:paraId="31754420">
                  <w:pPr>
                    <w:jc w:val="center"/>
                    <w:rPr>
                      <w:bCs/>
                      <w:color w:val="auto"/>
                      <w:szCs w:val="21"/>
                    </w:rPr>
                  </w:pPr>
                  <w:r>
                    <w:rPr>
                      <w:bCs/>
                      <w:color w:val="auto"/>
                      <w:szCs w:val="21"/>
                    </w:rPr>
                    <w:t>达标</w:t>
                  </w:r>
                </w:p>
              </w:tc>
            </w:tr>
            <w:tr w14:paraId="043196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92" w:type="pct"/>
                  <w:vMerge w:val="continue"/>
                  <w:tcBorders>
                    <w:tl2br w:val="nil"/>
                    <w:tr2bl w:val="nil"/>
                  </w:tcBorders>
                  <w:noWrap w:val="0"/>
                  <w:vAlign w:val="center"/>
                </w:tcPr>
                <w:p w14:paraId="15E42B6E">
                  <w:pPr>
                    <w:jc w:val="center"/>
                    <w:rPr>
                      <w:bCs/>
                      <w:color w:val="auto"/>
                      <w:szCs w:val="21"/>
                    </w:rPr>
                  </w:pPr>
                </w:p>
              </w:tc>
              <w:tc>
                <w:tcPr>
                  <w:tcW w:w="1191" w:type="pct"/>
                  <w:tcBorders>
                    <w:tl2br w:val="nil"/>
                    <w:tr2bl w:val="nil"/>
                  </w:tcBorders>
                  <w:noWrap w:val="0"/>
                  <w:vAlign w:val="center"/>
                </w:tcPr>
                <w:p w14:paraId="64C2722C">
                  <w:pPr>
                    <w:jc w:val="center"/>
                    <w:rPr>
                      <w:bCs/>
                      <w:color w:val="auto"/>
                      <w:szCs w:val="21"/>
                    </w:rPr>
                  </w:pPr>
                  <w:r>
                    <w:rPr>
                      <w:color w:val="auto"/>
                      <w:szCs w:val="21"/>
                    </w:rPr>
                    <w:t>厂界</w:t>
                  </w:r>
                  <w:r>
                    <w:rPr>
                      <w:rFonts w:hint="eastAsia"/>
                      <w:color w:val="auto"/>
                      <w:szCs w:val="21"/>
                    </w:rPr>
                    <w:t>南</w:t>
                  </w:r>
                  <w:r>
                    <w:rPr>
                      <w:color w:val="auto"/>
                      <w:szCs w:val="21"/>
                    </w:rPr>
                    <w:t>侧</w:t>
                  </w:r>
                </w:p>
              </w:tc>
              <w:tc>
                <w:tcPr>
                  <w:tcW w:w="1155" w:type="pct"/>
                  <w:tcBorders>
                    <w:tl2br w:val="nil"/>
                    <w:tr2bl w:val="nil"/>
                  </w:tcBorders>
                  <w:noWrap w:val="0"/>
                  <w:vAlign w:val="center"/>
                </w:tcPr>
                <w:p w14:paraId="3CD1CE8B">
                  <w:pPr>
                    <w:autoSpaceDE w:val="0"/>
                    <w:autoSpaceDN w:val="0"/>
                    <w:adjustRightInd w:val="0"/>
                    <w:jc w:val="center"/>
                    <w:rPr>
                      <w:rFonts w:hint="default" w:eastAsia="宋体"/>
                      <w:bCs/>
                      <w:color w:val="auto"/>
                      <w:szCs w:val="21"/>
                      <w:lang w:val="en-US" w:eastAsia="zh-CN"/>
                    </w:rPr>
                  </w:pPr>
                  <w:r>
                    <w:rPr>
                      <w:rFonts w:hint="eastAsia"/>
                      <w:bCs/>
                      <w:color w:val="auto"/>
                      <w:szCs w:val="21"/>
                      <w:lang w:val="en-US" w:eastAsia="zh-CN"/>
                    </w:rPr>
                    <w:t>61</w:t>
                  </w:r>
                </w:p>
              </w:tc>
              <w:tc>
                <w:tcPr>
                  <w:tcW w:w="1107" w:type="pct"/>
                  <w:tcBorders>
                    <w:tl2br w:val="nil"/>
                    <w:tr2bl w:val="nil"/>
                  </w:tcBorders>
                  <w:noWrap w:val="0"/>
                  <w:vAlign w:val="center"/>
                </w:tcPr>
                <w:p w14:paraId="5E5349D3">
                  <w:pPr>
                    <w:jc w:val="center"/>
                    <w:rPr>
                      <w:rFonts w:hint="default" w:eastAsia="宋体"/>
                      <w:bCs/>
                      <w:color w:val="auto"/>
                      <w:szCs w:val="21"/>
                      <w:lang w:val="en-US" w:eastAsia="zh-CN"/>
                    </w:rPr>
                  </w:pPr>
                  <w:r>
                    <w:rPr>
                      <w:rFonts w:hint="eastAsia"/>
                      <w:bCs/>
                      <w:color w:val="auto"/>
                      <w:szCs w:val="21"/>
                      <w:lang w:val="en-US" w:eastAsia="zh-CN"/>
                    </w:rPr>
                    <w:t>65</w:t>
                  </w:r>
                </w:p>
              </w:tc>
              <w:tc>
                <w:tcPr>
                  <w:tcW w:w="752" w:type="pct"/>
                  <w:vMerge w:val="continue"/>
                  <w:tcBorders>
                    <w:tl2br w:val="nil"/>
                    <w:tr2bl w:val="nil"/>
                  </w:tcBorders>
                  <w:noWrap w:val="0"/>
                  <w:vAlign w:val="center"/>
                </w:tcPr>
                <w:p w14:paraId="5F090782">
                  <w:pPr>
                    <w:jc w:val="center"/>
                    <w:rPr>
                      <w:bCs/>
                      <w:color w:val="auto"/>
                      <w:szCs w:val="21"/>
                    </w:rPr>
                  </w:pPr>
                </w:p>
              </w:tc>
            </w:tr>
            <w:tr w14:paraId="3521B3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92" w:type="pct"/>
                  <w:vMerge w:val="continue"/>
                  <w:tcBorders>
                    <w:tl2br w:val="nil"/>
                    <w:tr2bl w:val="nil"/>
                  </w:tcBorders>
                  <w:noWrap w:val="0"/>
                  <w:vAlign w:val="center"/>
                </w:tcPr>
                <w:p w14:paraId="6A579655">
                  <w:pPr>
                    <w:jc w:val="center"/>
                    <w:rPr>
                      <w:bCs/>
                      <w:color w:val="auto"/>
                      <w:szCs w:val="21"/>
                    </w:rPr>
                  </w:pPr>
                </w:p>
              </w:tc>
              <w:tc>
                <w:tcPr>
                  <w:tcW w:w="1191" w:type="pct"/>
                  <w:tcBorders>
                    <w:tl2br w:val="nil"/>
                    <w:tr2bl w:val="nil"/>
                  </w:tcBorders>
                  <w:noWrap w:val="0"/>
                  <w:vAlign w:val="center"/>
                </w:tcPr>
                <w:p w14:paraId="0CB37AAA">
                  <w:pPr>
                    <w:jc w:val="center"/>
                    <w:rPr>
                      <w:bCs/>
                      <w:color w:val="auto"/>
                      <w:szCs w:val="21"/>
                    </w:rPr>
                  </w:pPr>
                  <w:r>
                    <w:rPr>
                      <w:rFonts w:hint="eastAsia"/>
                      <w:color w:val="auto"/>
                      <w:szCs w:val="21"/>
                    </w:rPr>
                    <w:t>厂界西侧</w:t>
                  </w:r>
                </w:p>
              </w:tc>
              <w:tc>
                <w:tcPr>
                  <w:tcW w:w="1155" w:type="pct"/>
                  <w:tcBorders>
                    <w:tl2br w:val="nil"/>
                    <w:tr2bl w:val="nil"/>
                  </w:tcBorders>
                  <w:noWrap w:val="0"/>
                  <w:vAlign w:val="center"/>
                </w:tcPr>
                <w:p w14:paraId="4392B4F6">
                  <w:pPr>
                    <w:autoSpaceDE w:val="0"/>
                    <w:autoSpaceDN w:val="0"/>
                    <w:adjustRightInd w:val="0"/>
                    <w:jc w:val="center"/>
                    <w:rPr>
                      <w:rFonts w:hint="default" w:eastAsia="宋体"/>
                      <w:bCs/>
                      <w:color w:val="auto"/>
                      <w:szCs w:val="21"/>
                      <w:lang w:val="en-US" w:eastAsia="zh-CN"/>
                    </w:rPr>
                  </w:pPr>
                  <w:r>
                    <w:rPr>
                      <w:rFonts w:hint="eastAsia"/>
                      <w:bCs/>
                      <w:color w:val="auto"/>
                      <w:szCs w:val="21"/>
                      <w:lang w:val="en-US" w:eastAsia="zh-CN"/>
                    </w:rPr>
                    <w:t>55</w:t>
                  </w:r>
                </w:p>
              </w:tc>
              <w:tc>
                <w:tcPr>
                  <w:tcW w:w="1107" w:type="pct"/>
                  <w:tcBorders>
                    <w:tl2br w:val="nil"/>
                    <w:tr2bl w:val="nil"/>
                  </w:tcBorders>
                  <w:noWrap w:val="0"/>
                  <w:vAlign w:val="center"/>
                </w:tcPr>
                <w:p w14:paraId="30A99924">
                  <w:pPr>
                    <w:jc w:val="center"/>
                    <w:rPr>
                      <w:rFonts w:hint="default" w:eastAsia="宋体"/>
                      <w:bCs/>
                      <w:color w:val="auto"/>
                      <w:szCs w:val="21"/>
                      <w:lang w:val="en-US" w:eastAsia="zh-CN"/>
                    </w:rPr>
                  </w:pPr>
                  <w:r>
                    <w:rPr>
                      <w:rFonts w:hint="eastAsia"/>
                      <w:bCs/>
                      <w:color w:val="auto"/>
                      <w:szCs w:val="21"/>
                      <w:lang w:val="en-US" w:eastAsia="zh-CN"/>
                    </w:rPr>
                    <w:t>65</w:t>
                  </w:r>
                </w:p>
              </w:tc>
              <w:tc>
                <w:tcPr>
                  <w:tcW w:w="752" w:type="pct"/>
                  <w:vMerge w:val="continue"/>
                  <w:tcBorders>
                    <w:tl2br w:val="nil"/>
                    <w:tr2bl w:val="nil"/>
                  </w:tcBorders>
                  <w:noWrap w:val="0"/>
                  <w:vAlign w:val="center"/>
                </w:tcPr>
                <w:p w14:paraId="1452721D">
                  <w:pPr>
                    <w:jc w:val="center"/>
                    <w:rPr>
                      <w:bCs/>
                      <w:color w:val="auto"/>
                      <w:szCs w:val="21"/>
                    </w:rPr>
                  </w:pPr>
                </w:p>
              </w:tc>
            </w:tr>
            <w:tr w14:paraId="0E532A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92" w:type="pct"/>
                  <w:vMerge w:val="continue"/>
                  <w:tcBorders>
                    <w:tl2br w:val="nil"/>
                    <w:tr2bl w:val="nil"/>
                  </w:tcBorders>
                  <w:noWrap w:val="0"/>
                  <w:vAlign w:val="center"/>
                </w:tcPr>
                <w:p w14:paraId="23F46EF3">
                  <w:pPr>
                    <w:jc w:val="center"/>
                    <w:rPr>
                      <w:bCs/>
                      <w:color w:val="auto"/>
                      <w:szCs w:val="21"/>
                    </w:rPr>
                  </w:pPr>
                </w:p>
              </w:tc>
              <w:tc>
                <w:tcPr>
                  <w:tcW w:w="1191" w:type="pct"/>
                  <w:tcBorders>
                    <w:tl2br w:val="nil"/>
                    <w:tr2bl w:val="nil"/>
                  </w:tcBorders>
                  <w:noWrap w:val="0"/>
                  <w:vAlign w:val="center"/>
                </w:tcPr>
                <w:p w14:paraId="2895B86C">
                  <w:pPr>
                    <w:jc w:val="center"/>
                    <w:rPr>
                      <w:bCs/>
                      <w:color w:val="auto"/>
                      <w:szCs w:val="21"/>
                    </w:rPr>
                  </w:pPr>
                  <w:r>
                    <w:rPr>
                      <w:rFonts w:hint="eastAsia"/>
                      <w:color w:val="auto"/>
                      <w:szCs w:val="21"/>
                    </w:rPr>
                    <w:t>厂界北侧</w:t>
                  </w:r>
                </w:p>
              </w:tc>
              <w:tc>
                <w:tcPr>
                  <w:tcW w:w="1155" w:type="pct"/>
                  <w:tcBorders>
                    <w:tl2br w:val="nil"/>
                    <w:tr2bl w:val="nil"/>
                  </w:tcBorders>
                  <w:noWrap w:val="0"/>
                  <w:vAlign w:val="center"/>
                </w:tcPr>
                <w:p w14:paraId="21E0B47F">
                  <w:pPr>
                    <w:autoSpaceDE w:val="0"/>
                    <w:autoSpaceDN w:val="0"/>
                    <w:adjustRightInd w:val="0"/>
                    <w:jc w:val="center"/>
                    <w:rPr>
                      <w:rFonts w:hint="default" w:eastAsia="宋体"/>
                      <w:bCs/>
                      <w:color w:val="auto"/>
                      <w:szCs w:val="21"/>
                      <w:lang w:val="en-US" w:eastAsia="zh-CN"/>
                    </w:rPr>
                  </w:pPr>
                  <w:r>
                    <w:rPr>
                      <w:rFonts w:hint="eastAsia"/>
                      <w:bCs/>
                      <w:color w:val="auto"/>
                      <w:szCs w:val="21"/>
                      <w:lang w:val="en-US" w:eastAsia="zh-CN"/>
                    </w:rPr>
                    <w:t>59</w:t>
                  </w:r>
                </w:p>
              </w:tc>
              <w:tc>
                <w:tcPr>
                  <w:tcW w:w="1107" w:type="pct"/>
                  <w:tcBorders>
                    <w:tl2br w:val="nil"/>
                    <w:tr2bl w:val="nil"/>
                  </w:tcBorders>
                  <w:noWrap w:val="0"/>
                  <w:vAlign w:val="center"/>
                </w:tcPr>
                <w:p w14:paraId="05DAE3A0">
                  <w:pPr>
                    <w:jc w:val="center"/>
                    <w:rPr>
                      <w:rFonts w:hint="default" w:eastAsia="宋体"/>
                      <w:bCs/>
                      <w:color w:val="auto"/>
                      <w:szCs w:val="21"/>
                      <w:lang w:val="en-US" w:eastAsia="zh-CN"/>
                    </w:rPr>
                  </w:pPr>
                  <w:r>
                    <w:rPr>
                      <w:rFonts w:hint="eastAsia"/>
                      <w:bCs/>
                      <w:color w:val="auto"/>
                      <w:szCs w:val="21"/>
                      <w:lang w:val="en-US" w:eastAsia="zh-CN"/>
                    </w:rPr>
                    <w:t>65</w:t>
                  </w:r>
                </w:p>
              </w:tc>
              <w:tc>
                <w:tcPr>
                  <w:tcW w:w="752" w:type="pct"/>
                  <w:vMerge w:val="continue"/>
                  <w:tcBorders>
                    <w:tl2br w:val="nil"/>
                    <w:tr2bl w:val="nil"/>
                  </w:tcBorders>
                  <w:noWrap w:val="0"/>
                  <w:vAlign w:val="center"/>
                </w:tcPr>
                <w:p w14:paraId="56E829E5">
                  <w:pPr>
                    <w:jc w:val="center"/>
                    <w:rPr>
                      <w:bCs/>
                      <w:color w:val="auto"/>
                      <w:szCs w:val="21"/>
                    </w:rPr>
                  </w:pPr>
                </w:p>
              </w:tc>
            </w:tr>
          </w:tbl>
          <w:p w14:paraId="4F3AC642">
            <w:pPr>
              <w:autoSpaceDE w:val="0"/>
              <w:autoSpaceDN w:val="0"/>
              <w:adjustRightInd w:val="0"/>
              <w:spacing w:line="360" w:lineRule="auto"/>
              <w:ind w:firstLine="480" w:firstLineChars="200"/>
              <w:rPr>
                <w:color w:val="auto"/>
                <w:sz w:val="24"/>
              </w:rPr>
            </w:pPr>
            <w:r>
              <w:rPr>
                <w:rFonts w:hint="eastAsia"/>
                <w:color w:val="auto"/>
                <w:sz w:val="24"/>
              </w:rPr>
              <w:t>根据预测结果可知，项目运营期间，项目厂界四周噪声预测值达到《工业企业厂界环境噪声排放标准》（GB12348-2008）</w:t>
            </w:r>
            <w:r>
              <w:rPr>
                <w:rFonts w:hint="eastAsia"/>
                <w:color w:val="auto"/>
                <w:sz w:val="24"/>
                <w:lang w:val="en-US" w:eastAsia="zh-CN"/>
              </w:rPr>
              <w:t>3</w:t>
            </w:r>
            <w:r>
              <w:rPr>
                <w:rFonts w:hint="eastAsia"/>
                <w:color w:val="auto"/>
                <w:sz w:val="24"/>
              </w:rPr>
              <w:t>类标准要求。为了进一步降低噪声污染，建设单位拟采取以下防治措施：</w:t>
            </w:r>
          </w:p>
          <w:p w14:paraId="13B26BC7">
            <w:pPr>
              <w:autoSpaceDE w:val="0"/>
              <w:autoSpaceDN w:val="0"/>
              <w:adjustRightInd w:val="0"/>
              <w:spacing w:line="360" w:lineRule="auto"/>
              <w:ind w:firstLine="480" w:firstLineChars="200"/>
              <w:rPr>
                <w:color w:val="auto"/>
                <w:sz w:val="24"/>
              </w:rPr>
            </w:pPr>
            <w:r>
              <w:rPr>
                <w:rFonts w:hint="eastAsia"/>
                <w:color w:val="auto"/>
                <w:sz w:val="24"/>
              </w:rPr>
              <w:t>①选用低噪声的设备和机械。</w:t>
            </w:r>
          </w:p>
          <w:p w14:paraId="584D20D2">
            <w:pPr>
              <w:autoSpaceDE w:val="0"/>
              <w:autoSpaceDN w:val="0"/>
              <w:adjustRightInd w:val="0"/>
              <w:spacing w:line="360" w:lineRule="auto"/>
              <w:ind w:firstLine="480" w:firstLineChars="200"/>
              <w:rPr>
                <w:rFonts w:hint="eastAsia" w:eastAsia="宋体"/>
                <w:color w:val="auto"/>
                <w:sz w:val="24"/>
                <w:lang w:val="en-US" w:eastAsia="zh-CN"/>
              </w:rPr>
            </w:pPr>
            <w:r>
              <w:rPr>
                <w:rFonts w:hint="eastAsia"/>
                <w:color w:val="auto"/>
                <w:sz w:val="24"/>
              </w:rPr>
              <w:t>②</w:t>
            </w:r>
            <w:r>
              <w:rPr>
                <w:rFonts w:hint="eastAsia"/>
                <w:color w:val="auto"/>
                <w:sz w:val="24"/>
                <w:lang w:val="en-US" w:eastAsia="zh-CN"/>
              </w:rPr>
              <w:t>生产</w:t>
            </w:r>
            <w:r>
              <w:rPr>
                <w:rFonts w:hint="eastAsia"/>
                <w:color w:val="auto"/>
                <w:sz w:val="24"/>
                <w:highlight w:val="none"/>
              </w:rPr>
              <w:t>设备</w:t>
            </w:r>
            <w:r>
              <w:rPr>
                <w:rFonts w:hint="eastAsia"/>
                <w:color w:val="auto"/>
                <w:sz w:val="24"/>
              </w:rPr>
              <w:t>安装减振垫，按时检查、维修，防止</w:t>
            </w:r>
            <w:r>
              <w:rPr>
                <w:rFonts w:hint="eastAsia"/>
                <w:color w:val="auto"/>
                <w:sz w:val="24"/>
                <w:lang w:val="en-US" w:eastAsia="zh-CN"/>
              </w:rPr>
              <w:t>生产</w:t>
            </w:r>
            <w:r>
              <w:rPr>
                <w:rFonts w:hint="eastAsia"/>
                <w:color w:val="auto"/>
                <w:sz w:val="24"/>
              </w:rPr>
              <w:t>设备带病运行造成机械噪声值增加。</w:t>
            </w:r>
            <w:r>
              <w:rPr>
                <w:rFonts w:hint="eastAsia"/>
                <w:color w:val="auto"/>
                <w:sz w:val="24"/>
                <w:lang w:val="en-US" w:eastAsia="zh-CN"/>
              </w:rPr>
              <w:t>风机选</w:t>
            </w:r>
            <w:r>
              <w:rPr>
                <w:rFonts w:hint="eastAsia"/>
                <w:color w:val="auto"/>
                <w:sz w:val="24"/>
                <w:szCs w:val="24"/>
                <w:lang w:val="en-US" w:eastAsia="zh-CN"/>
              </w:rPr>
              <w:t>用</w:t>
            </w:r>
            <w:r>
              <w:rPr>
                <w:rFonts w:hint="eastAsia"/>
                <w:color w:val="auto"/>
                <w:sz w:val="24"/>
                <w:szCs w:val="24"/>
              </w:rPr>
              <w:t>低噪声设备、隔声罩、</w:t>
            </w:r>
            <w:r>
              <w:rPr>
                <w:color w:val="auto"/>
                <w:sz w:val="24"/>
                <w:szCs w:val="24"/>
              </w:rPr>
              <w:t>基础</w:t>
            </w:r>
            <w:r>
              <w:rPr>
                <w:rFonts w:hint="eastAsia"/>
                <w:color w:val="auto"/>
                <w:sz w:val="24"/>
                <w:szCs w:val="24"/>
              </w:rPr>
              <w:t>减振</w:t>
            </w:r>
            <w:r>
              <w:rPr>
                <w:rFonts w:hint="eastAsia"/>
                <w:color w:val="auto"/>
                <w:sz w:val="24"/>
                <w:szCs w:val="24"/>
                <w:lang w:eastAsia="zh-CN"/>
              </w:rPr>
              <w:t>。</w:t>
            </w:r>
          </w:p>
          <w:p w14:paraId="0131B8AB">
            <w:pPr>
              <w:autoSpaceDE w:val="0"/>
              <w:autoSpaceDN w:val="0"/>
              <w:adjustRightInd w:val="0"/>
              <w:spacing w:line="360" w:lineRule="auto"/>
              <w:ind w:firstLine="480" w:firstLineChars="200"/>
              <w:rPr>
                <w:color w:val="auto"/>
                <w:sz w:val="24"/>
              </w:rPr>
            </w:pPr>
            <w:r>
              <w:rPr>
                <w:rFonts w:hint="eastAsia"/>
                <w:color w:val="auto"/>
                <w:sz w:val="24"/>
              </w:rPr>
              <w:t>③所有生产设备合理布置，采取隔声、减振措施。在采取上述降噪措施后，项目噪声对周围环境产生的影响较小。</w:t>
            </w:r>
          </w:p>
          <w:p w14:paraId="0D25DC29">
            <w:pPr>
              <w:numPr>
                <w:ilvl w:val="0"/>
                <w:numId w:val="0"/>
              </w:numPr>
              <w:adjustRightInd w:val="0"/>
              <w:snapToGrid w:val="0"/>
              <w:spacing w:line="360" w:lineRule="auto"/>
              <w:rPr>
                <w:rFonts w:hint="eastAsia" w:ascii="Times New Roman" w:hAnsi="Times New Roman" w:eastAsia="宋体" w:cs="Times New Roman"/>
                <w:b/>
                <w:bCs w:val="0"/>
                <w:color w:val="auto"/>
                <w:spacing w:val="0"/>
                <w:sz w:val="24"/>
                <w:szCs w:val="24"/>
                <w:lang w:val="en-US" w:eastAsia="zh-CN"/>
              </w:rPr>
            </w:pPr>
            <w:r>
              <w:rPr>
                <w:rFonts w:hint="eastAsia" w:ascii="Times New Roman" w:hAnsi="Times New Roman" w:eastAsia="宋体" w:cs="Times New Roman"/>
                <w:b/>
                <w:bCs w:val="0"/>
                <w:color w:val="auto"/>
                <w:spacing w:val="0"/>
                <w:sz w:val="24"/>
                <w:szCs w:val="24"/>
                <w:lang w:val="en-US" w:eastAsia="zh-CN"/>
              </w:rPr>
              <w:t>3.3噪声监测要求</w:t>
            </w:r>
          </w:p>
          <w:p w14:paraId="56450ECE">
            <w:pPr>
              <w:spacing w:line="360" w:lineRule="auto"/>
              <w:ind w:firstLine="495"/>
              <w:rPr>
                <w:color w:val="auto"/>
              </w:rPr>
            </w:pPr>
            <w:r>
              <w:rPr>
                <w:color w:val="auto"/>
                <w:sz w:val="24"/>
              </w:rPr>
              <w:t>本项目运营期噪声监测计划见下表。</w:t>
            </w:r>
          </w:p>
          <w:p w14:paraId="4AF5C2DA">
            <w:pPr>
              <w:ind w:firstLine="482" w:firstLineChars="200"/>
              <w:jc w:val="center"/>
              <w:rPr>
                <w:b/>
                <w:color w:val="auto"/>
                <w:sz w:val="24"/>
              </w:rPr>
            </w:pPr>
            <w:r>
              <w:rPr>
                <w:b/>
                <w:color w:val="auto"/>
                <w:sz w:val="24"/>
              </w:rPr>
              <w:t>表4</w:t>
            </w:r>
            <w:r>
              <w:rPr>
                <w:rFonts w:hint="eastAsia"/>
                <w:b/>
                <w:color w:val="auto"/>
                <w:sz w:val="24"/>
              </w:rPr>
              <w:t>-</w:t>
            </w:r>
            <w:r>
              <w:rPr>
                <w:rFonts w:hint="eastAsia"/>
                <w:b/>
                <w:color w:val="auto"/>
                <w:sz w:val="24"/>
                <w:lang w:val="en-US" w:eastAsia="zh-CN"/>
              </w:rPr>
              <w:t>12</w:t>
            </w:r>
            <w:r>
              <w:rPr>
                <w:b/>
                <w:color w:val="auto"/>
                <w:sz w:val="24"/>
              </w:rPr>
              <w:t xml:space="preserve">  项目环境监测计划</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709"/>
              <w:gridCol w:w="2874"/>
              <w:gridCol w:w="2208"/>
              <w:gridCol w:w="1430"/>
            </w:tblGrid>
            <w:tr w14:paraId="584DFD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1039" w:type="pct"/>
                  <w:tcBorders>
                    <w:tl2br w:val="nil"/>
                    <w:tr2bl w:val="nil"/>
                  </w:tcBorders>
                  <w:noWrap w:val="0"/>
                  <w:vAlign w:val="center"/>
                </w:tcPr>
                <w:p w14:paraId="238C72E9">
                  <w:pPr>
                    <w:pStyle w:val="3"/>
                    <w:tabs>
                      <w:tab w:val="left" w:pos="451"/>
                      <w:tab w:val="center" w:pos="1013"/>
                    </w:tabs>
                    <w:adjustRightInd w:val="0"/>
                    <w:snapToGrid w:val="0"/>
                    <w:spacing w:after="0"/>
                    <w:ind w:left="0" w:leftChars="0"/>
                    <w:jc w:val="center"/>
                    <w:rPr>
                      <w:b/>
                      <w:bCs w:val="0"/>
                      <w:color w:val="auto"/>
                      <w:sz w:val="21"/>
                      <w:szCs w:val="21"/>
                    </w:rPr>
                  </w:pPr>
                  <w:r>
                    <w:rPr>
                      <w:b/>
                      <w:bCs w:val="0"/>
                      <w:color w:val="auto"/>
                      <w:sz w:val="21"/>
                      <w:szCs w:val="21"/>
                    </w:rPr>
                    <w:t>监测项目</w:t>
                  </w:r>
                </w:p>
              </w:tc>
              <w:tc>
                <w:tcPr>
                  <w:tcW w:w="1747" w:type="pct"/>
                  <w:tcBorders>
                    <w:tl2br w:val="nil"/>
                    <w:tr2bl w:val="nil"/>
                  </w:tcBorders>
                  <w:noWrap w:val="0"/>
                  <w:vAlign w:val="center"/>
                </w:tcPr>
                <w:p w14:paraId="68D2C7A3">
                  <w:pPr>
                    <w:pStyle w:val="3"/>
                    <w:adjustRightInd w:val="0"/>
                    <w:snapToGrid w:val="0"/>
                    <w:spacing w:after="0"/>
                    <w:ind w:left="0" w:leftChars="0"/>
                    <w:jc w:val="center"/>
                    <w:rPr>
                      <w:b/>
                      <w:bCs w:val="0"/>
                      <w:color w:val="auto"/>
                      <w:sz w:val="21"/>
                      <w:szCs w:val="21"/>
                    </w:rPr>
                  </w:pPr>
                  <w:r>
                    <w:rPr>
                      <w:b/>
                      <w:bCs w:val="0"/>
                      <w:color w:val="auto"/>
                      <w:sz w:val="21"/>
                      <w:szCs w:val="21"/>
                    </w:rPr>
                    <w:t>监测点位</w:t>
                  </w:r>
                </w:p>
              </w:tc>
              <w:tc>
                <w:tcPr>
                  <w:tcW w:w="1342" w:type="pct"/>
                  <w:tcBorders>
                    <w:tl2br w:val="nil"/>
                    <w:tr2bl w:val="nil"/>
                  </w:tcBorders>
                  <w:noWrap w:val="0"/>
                  <w:vAlign w:val="center"/>
                </w:tcPr>
                <w:p w14:paraId="52FED518">
                  <w:pPr>
                    <w:pStyle w:val="3"/>
                    <w:adjustRightInd w:val="0"/>
                    <w:snapToGrid w:val="0"/>
                    <w:spacing w:after="0"/>
                    <w:ind w:left="0" w:leftChars="0"/>
                    <w:jc w:val="center"/>
                    <w:rPr>
                      <w:b/>
                      <w:bCs w:val="0"/>
                      <w:color w:val="auto"/>
                      <w:sz w:val="21"/>
                      <w:szCs w:val="21"/>
                    </w:rPr>
                  </w:pPr>
                  <w:r>
                    <w:rPr>
                      <w:b/>
                      <w:bCs w:val="0"/>
                      <w:color w:val="auto"/>
                      <w:sz w:val="21"/>
                      <w:szCs w:val="21"/>
                    </w:rPr>
                    <w:t>监测因子</w:t>
                  </w:r>
                </w:p>
              </w:tc>
              <w:tc>
                <w:tcPr>
                  <w:tcW w:w="869" w:type="pct"/>
                  <w:tcBorders>
                    <w:tl2br w:val="nil"/>
                    <w:tr2bl w:val="nil"/>
                  </w:tcBorders>
                  <w:noWrap w:val="0"/>
                  <w:vAlign w:val="center"/>
                </w:tcPr>
                <w:p w14:paraId="31CF3A7A">
                  <w:pPr>
                    <w:pStyle w:val="3"/>
                    <w:adjustRightInd w:val="0"/>
                    <w:snapToGrid w:val="0"/>
                    <w:spacing w:after="0"/>
                    <w:ind w:left="0" w:leftChars="0"/>
                    <w:jc w:val="center"/>
                    <w:rPr>
                      <w:b/>
                      <w:bCs w:val="0"/>
                      <w:color w:val="auto"/>
                      <w:sz w:val="21"/>
                      <w:szCs w:val="21"/>
                    </w:rPr>
                  </w:pPr>
                  <w:r>
                    <w:rPr>
                      <w:b/>
                      <w:bCs w:val="0"/>
                      <w:color w:val="auto"/>
                      <w:sz w:val="21"/>
                      <w:szCs w:val="21"/>
                    </w:rPr>
                    <w:t>监测频率</w:t>
                  </w:r>
                </w:p>
              </w:tc>
            </w:tr>
            <w:tr w14:paraId="68EACA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1039" w:type="pct"/>
                  <w:tcBorders>
                    <w:tl2br w:val="nil"/>
                    <w:tr2bl w:val="nil"/>
                  </w:tcBorders>
                  <w:noWrap w:val="0"/>
                  <w:vAlign w:val="center"/>
                </w:tcPr>
                <w:p w14:paraId="4C8A121D">
                  <w:pPr>
                    <w:pStyle w:val="3"/>
                    <w:adjustRightInd w:val="0"/>
                    <w:snapToGrid w:val="0"/>
                    <w:spacing w:after="0"/>
                    <w:ind w:left="0" w:leftChars="0"/>
                    <w:jc w:val="center"/>
                    <w:rPr>
                      <w:color w:val="auto"/>
                      <w:sz w:val="21"/>
                      <w:szCs w:val="21"/>
                    </w:rPr>
                  </w:pPr>
                  <w:r>
                    <w:rPr>
                      <w:color w:val="auto"/>
                      <w:sz w:val="21"/>
                      <w:szCs w:val="21"/>
                    </w:rPr>
                    <w:t>噪声</w:t>
                  </w:r>
                </w:p>
              </w:tc>
              <w:tc>
                <w:tcPr>
                  <w:tcW w:w="1747" w:type="pct"/>
                  <w:tcBorders>
                    <w:tl2br w:val="nil"/>
                    <w:tr2bl w:val="nil"/>
                  </w:tcBorders>
                  <w:noWrap w:val="0"/>
                  <w:vAlign w:val="center"/>
                </w:tcPr>
                <w:p w14:paraId="0B091DDC">
                  <w:pPr>
                    <w:pStyle w:val="3"/>
                    <w:adjustRightInd w:val="0"/>
                    <w:snapToGrid w:val="0"/>
                    <w:spacing w:after="0"/>
                    <w:ind w:left="0" w:leftChars="0"/>
                    <w:jc w:val="center"/>
                    <w:rPr>
                      <w:rFonts w:hint="eastAsia" w:eastAsia="宋体"/>
                      <w:color w:val="auto"/>
                      <w:sz w:val="21"/>
                      <w:szCs w:val="21"/>
                      <w:lang w:eastAsia="zh-CN"/>
                    </w:rPr>
                  </w:pPr>
                  <w:r>
                    <w:rPr>
                      <w:rFonts w:hint="eastAsia"/>
                      <w:color w:val="auto"/>
                      <w:sz w:val="21"/>
                      <w:szCs w:val="21"/>
                    </w:rPr>
                    <w:t>项目</w:t>
                  </w:r>
                  <w:r>
                    <w:rPr>
                      <w:rFonts w:hint="eastAsia"/>
                      <w:color w:val="auto"/>
                      <w:sz w:val="21"/>
                      <w:szCs w:val="21"/>
                      <w:lang w:val="en-US" w:eastAsia="zh-CN"/>
                    </w:rPr>
                    <w:t>四周</w:t>
                  </w:r>
                </w:p>
              </w:tc>
              <w:tc>
                <w:tcPr>
                  <w:tcW w:w="1342" w:type="pct"/>
                  <w:tcBorders>
                    <w:tl2br w:val="nil"/>
                    <w:tr2bl w:val="nil"/>
                  </w:tcBorders>
                  <w:noWrap w:val="0"/>
                  <w:vAlign w:val="center"/>
                </w:tcPr>
                <w:p w14:paraId="2D99CFDB">
                  <w:pPr>
                    <w:pStyle w:val="3"/>
                    <w:adjustRightInd w:val="0"/>
                    <w:snapToGrid w:val="0"/>
                    <w:spacing w:after="0"/>
                    <w:ind w:left="0" w:leftChars="0"/>
                    <w:jc w:val="center"/>
                    <w:rPr>
                      <w:color w:val="auto"/>
                      <w:sz w:val="21"/>
                      <w:szCs w:val="21"/>
                    </w:rPr>
                  </w:pPr>
                  <w:r>
                    <w:rPr>
                      <w:color w:val="auto"/>
                      <w:sz w:val="21"/>
                      <w:szCs w:val="21"/>
                    </w:rPr>
                    <w:t>等效A声级dB（A）</w:t>
                  </w:r>
                </w:p>
              </w:tc>
              <w:tc>
                <w:tcPr>
                  <w:tcW w:w="869" w:type="pct"/>
                  <w:tcBorders>
                    <w:tl2br w:val="nil"/>
                    <w:tr2bl w:val="nil"/>
                  </w:tcBorders>
                  <w:noWrap w:val="0"/>
                  <w:vAlign w:val="center"/>
                </w:tcPr>
                <w:p w14:paraId="5D6EE318">
                  <w:pPr>
                    <w:pStyle w:val="3"/>
                    <w:adjustRightInd w:val="0"/>
                    <w:snapToGrid w:val="0"/>
                    <w:spacing w:after="0"/>
                    <w:ind w:left="0" w:leftChars="0"/>
                    <w:jc w:val="center"/>
                    <w:rPr>
                      <w:color w:val="auto"/>
                      <w:sz w:val="21"/>
                      <w:szCs w:val="21"/>
                    </w:rPr>
                  </w:pPr>
                  <w:r>
                    <w:rPr>
                      <w:color w:val="auto"/>
                      <w:sz w:val="21"/>
                      <w:szCs w:val="21"/>
                    </w:rPr>
                    <w:t>1次/</w:t>
                  </w:r>
                  <w:r>
                    <w:rPr>
                      <w:rFonts w:hint="eastAsia"/>
                      <w:color w:val="auto"/>
                      <w:sz w:val="21"/>
                      <w:szCs w:val="21"/>
                    </w:rPr>
                    <w:t>季度</w:t>
                  </w:r>
                </w:p>
              </w:tc>
            </w:tr>
          </w:tbl>
          <w:p w14:paraId="740E8334">
            <w:pPr>
              <w:numPr>
                <w:ilvl w:val="0"/>
                <w:numId w:val="0"/>
              </w:numPr>
              <w:adjustRightInd w:val="0"/>
              <w:snapToGrid w:val="0"/>
              <w:spacing w:line="360" w:lineRule="auto"/>
              <w:rPr>
                <w:rFonts w:hint="default" w:ascii="Times New Roman" w:hAnsi="Times New Roman" w:cs="Times New Roman"/>
                <w:b/>
                <w:bCs w:val="0"/>
                <w:color w:val="auto"/>
                <w:spacing w:val="0"/>
                <w:sz w:val="24"/>
                <w:szCs w:val="24"/>
                <w:lang w:val="en-US" w:eastAsia="zh-CN"/>
              </w:rPr>
            </w:pPr>
            <w:r>
              <w:rPr>
                <w:rFonts w:hint="default" w:ascii="Times New Roman" w:hAnsi="Times New Roman" w:cs="Times New Roman"/>
                <w:b/>
                <w:bCs w:val="0"/>
                <w:color w:val="auto"/>
                <w:spacing w:val="0"/>
                <w:sz w:val="24"/>
                <w:szCs w:val="24"/>
                <w:lang w:val="en-US" w:eastAsia="zh-CN"/>
              </w:rPr>
              <w:t>4、固体废物</w:t>
            </w:r>
          </w:p>
          <w:p w14:paraId="1CAB5D3E">
            <w:pPr>
              <w:numPr>
                <w:ilvl w:val="0"/>
                <w:numId w:val="0"/>
              </w:numPr>
              <w:adjustRightInd w:val="0"/>
              <w:snapToGrid w:val="0"/>
              <w:spacing w:line="360" w:lineRule="auto"/>
              <w:rPr>
                <w:rFonts w:hint="default" w:ascii="Times New Roman" w:hAnsi="Times New Roman" w:cs="Times New Roman"/>
                <w:b/>
                <w:bCs w:val="0"/>
                <w:color w:val="auto"/>
                <w:spacing w:val="0"/>
                <w:sz w:val="24"/>
                <w:szCs w:val="24"/>
                <w:lang w:val="en-US" w:eastAsia="zh-CN"/>
              </w:rPr>
            </w:pPr>
            <w:r>
              <w:rPr>
                <w:rFonts w:hint="default" w:ascii="Times New Roman" w:hAnsi="Times New Roman" w:cs="Times New Roman"/>
                <w:b/>
                <w:bCs w:val="0"/>
                <w:color w:val="auto"/>
                <w:spacing w:val="0"/>
                <w:sz w:val="24"/>
                <w:szCs w:val="24"/>
                <w:lang w:val="en-US" w:eastAsia="zh-CN"/>
              </w:rPr>
              <w:t>4.1固体废物产生情况</w:t>
            </w:r>
          </w:p>
          <w:p w14:paraId="5228519B">
            <w:p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b w:val="0"/>
                <w:bCs/>
                <w:color w:val="auto"/>
                <w:spacing w:val="0"/>
                <w:sz w:val="24"/>
                <w:szCs w:val="24"/>
                <w:lang w:val="en-US" w:eastAsia="zh-CN"/>
              </w:rPr>
              <w:t>本项目</w:t>
            </w:r>
            <w:r>
              <w:rPr>
                <w:rFonts w:hint="default" w:ascii="Times New Roman" w:hAnsi="Times New Roman" w:cs="Times New Roman"/>
                <w:color w:val="auto"/>
                <w:sz w:val="24"/>
                <w:highlight w:val="none"/>
              </w:rPr>
              <w:t>运营期产生的固体废物主要有生活垃圾、</w:t>
            </w:r>
            <w:r>
              <w:rPr>
                <w:rFonts w:hint="eastAsia" w:ascii="Times New Roman" w:hAnsi="Times New Roman" w:cs="Times New Roman"/>
                <w:color w:val="auto"/>
                <w:sz w:val="24"/>
                <w:highlight w:val="none"/>
                <w:lang w:val="en-US" w:eastAsia="zh-CN"/>
              </w:rPr>
              <w:t>废</w:t>
            </w:r>
            <w:r>
              <w:rPr>
                <w:rFonts w:hint="default" w:ascii="Times New Roman" w:hAnsi="Times New Roman" w:cs="Times New Roman"/>
                <w:color w:val="auto"/>
                <w:sz w:val="24"/>
                <w:highlight w:val="none"/>
                <w:lang w:val="en-US" w:eastAsia="zh-CN"/>
              </w:rPr>
              <w:t>边角料</w:t>
            </w: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bCs/>
                <w:color w:val="auto"/>
                <w:kern w:val="0"/>
                <w:sz w:val="24"/>
                <w:szCs w:val="20"/>
                <w:lang w:val="en-US" w:eastAsia="zh-CN"/>
              </w:rPr>
              <w:t>废包装</w:t>
            </w:r>
            <w:r>
              <w:rPr>
                <w:rFonts w:hint="eastAsia" w:ascii="Times New Roman" w:hAnsi="Times New Roman" w:eastAsia="宋体" w:cs="Times New Roman"/>
                <w:bCs/>
                <w:color w:val="auto"/>
                <w:kern w:val="0"/>
                <w:sz w:val="24"/>
                <w:szCs w:val="20"/>
                <w:lang w:val="en-US" w:eastAsia="zh-CN"/>
              </w:rPr>
              <w:t>材料、不合格品、废反渗透膜、</w:t>
            </w:r>
            <w:r>
              <w:rPr>
                <w:rFonts w:hint="eastAsia" w:cs="Times New Roman"/>
                <w:bCs/>
                <w:color w:val="auto"/>
                <w:kern w:val="0"/>
                <w:sz w:val="24"/>
                <w:szCs w:val="20"/>
                <w:lang w:val="en-US" w:eastAsia="zh-CN"/>
              </w:rPr>
              <w:t>废滤芯、</w:t>
            </w:r>
            <w:r>
              <w:rPr>
                <w:rFonts w:hint="eastAsia"/>
                <w:color w:val="auto"/>
                <w:sz w:val="24"/>
              </w:rPr>
              <w:t>废液</w:t>
            </w:r>
            <w:r>
              <w:rPr>
                <w:rFonts w:hint="eastAsia"/>
                <w:color w:val="auto"/>
                <w:sz w:val="24"/>
                <w:lang w:eastAsia="zh-CN"/>
              </w:rPr>
              <w:t>、</w:t>
            </w:r>
            <w:r>
              <w:rPr>
                <w:rFonts w:hint="eastAsia" w:ascii="Times New Roman" w:hAnsi="Times New Roman" w:eastAsia="宋体" w:cs="Times New Roman"/>
                <w:color w:val="auto"/>
                <w:sz w:val="24"/>
                <w:lang w:val="en-US" w:eastAsia="zh-CN"/>
              </w:rPr>
              <w:t>废试剂瓶、</w:t>
            </w:r>
            <w:r>
              <w:rPr>
                <w:rFonts w:hint="default" w:ascii="Times New Roman" w:hAnsi="Times New Roman" w:cs="Times New Roman"/>
                <w:color w:val="auto"/>
                <w:sz w:val="24"/>
              </w:rPr>
              <w:t>废活性炭</w:t>
            </w:r>
            <w:r>
              <w:rPr>
                <w:rFonts w:hint="default" w:ascii="Times New Roman" w:hAnsi="Times New Roman" w:cs="Times New Roman"/>
                <w:color w:val="auto"/>
                <w:sz w:val="24"/>
                <w:highlight w:val="none"/>
              </w:rPr>
              <w:t>等</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按污染特性可分为</w:t>
            </w:r>
            <w:r>
              <w:rPr>
                <w:rFonts w:hint="default" w:ascii="Times New Roman" w:hAnsi="Times New Roman" w:cs="Times New Roman"/>
                <w:color w:val="auto"/>
                <w:sz w:val="24"/>
                <w:highlight w:val="none"/>
                <w:lang w:val="en-US" w:eastAsia="zh-CN"/>
              </w:rPr>
              <w:t>生活垃圾、一般工业固体废物和危险废物。</w:t>
            </w:r>
          </w:p>
          <w:p w14:paraId="3CAAC0C6">
            <w:pPr>
              <w:numPr>
                <w:ilvl w:val="0"/>
                <w:numId w:val="11"/>
              </w:num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生活垃圾</w:t>
            </w:r>
          </w:p>
          <w:p w14:paraId="77B01334">
            <w:p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rPr>
              <w:t>生活垃圾主要</w:t>
            </w:r>
            <w:r>
              <w:rPr>
                <w:rFonts w:hint="default" w:ascii="Times New Roman" w:hAnsi="Times New Roman" w:cs="Times New Roman"/>
                <w:color w:val="auto"/>
                <w:sz w:val="24"/>
                <w:highlight w:val="none"/>
                <w:lang w:val="en-US" w:eastAsia="zh-CN"/>
              </w:rPr>
              <w:t>为</w:t>
            </w:r>
            <w:r>
              <w:rPr>
                <w:rFonts w:hint="default" w:ascii="Times New Roman" w:hAnsi="Times New Roman" w:cs="Times New Roman"/>
                <w:color w:val="auto"/>
                <w:sz w:val="24"/>
                <w:highlight w:val="none"/>
              </w:rPr>
              <w:t>职工日常办公生活产生的，按每人0.5kg/d计，本项目职工人数为</w:t>
            </w:r>
            <w:r>
              <w:rPr>
                <w:rFonts w:hint="default" w:ascii="Times New Roman" w:hAnsi="Times New Roman" w:cs="Times New Roman"/>
                <w:color w:val="auto"/>
                <w:sz w:val="24"/>
                <w:highlight w:val="none"/>
                <w:lang w:val="en-US" w:eastAsia="zh-CN"/>
              </w:rPr>
              <w:t>10</w:t>
            </w:r>
            <w:r>
              <w:rPr>
                <w:rFonts w:hint="default" w:ascii="Times New Roman" w:hAnsi="Times New Roman" w:cs="Times New Roman"/>
                <w:color w:val="auto"/>
                <w:sz w:val="24"/>
                <w:highlight w:val="none"/>
              </w:rPr>
              <w:t>人，则垃圾日产量为</w:t>
            </w:r>
            <w:r>
              <w:rPr>
                <w:rFonts w:hint="default" w:ascii="Times New Roman" w:hAnsi="Times New Roman" w:cs="Times New Roman"/>
                <w:color w:val="auto"/>
                <w:sz w:val="24"/>
                <w:highlight w:val="none"/>
                <w:lang w:val="en-US" w:eastAsia="zh-CN"/>
              </w:rPr>
              <w:t>5.0</w:t>
            </w:r>
            <w:r>
              <w:rPr>
                <w:rFonts w:hint="default" w:ascii="Times New Roman" w:hAnsi="Times New Roman" w:cs="Times New Roman"/>
                <w:color w:val="auto"/>
                <w:sz w:val="24"/>
                <w:highlight w:val="none"/>
              </w:rPr>
              <w:t>kg/d，年工作天数为</w:t>
            </w:r>
            <w:r>
              <w:rPr>
                <w:rFonts w:hint="eastAsia" w:ascii="Times New Roman" w:hAnsi="Times New Roman" w:cs="Times New Roman"/>
                <w:color w:val="auto"/>
                <w:sz w:val="24"/>
                <w:highlight w:val="none"/>
                <w:lang w:val="en-US" w:eastAsia="zh-CN"/>
              </w:rPr>
              <w:t>250</w:t>
            </w:r>
            <w:r>
              <w:rPr>
                <w:rFonts w:hint="default" w:ascii="Times New Roman" w:hAnsi="Times New Roman" w:cs="Times New Roman"/>
                <w:color w:val="auto"/>
                <w:sz w:val="24"/>
                <w:highlight w:val="none"/>
              </w:rPr>
              <w:t>天，生活垃圾年产量约为</w:t>
            </w:r>
            <w:r>
              <w:rPr>
                <w:rFonts w:hint="eastAsia" w:ascii="Times New Roman" w:hAnsi="Times New Roman" w:cs="Times New Roman"/>
                <w:color w:val="auto"/>
                <w:sz w:val="24"/>
                <w:highlight w:val="none"/>
                <w:lang w:val="en-US" w:eastAsia="zh-CN"/>
              </w:rPr>
              <w:t>1.25</w:t>
            </w:r>
            <w:r>
              <w:rPr>
                <w:rFonts w:hint="default" w:ascii="Times New Roman" w:hAnsi="Times New Roman" w:cs="Times New Roman"/>
                <w:color w:val="auto"/>
                <w:sz w:val="24"/>
                <w:highlight w:val="none"/>
              </w:rPr>
              <w:t>t/a。</w:t>
            </w:r>
            <w:r>
              <w:rPr>
                <w:rFonts w:hint="default" w:ascii="Times New Roman" w:hAnsi="Times New Roman" w:cs="Times New Roman"/>
                <w:color w:val="auto"/>
                <w:sz w:val="24"/>
                <w:szCs w:val="24"/>
                <w:highlight w:val="none"/>
                <w:lang w:bidi="ar"/>
              </w:rPr>
              <w:t>设</w:t>
            </w:r>
            <w:r>
              <w:rPr>
                <w:rFonts w:hint="default" w:ascii="Times New Roman" w:hAnsi="Times New Roman" w:cs="Times New Roman"/>
                <w:color w:val="auto"/>
                <w:sz w:val="24"/>
                <w:szCs w:val="24"/>
                <w:highlight w:val="none"/>
                <w:lang w:val="en-US" w:eastAsia="zh-CN" w:bidi="ar"/>
              </w:rPr>
              <w:t>分类</w:t>
            </w:r>
            <w:r>
              <w:rPr>
                <w:rFonts w:hint="default" w:ascii="Times New Roman" w:hAnsi="Times New Roman" w:cs="Times New Roman"/>
                <w:color w:val="auto"/>
                <w:sz w:val="24"/>
                <w:szCs w:val="24"/>
                <w:highlight w:val="none"/>
                <w:lang w:bidi="ar"/>
              </w:rPr>
              <w:t>垃圾收集桶，项目生活垃圾经收集后由环卫部门定期集中清运。</w:t>
            </w:r>
          </w:p>
          <w:p w14:paraId="0D638650">
            <w:pPr>
              <w:numPr>
                <w:ilvl w:val="0"/>
                <w:numId w:val="11"/>
              </w:num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一般工业固体废物</w:t>
            </w:r>
          </w:p>
          <w:p w14:paraId="1F97D787">
            <w:pPr>
              <w:spacing w:line="360" w:lineRule="auto"/>
              <w:ind w:firstLine="480" w:firstLineChars="200"/>
              <w:contextualSpacing/>
              <w:rPr>
                <w:rFonts w:hint="default" w:ascii="Times New Roman" w:hAnsi="Times New Roman" w:eastAsia="宋体" w:cs="Times New Roman"/>
                <w:bCs/>
                <w:color w:val="auto"/>
                <w:kern w:val="0"/>
                <w:sz w:val="24"/>
                <w:szCs w:val="20"/>
                <w:lang w:val="en-US" w:eastAsia="zh-CN"/>
              </w:rPr>
            </w:pPr>
            <w:r>
              <w:rPr>
                <w:rFonts w:hint="default" w:ascii="Times New Roman" w:hAnsi="Times New Roman" w:eastAsia="宋体" w:cs="Times New Roman"/>
                <w:bCs/>
                <w:color w:val="auto"/>
                <w:kern w:val="0"/>
                <w:sz w:val="24"/>
                <w:szCs w:val="20"/>
                <w:lang w:val="en-US" w:eastAsia="zh-CN"/>
              </w:rPr>
              <w:t>1）废边角料</w:t>
            </w:r>
          </w:p>
          <w:p w14:paraId="5E145A4C">
            <w:pPr>
              <w:spacing w:line="360" w:lineRule="auto"/>
              <w:ind w:firstLine="480" w:firstLineChars="200"/>
              <w:contextualSpacing/>
              <w:rPr>
                <w:rFonts w:hint="default" w:ascii="Times New Roman" w:hAnsi="Times New Roman" w:eastAsia="宋体" w:cs="Times New Roman"/>
                <w:bCs/>
                <w:color w:val="auto"/>
                <w:kern w:val="0"/>
                <w:sz w:val="24"/>
                <w:szCs w:val="20"/>
                <w:lang w:val="en-US" w:eastAsia="zh-CN"/>
              </w:rPr>
            </w:pPr>
            <w:r>
              <w:rPr>
                <w:rFonts w:hint="default" w:ascii="Times New Roman" w:hAnsi="Times New Roman" w:eastAsia="宋体" w:cs="Times New Roman"/>
                <w:bCs/>
                <w:color w:val="auto"/>
                <w:kern w:val="0"/>
                <w:sz w:val="24"/>
                <w:szCs w:val="20"/>
                <w:lang w:val="en-US" w:eastAsia="zh-CN"/>
              </w:rPr>
              <w:t>在</w:t>
            </w:r>
            <w:r>
              <w:rPr>
                <w:rFonts w:hint="eastAsia" w:ascii="Times New Roman" w:hAnsi="Times New Roman" w:eastAsia="宋体" w:cs="Times New Roman"/>
                <w:bCs/>
                <w:color w:val="auto"/>
                <w:kern w:val="0"/>
                <w:sz w:val="24"/>
                <w:szCs w:val="20"/>
                <w:lang w:val="en-US" w:eastAsia="zh-CN"/>
              </w:rPr>
              <w:t>分切</w:t>
            </w:r>
            <w:r>
              <w:rPr>
                <w:rFonts w:hint="default" w:ascii="Times New Roman" w:hAnsi="Times New Roman" w:eastAsia="宋体" w:cs="Times New Roman"/>
                <w:bCs/>
                <w:color w:val="auto"/>
                <w:kern w:val="0"/>
                <w:sz w:val="24"/>
                <w:szCs w:val="20"/>
                <w:lang w:val="en-US" w:eastAsia="zh-CN"/>
              </w:rPr>
              <w:t>工序会产生废边角料主要是废膜</w:t>
            </w:r>
            <w:r>
              <w:rPr>
                <w:rFonts w:hint="eastAsia" w:ascii="Times New Roman" w:hAnsi="Times New Roman" w:eastAsia="宋体" w:cs="Times New Roman"/>
                <w:bCs/>
                <w:color w:val="auto"/>
                <w:kern w:val="0"/>
                <w:sz w:val="24"/>
                <w:szCs w:val="20"/>
                <w:lang w:val="en-US" w:eastAsia="zh-CN"/>
              </w:rPr>
              <w:t>、废气体扩散层、废胶带</w:t>
            </w:r>
            <w:r>
              <w:rPr>
                <w:rFonts w:hint="default" w:ascii="Times New Roman" w:hAnsi="Times New Roman" w:eastAsia="宋体" w:cs="Times New Roman"/>
                <w:bCs/>
                <w:color w:val="auto"/>
                <w:kern w:val="0"/>
                <w:sz w:val="24"/>
                <w:szCs w:val="20"/>
                <w:lang w:val="en-US" w:eastAsia="zh-CN"/>
              </w:rPr>
              <w:t>等。根据建设单位提供的资料，废边角料产生量约为</w:t>
            </w:r>
            <w:r>
              <w:rPr>
                <w:rFonts w:hint="eastAsia" w:ascii="Times New Roman" w:hAnsi="Times New Roman" w:eastAsia="宋体" w:cs="Times New Roman"/>
                <w:bCs/>
                <w:color w:val="auto"/>
                <w:kern w:val="0"/>
                <w:sz w:val="24"/>
                <w:szCs w:val="20"/>
                <w:lang w:val="en-US" w:eastAsia="zh-CN"/>
              </w:rPr>
              <w:t>0.</w:t>
            </w:r>
            <w:r>
              <w:rPr>
                <w:rFonts w:hint="eastAsia" w:cs="Times New Roman"/>
                <w:bCs/>
                <w:color w:val="auto"/>
                <w:kern w:val="0"/>
                <w:sz w:val="24"/>
                <w:szCs w:val="20"/>
                <w:lang w:val="en-US" w:eastAsia="zh-CN"/>
              </w:rPr>
              <w:t>02</w:t>
            </w:r>
            <w:r>
              <w:rPr>
                <w:rFonts w:hint="default" w:ascii="Times New Roman" w:hAnsi="Times New Roman" w:eastAsia="宋体" w:cs="Times New Roman"/>
                <w:bCs/>
                <w:color w:val="auto"/>
                <w:kern w:val="0"/>
                <w:sz w:val="24"/>
                <w:szCs w:val="20"/>
                <w:lang w:val="en-US" w:eastAsia="zh-CN"/>
              </w:rPr>
              <w:t>t/a。属一般工业固体废物，集中收集后外售综合利用。</w:t>
            </w:r>
          </w:p>
          <w:p w14:paraId="65A451FF">
            <w:pPr>
              <w:spacing w:line="360" w:lineRule="auto"/>
              <w:ind w:firstLine="480" w:firstLineChars="200"/>
              <w:contextualSpacing/>
              <w:rPr>
                <w:rFonts w:hint="default" w:ascii="Times New Roman" w:hAnsi="Times New Roman" w:eastAsia="宋体" w:cs="Times New Roman"/>
                <w:bCs/>
                <w:color w:val="auto"/>
                <w:kern w:val="0"/>
                <w:sz w:val="24"/>
                <w:szCs w:val="20"/>
                <w:lang w:val="en-US" w:eastAsia="zh-CN"/>
              </w:rPr>
            </w:pPr>
            <w:r>
              <w:rPr>
                <w:rFonts w:hint="default" w:ascii="Times New Roman" w:hAnsi="Times New Roman" w:eastAsia="宋体" w:cs="Times New Roman"/>
                <w:bCs/>
                <w:color w:val="auto"/>
                <w:kern w:val="0"/>
                <w:sz w:val="24"/>
                <w:szCs w:val="20"/>
                <w:lang w:val="en-US" w:eastAsia="zh-CN"/>
              </w:rPr>
              <w:t>2）废包装</w:t>
            </w:r>
            <w:r>
              <w:rPr>
                <w:rFonts w:hint="eastAsia" w:ascii="Times New Roman" w:hAnsi="Times New Roman" w:eastAsia="宋体" w:cs="Times New Roman"/>
                <w:bCs/>
                <w:color w:val="auto"/>
                <w:kern w:val="0"/>
                <w:sz w:val="24"/>
                <w:szCs w:val="20"/>
                <w:lang w:val="en-US" w:eastAsia="zh-CN"/>
              </w:rPr>
              <w:t>材料、不合格品</w:t>
            </w:r>
          </w:p>
          <w:p w14:paraId="74255E2E">
            <w:pPr>
              <w:spacing w:line="360" w:lineRule="auto"/>
              <w:ind w:firstLine="480" w:firstLineChars="200"/>
              <w:contextualSpacing/>
              <w:rPr>
                <w:rFonts w:hint="default" w:ascii="Times New Roman" w:hAnsi="Times New Roman" w:eastAsia="宋体" w:cs="Times New Roman"/>
                <w:bCs/>
                <w:color w:val="auto"/>
                <w:kern w:val="0"/>
                <w:sz w:val="24"/>
                <w:szCs w:val="20"/>
                <w:lang w:val="en-US" w:eastAsia="zh-CN"/>
              </w:rPr>
            </w:pPr>
            <w:r>
              <w:rPr>
                <w:rFonts w:hint="default" w:ascii="Times New Roman" w:hAnsi="Times New Roman" w:eastAsia="宋体" w:cs="Times New Roman"/>
                <w:bCs/>
                <w:color w:val="auto"/>
                <w:kern w:val="0"/>
                <w:sz w:val="24"/>
                <w:szCs w:val="20"/>
                <w:lang w:val="en-US" w:eastAsia="zh-CN"/>
              </w:rPr>
              <w:t>在</w:t>
            </w:r>
            <w:r>
              <w:rPr>
                <w:rFonts w:hint="eastAsia" w:ascii="Times New Roman" w:hAnsi="Times New Roman" w:eastAsia="宋体" w:cs="Times New Roman"/>
                <w:bCs/>
                <w:color w:val="auto"/>
                <w:kern w:val="0"/>
                <w:sz w:val="24"/>
                <w:szCs w:val="20"/>
                <w:lang w:val="en-US" w:eastAsia="zh-CN"/>
              </w:rPr>
              <w:t>检测与</w:t>
            </w:r>
            <w:r>
              <w:rPr>
                <w:rFonts w:hint="default" w:ascii="Times New Roman" w:hAnsi="Times New Roman" w:eastAsia="宋体" w:cs="Times New Roman"/>
                <w:bCs/>
                <w:color w:val="auto"/>
                <w:kern w:val="0"/>
                <w:sz w:val="24"/>
                <w:szCs w:val="20"/>
                <w:lang w:val="en-US" w:eastAsia="zh-CN"/>
              </w:rPr>
              <w:t>包装工序中，会产生废包装材料</w:t>
            </w:r>
            <w:r>
              <w:rPr>
                <w:rFonts w:hint="eastAsia" w:ascii="Times New Roman" w:hAnsi="Times New Roman" w:eastAsia="宋体" w:cs="Times New Roman"/>
                <w:bCs/>
                <w:color w:val="auto"/>
                <w:kern w:val="0"/>
                <w:sz w:val="24"/>
                <w:szCs w:val="20"/>
                <w:lang w:val="en-US" w:eastAsia="zh-CN"/>
              </w:rPr>
              <w:t>和不合格品</w:t>
            </w:r>
            <w:r>
              <w:rPr>
                <w:rFonts w:hint="default" w:ascii="Times New Roman" w:hAnsi="Times New Roman" w:eastAsia="宋体" w:cs="Times New Roman"/>
                <w:bCs/>
                <w:color w:val="auto"/>
                <w:kern w:val="0"/>
                <w:sz w:val="24"/>
                <w:szCs w:val="20"/>
                <w:lang w:val="en-US" w:eastAsia="zh-CN"/>
              </w:rPr>
              <w:t>，根据建设单位提供的资料，产生量</w:t>
            </w:r>
            <w:r>
              <w:rPr>
                <w:rFonts w:hint="eastAsia" w:ascii="Times New Roman" w:hAnsi="Times New Roman" w:eastAsia="宋体" w:cs="Times New Roman"/>
                <w:bCs/>
                <w:color w:val="auto"/>
                <w:kern w:val="0"/>
                <w:sz w:val="24"/>
                <w:szCs w:val="20"/>
                <w:lang w:val="en-US" w:eastAsia="zh-CN"/>
              </w:rPr>
              <w:t>共计</w:t>
            </w:r>
            <w:r>
              <w:rPr>
                <w:rFonts w:hint="default" w:ascii="Times New Roman" w:hAnsi="Times New Roman" w:eastAsia="宋体" w:cs="Times New Roman"/>
                <w:bCs/>
                <w:color w:val="auto"/>
                <w:kern w:val="0"/>
                <w:sz w:val="24"/>
                <w:szCs w:val="20"/>
                <w:lang w:val="en-US" w:eastAsia="zh-CN"/>
              </w:rPr>
              <w:t>约为0.0</w:t>
            </w:r>
            <w:r>
              <w:rPr>
                <w:rFonts w:hint="eastAsia" w:cs="Times New Roman"/>
                <w:bCs/>
                <w:color w:val="auto"/>
                <w:kern w:val="0"/>
                <w:sz w:val="24"/>
                <w:szCs w:val="20"/>
                <w:lang w:val="en-US" w:eastAsia="zh-CN"/>
              </w:rPr>
              <w:t>1</w:t>
            </w:r>
            <w:r>
              <w:rPr>
                <w:rFonts w:hint="default" w:ascii="Times New Roman" w:hAnsi="Times New Roman" w:eastAsia="宋体" w:cs="Times New Roman"/>
                <w:bCs/>
                <w:color w:val="auto"/>
                <w:kern w:val="0"/>
                <w:sz w:val="24"/>
                <w:szCs w:val="20"/>
                <w:lang w:val="en-US" w:eastAsia="zh-CN"/>
              </w:rPr>
              <w:t>t/a。属一般工业固体废物，集中收集后外售综合利用。</w:t>
            </w:r>
          </w:p>
          <w:p w14:paraId="7949FCE1">
            <w:pPr>
              <w:spacing w:line="360" w:lineRule="auto"/>
              <w:ind w:firstLine="480" w:firstLineChars="200"/>
              <w:contextualSpacing/>
              <w:rPr>
                <w:rFonts w:hint="default" w:ascii="Times New Roman" w:hAnsi="Times New Roman" w:eastAsia="宋体" w:cs="Times New Roman"/>
                <w:bCs/>
                <w:color w:val="auto"/>
                <w:kern w:val="0"/>
                <w:sz w:val="24"/>
                <w:szCs w:val="20"/>
                <w:lang w:val="en-US" w:eastAsia="zh-CN"/>
              </w:rPr>
            </w:pPr>
            <w:r>
              <w:rPr>
                <w:rFonts w:hint="default" w:ascii="Times New Roman" w:hAnsi="Times New Roman" w:eastAsia="宋体" w:cs="Times New Roman"/>
                <w:bCs/>
                <w:color w:val="auto"/>
                <w:kern w:val="0"/>
                <w:sz w:val="24"/>
                <w:szCs w:val="20"/>
                <w:lang w:val="en-US" w:eastAsia="zh-CN"/>
              </w:rPr>
              <w:t>3）废</w:t>
            </w:r>
            <w:r>
              <w:rPr>
                <w:rFonts w:hint="eastAsia" w:ascii="Times New Roman" w:hAnsi="Times New Roman" w:eastAsia="宋体" w:cs="Times New Roman"/>
                <w:bCs/>
                <w:color w:val="auto"/>
                <w:kern w:val="0"/>
                <w:sz w:val="24"/>
                <w:szCs w:val="20"/>
                <w:lang w:val="en-US" w:eastAsia="zh-CN"/>
              </w:rPr>
              <w:t>反渗透膜</w:t>
            </w:r>
            <w:r>
              <w:rPr>
                <w:rFonts w:hint="eastAsia" w:cs="Times New Roman"/>
                <w:bCs/>
                <w:color w:val="auto"/>
                <w:kern w:val="0"/>
                <w:sz w:val="24"/>
                <w:szCs w:val="20"/>
                <w:lang w:val="en-US" w:eastAsia="zh-CN"/>
              </w:rPr>
              <w:t>、废滤芯</w:t>
            </w:r>
          </w:p>
          <w:p w14:paraId="2AB466ED">
            <w:pPr>
              <w:spacing w:line="360" w:lineRule="auto"/>
              <w:ind w:firstLine="480" w:firstLineChars="200"/>
              <w:contextualSpacing/>
              <w:rPr>
                <w:rFonts w:hint="default" w:ascii="Times New Roman" w:hAnsi="Times New Roman" w:cs="Times New Roman"/>
                <w:color w:val="auto"/>
                <w:sz w:val="24"/>
              </w:rPr>
            </w:pPr>
            <w:r>
              <w:rPr>
                <w:rFonts w:hint="default" w:ascii="Times New Roman" w:hAnsi="Times New Roman" w:cs="Times New Roman"/>
                <w:bCs/>
                <w:color w:val="auto"/>
                <w:kern w:val="0"/>
                <w:sz w:val="24"/>
                <w:szCs w:val="20"/>
              </w:rPr>
              <w:t>纯水设备采用RO反渗透系统，</w:t>
            </w:r>
            <w:r>
              <w:rPr>
                <w:rFonts w:hint="default" w:ascii="Times New Roman" w:hAnsi="Times New Roman" w:eastAsia="Segoe UI" w:cs="Times New Roman"/>
                <w:i w:val="0"/>
                <w:iCs w:val="0"/>
                <w:caps w:val="0"/>
                <w:color w:val="auto"/>
                <w:spacing w:val="0"/>
                <w:sz w:val="24"/>
                <w:szCs w:val="24"/>
                <w:shd w:val="clear" w:fill="FFFFFF"/>
              </w:rPr>
              <w:t>在运行过程中，因维护和更换会产生相应的固体废物，主要包括废反渗透膜和废滤芯两类。当设备出水效率或水质下降时需更换反渗透膜，一般每1</w:t>
            </w:r>
            <w:r>
              <w:rPr>
                <w:rFonts w:hint="default" w:ascii="Times New Roman" w:hAnsi="Times New Roman" w:cs="Times New Roman"/>
                <w:i w:val="0"/>
                <w:iCs w:val="0"/>
                <w:caps w:val="0"/>
                <w:color w:val="auto"/>
                <w:spacing w:val="0"/>
                <w:sz w:val="24"/>
                <w:szCs w:val="24"/>
                <w:shd w:val="clear" w:fill="FFFFFF"/>
                <w:lang w:val="en-US" w:eastAsia="zh-CN"/>
              </w:rPr>
              <w:t>-</w:t>
            </w:r>
            <w:r>
              <w:rPr>
                <w:rFonts w:hint="default" w:ascii="Times New Roman" w:hAnsi="Times New Roman" w:eastAsia="Segoe UI" w:cs="Times New Roman"/>
                <w:i w:val="0"/>
                <w:iCs w:val="0"/>
                <w:caps w:val="0"/>
                <w:color w:val="auto"/>
                <w:spacing w:val="0"/>
                <w:sz w:val="24"/>
                <w:szCs w:val="24"/>
                <w:shd w:val="clear" w:fill="FFFFFF"/>
              </w:rPr>
              <w:t>2年更换一次</w:t>
            </w:r>
            <w:r>
              <w:rPr>
                <w:rFonts w:hint="default" w:ascii="Times New Roman" w:hAnsi="Times New Roman" w:cs="Times New Roman"/>
                <w:bCs/>
                <w:color w:val="auto"/>
                <w:kern w:val="0"/>
                <w:sz w:val="24"/>
                <w:szCs w:val="20"/>
              </w:rPr>
              <w:t>，反渗透膜组件约1kg，本次评价按1年更换一次计算，则废反渗透膜产生量为0.001t/a</w:t>
            </w:r>
            <w:r>
              <w:rPr>
                <w:rFonts w:hint="default" w:ascii="Times New Roman" w:hAnsi="Times New Roman" w:eastAsia="Segoe UI" w:cs="Times New Roman"/>
                <w:i w:val="0"/>
                <w:iCs w:val="0"/>
                <w:caps w:val="0"/>
                <w:color w:val="auto"/>
                <w:spacing w:val="0"/>
                <w:sz w:val="24"/>
                <w:szCs w:val="24"/>
                <w:shd w:val="clear" w:fill="FFFFFF"/>
              </w:rPr>
              <w:t>。滤芯主要用于保护反渗透膜，其更换周期通常为3</w:t>
            </w:r>
            <w:r>
              <w:rPr>
                <w:rFonts w:hint="eastAsia" w:eastAsia="宋体" w:cs="Times New Roman"/>
                <w:i w:val="0"/>
                <w:iCs w:val="0"/>
                <w:caps w:val="0"/>
                <w:color w:val="auto"/>
                <w:spacing w:val="0"/>
                <w:sz w:val="24"/>
                <w:szCs w:val="24"/>
                <w:shd w:val="clear" w:fill="FFFFFF"/>
                <w:lang w:val="en-US" w:eastAsia="zh-CN"/>
              </w:rPr>
              <w:t>-</w:t>
            </w:r>
            <w:r>
              <w:rPr>
                <w:rFonts w:hint="default" w:ascii="Times New Roman" w:hAnsi="Times New Roman" w:eastAsia="Segoe UI" w:cs="Times New Roman"/>
                <w:i w:val="0"/>
                <w:iCs w:val="0"/>
                <w:caps w:val="0"/>
                <w:color w:val="auto"/>
                <w:spacing w:val="0"/>
                <w:sz w:val="24"/>
                <w:szCs w:val="24"/>
                <w:shd w:val="clear" w:fill="FFFFFF"/>
              </w:rPr>
              <w:t>12个月，按每年更换一套、单套重量约</w:t>
            </w:r>
            <w:r>
              <w:rPr>
                <w:rFonts w:hint="eastAsia" w:ascii="Times New Roman" w:hAnsi="Times New Roman" w:eastAsia="Segoe UI" w:cs="Times New Roman"/>
                <w:i w:val="0"/>
                <w:iCs w:val="0"/>
                <w:caps w:val="0"/>
                <w:color w:val="auto"/>
                <w:spacing w:val="0"/>
                <w:sz w:val="24"/>
                <w:szCs w:val="24"/>
                <w:shd w:val="clear" w:fill="FFFFFF"/>
                <w:lang w:val="en-US" w:eastAsia="zh-CN"/>
              </w:rPr>
              <w:t>2</w:t>
            </w:r>
            <w:r>
              <w:rPr>
                <w:rFonts w:hint="default" w:ascii="Times New Roman" w:hAnsi="Times New Roman" w:eastAsia="Segoe UI" w:cs="Times New Roman"/>
                <w:i w:val="0"/>
                <w:iCs w:val="0"/>
                <w:caps w:val="0"/>
                <w:color w:val="auto"/>
                <w:spacing w:val="0"/>
                <w:sz w:val="24"/>
                <w:szCs w:val="24"/>
                <w:shd w:val="clear" w:fill="FFFFFF"/>
              </w:rPr>
              <w:t>kg估算，</w:t>
            </w:r>
            <w:r>
              <w:rPr>
                <w:rFonts w:hint="eastAsia" w:ascii="Times New Roman" w:hAnsi="Times New Roman" w:eastAsia="Segoe UI" w:cs="Times New Roman"/>
                <w:i w:val="0"/>
                <w:iCs w:val="0"/>
                <w:caps w:val="0"/>
                <w:color w:val="auto"/>
                <w:spacing w:val="0"/>
                <w:sz w:val="24"/>
                <w:szCs w:val="24"/>
                <w:shd w:val="clear" w:fill="FFFFFF"/>
                <w:lang w:val="en-US" w:eastAsia="zh-CN"/>
              </w:rPr>
              <w:t>则</w:t>
            </w:r>
            <w:r>
              <w:rPr>
                <w:rFonts w:hint="default" w:ascii="Times New Roman" w:hAnsi="Times New Roman" w:eastAsia="Segoe UI" w:cs="Times New Roman"/>
                <w:i w:val="0"/>
                <w:iCs w:val="0"/>
                <w:caps w:val="0"/>
                <w:color w:val="auto"/>
                <w:spacing w:val="0"/>
                <w:sz w:val="24"/>
                <w:szCs w:val="24"/>
                <w:shd w:val="clear" w:fill="FFFFFF"/>
              </w:rPr>
              <w:t>废滤芯产生量为0.002t/a</w:t>
            </w:r>
            <w:r>
              <w:rPr>
                <w:rFonts w:hint="eastAsia" w:eastAsia="宋体" w:cs="Times New Roman"/>
                <w:i w:val="0"/>
                <w:iCs w:val="0"/>
                <w:caps w:val="0"/>
                <w:color w:val="auto"/>
                <w:spacing w:val="0"/>
                <w:sz w:val="24"/>
                <w:szCs w:val="24"/>
                <w:shd w:val="clear" w:fill="FFFFFF"/>
                <w:lang w:eastAsia="zh-CN"/>
              </w:rPr>
              <w:t>。</w:t>
            </w:r>
            <w:r>
              <w:rPr>
                <w:rFonts w:hint="default" w:ascii="Times New Roman" w:hAnsi="Times New Roman" w:eastAsia="Segoe UI" w:cs="Times New Roman"/>
                <w:i w:val="0"/>
                <w:iCs w:val="0"/>
                <w:caps w:val="0"/>
                <w:color w:val="auto"/>
                <w:spacing w:val="0"/>
                <w:sz w:val="24"/>
                <w:szCs w:val="24"/>
                <w:shd w:val="clear" w:fill="FFFFFF"/>
                <w:lang w:val="en-US" w:eastAsia="zh-CN"/>
              </w:rPr>
              <w:t>废</w:t>
            </w:r>
            <w:r>
              <w:rPr>
                <w:rFonts w:hint="eastAsia" w:ascii="Times New Roman" w:hAnsi="Times New Roman" w:eastAsia="Segoe UI" w:cs="Times New Roman"/>
                <w:i w:val="0"/>
                <w:iCs w:val="0"/>
                <w:caps w:val="0"/>
                <w:color w:val="auto"/>
                <w:spacing w:val="0"/>
                <w:sz w:val="24"/>
                <w:szCs w:val="24"/>
                <w:shd w:val="clear" w:fill="FFFFFF"/>
                <w:lang w:val="en-US" w:eastAsia="zh-CN"/>
              </w:rPr>
              <w:t>反渗透膜和废滤芯</w:t>
            </w:r>
            <w:r>
              <w:rPr>
                <w:rFonts w:hint="default" w:ascii="Times New Roman" w:hAnsi="Times New Roman" w:eastAsia="Segoe UI" w:cs="Times New Roman"/>
                <w:i w:val="0"/>
                <w:iCs w:val="0"/>
                <w:caps w:val="0"/>
                <w:color w:val="auto"/>
                <w:spacing w:val="0"/>
                <w:sz w:val="24"/>
                <w:szCs w:val="24"/>
                <w:shd w:val="clear" w:fill="FFFFFF"/>
              </w:rPr>
              <w:t>属于一般工业固体废物，交供应商回收利用。</w:t>
            </w:r>
          </w:p>
          <w:p w14:paraId="2A607B0E">
            <w:pPr>
              <w:numPr>
                <w:ilvl w:val="0"/>
                <w:numId w:val="11"/>
              </w:num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highlight w:val="none"/>
                <w:lang w:val="en-US" w:eastAsia="zh-CN"/>
              </w:rPr>
              <w:t>危险废物</w:t>
            </w:r>
          </w:p>
          <w:p w14:paraId="7993A4D0">
            <w:pPr>
              <w:adjustRightInd w:val="0"/>
              <w:snapToGrid w:val="0"/>
              <w:spacing w:line="360" w:lineRule="auto"/>
              <w:ind w:firstLine="480" w:firstLineChars="200"/>
              <w:jc w:val="left"/>
              <w:rPr>
                <w:color w:val="auto"/>
                <w:sz w:val="24"/>
              </w:rPr>
            </w:pPr>
            <w:r>
              <w:rPr>
                <w:rFonts w:hint="eastAsia" w:ascii="Times New Roman" w:hAnsi="Times New Roman" w:cs="Times New Roman"/>
                <w:color w:val="auto"/>
                <w:sz w:val="24"/>
                <w:lang w:val="en-US" w:eastAsia="zh-CN"/>
              </w:rPr>
              <w:t>1）</w:t>
            </w:r>
            <w:r>
              <w:rPr>
                <w:rFonts w:hint="eastAsia"/>
                <w:color w:val="auto"/>
                <w:sz w:val="24"/>
              </w:rPr>
              <w:t>废液</w:t>
            </w:r>
          </w:p>
          <w:p w14:paraId="1A9FDC71">
            <w:pPr>
              <w:adjustRightInd w:val="0"/>
              <w:snapToGrid w:val="0"/>
              <w:spacing w:line="360" w:lineRule="auto"/>
              <w:ind w:firstLine="480" w:firstLineChars="200"/>
              <w:jc w:val="left"/>
              <w:rPr>
                <w:rFonts w:hint="eastAsia" w:ascii="Times New Roman" w:hAnsi="Times New Roman" w:eastAsia="宋体" w:cs="Times New Roman"/>
                <w:color w:val="auto"/>
                <w:sz w:val="24"/>
                <w:lang w:val="en-US" w:eastAsia="zh-CN"/>
              </w:rPr>
            </w:pPr>
            <w:r>
              <w:rPr>
                <w:rFonts w:hAnsi="宋体"/>
                <w:color w:val="auto"/>
                <w:sz w:val="24"/>
              </w:rPr>
              <w:t>本项目</w:t>
            </w:r>
            <w:r>
              <w:rPr>
                <w:rFonts w:hint="eastAsia" w:hAnsi="宋体"/>
                <w:color w:val="auto"/>
                <w:sz w:val="24"/>
                <w:lang w:val="en-US" w:eastAsia="zh-CN"/>
              </w:rPr>
              <w:t>超声波清洗及设备清洗</w:t>
            </w:r>
            <w:r>
              <w:rPr>
                <w:rFonts w:hAnsi="宋体"/>
                <w:color w:val="auto"/>
                <w:sz w:val="24"/>
              </w:rPr>
              <w:t>过程中会产生废液</w:t>
            </w:r>
            <w:r>
              <w:rPr>
                <w:rFonts w:hint="eastAsia" w:hAnsi="宋体"/>
                <w:color w:val="auto"/>
                <w:sz w:val="24"/>
              </w:rPr>
              <w:t>。</w:t>
            </w:r>
            <w:r>
              <w:rPr>
                <w:rFonts w:hAnsi="宋体"/>
                <w:color w:val="auto"/>
                <w:sz w:val="24"/>
              </w:rPr>
              <w:t>废液中含有</w:t>
            </w:r>
            <w:r>
              <w:rPr>
                <w:rFonts w:hint="eastAsia"/>
                <w:color w:val="auto"/>
                <w:sz w:val="24"/>
                <w:lang w:val="en-US" w:eastAsia="zh-CN"/>
              </w:rPr>
              <w:t>无机废液、钯盐、醇</w:t>
            </w:r>
            <w:r>
              <w:rPr>
                <w:rFonts w:hAnsi="宋体"/>
                <w:color w:val="auto"/>
                <w:sz w:val="24"/>
              </w:rPr>
              <w:t>等物质，</w:t>
            </w:r>
            <w:r>
              <w:rPr>
                <w:rFonts w:hint="eastAsia" w:hAnsi="宋体"/>
                <w:color w:val="auto"/>
                <w:sz w:val="24"/>
              </w:rPr>
              <w:t>根据核算，企业预估</w:t>
            </w:r>
            <w:r>
              <w:rPr>
                <w:rFonts w:hint="eastAsia" w:hAnsi="宋体"/>
                <w:color w:val="auto"/>
                <w:sz w:val="24"/>
                <w:lang w:val="en-US" w:eastAsia="zh-CN"/>
              </w:rPr>
              <w:t>超声波清洗</w:t>
            </w:r>
            <w:r>
              <w:rPr>
                <w:rFonts w:hint="eastAsia" w:hAnsi="宋体"/>
                <w:color w:val="auto"/>
                <w:sz w:val="24"/>
              </w:rPr>
              <w:t>废液产生量</w:t>
            </w:r>
            <w:r>
              <w:rPr>
                <w:rFonts w:hint="eastAsia" w:ascii="Times New Roman" w:hAnsi="Times New Roman" w:eastAsia="宋体" w:cs="Times New Roman"/>
                <w:color w:val="auto"/>
                <w:sz w:val="24"/>
                <w:lang w:val="en-US" w:eastAsia="zh-CN"/>
              </w:rPr>
              <w:t>为</w:t>
            </w:r>
            <w:r>
              <w:rPr>
                <w:rFonts w:hint="eastAsia" w:cs="Times New Roman"/>
                <w:color w:val="auto"/>
                <w:sz w:val="24"/>
                <w:lang w:val="en-US" w:eastAsia="zh-CN"/>
              </w:rPr>
              <w:t>4.59</w:t>
            </w:r>
            <w:r>
              <w:rPr>
                <w:rFonts w:hint="eastAsia" w:ascii="Times New Roman" w:hAnsi="Times New Roman" w:eastAsia="宋体" w:cs="Times New Roman"/>
                <w:color w:val="auto"/>
                <w:sz w:val="24"/>
                <w:lang w:val="en-US" w:eastAsia="zh-CN"/>
              </w:rPr>
              <w:t>t/a</w:t>
            </w:r>
            <w:r>
              <w:rPr>
                <w:rFonts w:hint="eastAsia" w:cs="Times New Roman"/>
                <w:color w:val="auto"/>
                <w:sz w:val="24"/>
                <w:lang w:val="en-US" w:eastAsia="zh-CN"/>
              </w:rPr>
              <w:t>，本项目涂布机使用异丙醇清洗一次，每次用量为2L，故废异丙醇产生量为0.038</w:t>
            </w:r>
            <w:r>
              <w:rPr>
                <w:rFonts w:hint="eastAsia" w:ascii="Times New Roman" w:hAnsi="Times New Roman" w:eastAsia="宋体" w:cs="Times New Roman"/>
                <w:color w:val="auto"/>
                <w:sz w:val="24"/>
                <w:lang w:val="en-US" w:eastAsia="zh-CN"/>
              </w:rPr>
              <w:t>t/a</w:t>
            </w:r>
            <w:r>
              <w:rPr>
                <w:rFonts w:hint="eastAsia" w:cs="Times New Roman"/>
                <w:color w:val="auto"/>
                <w:sz w:val="24"/>
                <w:lang w:val="en-US" w:eastAsia="zh-CN"/>
              </w:rPr>
              <w:t>。则本项目共计产生废液4.628</w:t>
            </w:r>
            <w:r>
              <w:rPr>
                <w:rFonts w:hint="eastAsia" w:ascii="Times New Roman" w:hAnsi="Times New Roman" w:eastAsia="宋体" w:cs="Times New Roman"/>
                <w:color w:val="auto"/>
                <w:sz w:val="24"/>
                <w:lang w:val="en-US" w:eastAsia="zh-CN"/>
              </w:rPr>
              <w:t>t/a</w:t>
            </w:r>
            <w:r>
              <w:rPr>
                <w:rFonts w:hint="eastAsia" w:cs="Times New Roman"/>
                <w:color w:val="auto"/>
                <w:sz w:val="24"/>
                <w:lang w:val="en-US" w:eastAsia="zh-CN"/>
              </w:rPr>
              <w:t>。</w:t>
            </w:r>
            <w:r>
              <w:rPr>
                <w:rFonts w:hAnsi="宋体"/>
                <w:color w:val="auto"/>
                <w:sz w:val="24"/>
              </w:rPr>
              <w:t>根据《国家危险废物名录》（</w:t>
            </w:r>
            <w:r>
              <w:rPr>
                <w:color w:val="auto"/>
                <w:sz w:val="24"/>
              </w:rPr>
              <w:t>202</w:t>
            </w:r>
            <w:r>
              <w:rPr>
                <w:rFonts w:hint="eastAsia"/>
                <w:color w:val="auto"/>
                <w:sz w:val="24"/>
              </w:rPr>
              <w:t>5</w:t>
            </w:r>
            <w:r>
              <w:rPr>
                <w:rFonts w:hAnsi="宋体"/>
                <w:color w:val="auto"/>
                <w:sz w:val="24"/>
              </w:rPr>
              <w:t>年版）中规定，</w:t>
            </w:r>
            <w:r>
              <w:rPr>
                <w:rFonts w:hint="eastAsia" w:hAnsi="宋体"/>
                <w:color w:val="auto"/>
                <w:sz w:val="24"/>
                <w:lang w:val="en-US" w:eastAsia="zh-CN"/>
              </w:rPr>
              <w:t>本项目产生的废液</w:t>
            </w:r>
            <w:r>
              <w:rPr>
                <w:rFonts w:hAnsi="宋体"/>
                <w:color w:val="auto"/>
                <w:sz w:val="24"/>
              </w:rPr>
              <w:t>应属于危险废物，废物类别为</w:t>
            </w:r>
            <w:r>
              <w:rPr>
                <w:rFonts w:hint="eastAsia"/>
                <w:color w:val="auto"/>
                <w:sz w:val="24"/>
              </w:rPr>
              <w:t>“</w:t>
            </w:r>
            <w:r>
              <w:rPr>
                <w:color w:val="auto"/>
                <w:sz w:val="24"/>
              </w:rPr>
              <w:t>HW49 900-047-49</w:t>
            </w:r>
            <w:r>
              <w:rPr>
                <w:rFonts w:hint="eastAsia"/>
                <w:color w:val="auto"/>
                <w:sz w:val="24"/>
              </w:rPr>
              <w:t>”</w:t>
            </w:r>
            <w:r>
              <w:rPr>
                <w:rFonts w:hAnsi="宋体"/>
                <w:color w:val="auto"/>
                <w:sz w:val="24"/>
              </w:rPr>
              <w:t>，建设单位应将其委托有资质单位进行处理。</w:t>
            </w:r>
          </w:p>
          <w:p w14:paraId="70D140A4">
            <w:pPr>
              <w:adjustRightInd w:val="0"/>
              <w:snapToGrid w:val="0"/>
              <w:spacing w:line="360" w:lineRule="auto"/>
              <w:ind w:firstLine="480" w:firstLineChars="200"/>
              <w:jc w:val="left"/>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2）废试剂瓶</w:t>
            </w:r>
          </w:p>
          <w:p w14:paraId="3B8AA8BA">
            <w:pPr>
              <w:adjustRightInd w:val="0"/>
              <w:snapToGrid w:val="0"/>
              <w:spacing w:line="360" w:lineRule="auto"/>
              <w:ind w:firstLine="480" w:firstLineChars="200"/>
              <w:jc w:val="left"/>
              <w:rPr>
                <w:rFonts w:hint="eastAsia" w:ascii="Times New Roman" w:hAnsi="Times New Roman" w:eastAsia="宋体" w:cs="Times New Roman"/>
                <w:color w:val="auto"/>
                <w:sz w:val="24"/>
                <w:lang w:val="en-US" w:eastAsia="zh-CN"/>
              </w:rPr>
            </w:pPr>
            <w:r>
              <w:rPr>
                <w:rFonts w:hint="eastAsia" w:cs="Times New Roman"/>
                <w:color w:val="auto"/>
                <w:sz w:val="24"/>
                <w:lang w:val="en-US" w:eastAsia="zh-CN"/>
              </w:rPr>
              <w:t>在调配浆料</w:t>
            </w:r>
            <w:r>
              <w:rPr>
                <w:rFonts w:hint="eastAsia" w:ascii="Times New Roman" w:hAnsi="Times New Roman" w:eastAsia="宋体" w:cs="Times New Roman"/>
                <w:color w:val="auto"/>
                <w:sz w:val="24"/>
                <w:lang w:val="en-US" w:eastAsia="zh-CN"/>
              </w:rPr>
              <w:t>过程中产生的废弃试剂瓶会沾染有机溶剂、钯盐、醇等物质，根据《国家危险废物名录》（2025年版）中规定，废试剂瓶应属于危险废物，废物类别为“HW49 900-047-49”，建设单位应将其委托有资质单位进行处理。</w:t>
            </w:r>
            <w:r>
              <w:rPr>
                <w:rFonts w:hint="default" w:ascii="Times New Roman" w:hAnsi="Times New Roman" w:eastAsia="宋体" w:cs="Times New Roman"/>
                <w:bCs/>
                <w:color w:val="auto"/>
                <w:kern w:val="0"/>
                <w:sz w:val="24"/>
                <w:szCs w:val="20"/>
                <w:lang w:val="en-US" w:eastAsia="zh-CN"/>
              </w:rPr>
              <w:t>根据建设单位提供的资料，</w:t>
            </w:r>
            <w:r>
              <w:rPr>
                <w:rFonts w:hint="eastAsia" w:ascii="Times New Roman" w:hAnsi="Times New Roman" w:eastAsia="宋体" w:cs="Times New Roman"/>
                <w:color w:val="auto"/>
                <w:sz w:val="24"/>
                <w:lang w:val="en-US" w:eastAsia="zh-CN"/>
              </w:rPr>
              <w:t>废试剂瓶的产生量约为0.02t/a。</w:t>
            </w:r>
          </w:p>
          <w:p w14:paraId="5DFE6920">
            <w:pPr>
              <w:numPr>
                <w:ilvl w:val="0"/>
                <w:numId w:val="12"/>
              </w:numPr>
              <w:spacing w:line="360" w:lineRule="auto"/>
              <w:ind w:firstLine="480" w:firstLineChars="200"/>
              <w:rPr>
                <w:rFonts w:hint="default" w:ascii="Times New Roman" w:hAnsi="Times New Roman" w:eastAsia="宋体" w:cs="Times New Roman"/>
                <w:color w:val="auto"/>
                <w:kern w:val="0"/>
                <w:sz w:val="24"/>
                <w:szCs w:val="22"/>
              </w:rPr>
            </w:pPr>
            <w:r>
              <w:rPr>
                <w:rFonts w:hint="default" w:ascii="Times New Roman" w:hAnsi="Times New Roman" w:cs="Times New Roman"/>
                <w:color w:val="auto"/>
                <w:sz w:val="24"/>
              </w:rPr>
              <w:t>废活性炭：</w:t>
            </w:r>
            <w:r>
              <w:rPr>
                <w:rFonts w:hint="default" w:ascii="Times New Roman" w:hAnsi="Times New Roman" w:eastAsia="宋体" w:cs="Times New Roman"/>
                <w:color w:val="auto"/>
                <w:kern w:val="0"/>
                <w:sz w:val="24"/>
                <w:szCs w:val="22"/>
                <w:lang w:val="en-US" w:eastAsia="zh-CN"/>
              </w:rPr>
              <w:t>根据建设单位提供资料，项目运营过程中会产生废活性炭，</w:t>
            </w:r>
            <w:r>
              <w:rPr>
                <w:rFonts w:hint="default" w:ascii="Times New Roman" w:hAnsi="Times New Roman" w:eastAsia="宋体" w:cs="Times New Roman"/>
                <w:color w:val="auto"/>
                <w:kern w:val="0"/>
                <w:sz w:val="24"/>
                <w:szCs w:val="24"/>
                <w:highlight w:val="none"/>
              </w:rPr>
              <w:t>根据《现代涂装手册》（化学工业出版社，2010年出版），活性炭对有机废气等各成分的吸附量约为0.25g废气/1g活性炭。根据工程分析，本项目活性炭吸附装置处理</w:t>
            </w:r>
            <w:r>
              <w:rPr>
                <w:rFonts w:hint="eastAsia" w:cs="Times New Roman"/>
                <w:color w:val="auto"/>
                <w:kern w:val="0"/>
                <w:sz w:val="24"/>
                <w:szCs w:val="24"/>
                <w:highlight w:val="none"/>
                <w:lang w:val="en-US" w:eastAsia="zh-CN"/>
              </w:rPr>
              <w:t>废气总量</w:t>
            </w:r>
            <w:r>
              <w:rPr>
                <w:rFonts w:hint="default" w:ascii="Times New Roman" w:hAnsi="Times New Roman" w:eastAsia="宋体" w:cs="Times New Roman"/>
                <w:color w:val="auto"/>
                <w:kern w:val="0"/>
                <w:sz w:val="24"/>
                <w:szCs w:val="24"/>
                <w:highlight w:val="none"/>
              </w:rPr>
              <w:t>为</w:t>
            </w:r>
            <w:r>
              <w:rPr>
                <w:rFonts w:hint="eastAsia" w:cs="Times New Roman"/>
                <w:color w:val="auto"/>
                <w:kern w:val="0"/>
                <w:sz w:val="24"/>
                <w:szCs w:val="24"/>
                <w:highlight w:val="none"/>
                <w:lang w:val="en-US" w:eastAsia="zh-CN"/>
              </w:rPr>
              <w:t>0.3247</w:t>
            </w:r>
            <w:r>
              <w:rPr>
                <w:rFonts w:hint="default" w:ascii="Times New Roman" w:hAnsi="Times New Roman" w:eastAsia="宋体" w:cs="Times New Roman"/>
                <w:color w:val="auto"/>
                <w:kern w:val="0"/>
                <w:sz w:val="24"/>
                <w:szCs w:val="24"/>
                <w:highlight w:val="none"/>
              </w:rPr>
              <w:t>t/a，则理论上所需活性炭为</w:t>
            </w:r>
            <w:r>
              <w:rPr>
                <w:rFonts w:hint="eastAsia" w:cs="Times New Roman"/>
                <w:color w:val="auto"/>
                <w:kern w:val="0"/>
                <w:sz w:val="24"/>
                <w:szCs w:val="24"/>
                <w:highlight w:val="none"/>
                <w:lang w:val="en-US" w:eastAsia="zh-CN"/>
              </w:rPr>
              <w:t>1.30</w:t>
            </w:r>
            <w:r>
              <w:rPr>
                <w:rFonts w:hint="default" w:ascii="Times New Roman" w:hAnsi="Times New Roman" w:eastAsia="宋体" w:cs="Times New Roman"/>
                <w:color w:val="auto"/>
                <w:kern w:val="0"/>
                <w:sz w:val="24"/>
                <w:szCs w:val="24"/>
                <w:highlight w:val="none"/>
              </w:rPr>
              <w:t>t/a，废活性炭产生</w:t>
            </w:r>
            <w:r>
              <w:rPr>
                <w:rFonts w:hint="default" w:ascii="Times New Roman" w:hAnsi="Times New Roman" w:eastAsia="宋体" w:cs="Times New Roman"/>
                <w:color w:val="auto"/>
                <w:kern w:val="0"/>
                <w:sz w:val="24"/>
                <w:szCs w:val="24"/>
                <w:highlight w:val="none"/>
                <w:lang w:val="en-US" w:eastAsia="zh-CN"/>
              </w:rPr>
              <w:t>量为</w:t>
            </w:r>
            <w:r>
              <w:rPr>
                <w:rFonts w:hint="eastAsia" w:cs="Times New Roman"/>
                <w:color w:val="auto"/>
                <w:kern w:val="0"/>
                <w:sz w:val="24"/>
                <w:szCs w:val="24"/>
                <w:highlight w:val="none"/>
                <w:lang w:val="en-US" w:eastAsia="zh-CN"/>
              </w:rPr>
              <w:t>1.6247</w:t>
            </w:r>
            <w:r>
              <w:rPr>
                <w:rFonts w:hint="default" w:ascii="Times New Roman" w:hAnsi="Times New Roman" w:eastAsia="宋体" w:cs="Times New Roman"/>
                <w:color w:val="auto"/>
                <w:kern w:val="0"/>
                <w:sz w:val="24"/>
                <w:szCs w:val="24"/>
                <w:highlight w:val="none"/>
              </w:rPr>
              <w:t>t/a</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sz w:val="24"/>
                <w:highlight w:val="none"/>
              </w:rPr>
              <w:t>根据《国家危险废物名录》（202</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年），属于</w:t>
            </w:r>
            <w:r>
              <w:rPr>
                <w:rFonts w:hint="default" w:ascii="Times New Roman" w:hAnsi="Times New Roman" w:eastAsia="宋体" w:cs="Times New Roman"/>
                <w:color w:val="auto"/>
                <w:sz w:val="24"/>
                <w:highlight w:val="none"/>
                <w:lang w:val="en-US" w:eastAsia="zh-CN"/>
              </w:rPr>
              <w:t>危险废物（类别为HW49其他废物，</w:t>
            </w:r>
            <w:r>
              <w:rPr>
                <w:rFonts w:hint="default" w:ascii="Times New Roman" w:hAnsi="Times New Roman" w:cs="Times New Roman"/>
                <w:color w:val="auto"/>
                <w:sz w:val="24"/>
                <w:highlight w:val="none"/>
              </w:rPr>
              <w:t>VOCs治理过程产生的废活性炭</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代码为</w:t>
            </w:r>
            <w:r>
              <w:rPr>
                <w:rFonts w:hint="default" w:ascii="Times New Roman" w:hAnsi="Times New Roman" w:cs="Times New Roman"/>
                <w:color w:val="auto"/>
                <w:sz w:val="24"/>
                <w:highlight w:val="none"/>
              </w:rPr>
              <w:t>900-0</w:t>
            </w:r>
            <w:r>
              <w:rPr>
                <w:rFonts w:hint="default" w:ascii="Times New Roman" w:hAnsi="Times New Roman" w:eastAsia="宋体" w:cs="Times New Roman"/>
                <w:color w:val="auto"/>
                <w:sz w:val="24"/>
                <w:highlight w:val="none"/>
              </w:rPr>
              <w:t>39</w:t>
            </w:r>
            <w:r>
              <w:rPr>
                <w:rFonts w:hint="default" w:ascii="Times New Roman" w:hAnsi="Times New Roman" w:cs="Times New Roman"/>
                <w:color w:val="auto"/>
                <w:sz w:val="24"/>
                <w:highlight w:val="none"/>
              </w:rPr>
              <w:t>-49</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kern w:val="0"/>
                <w:sz w:val="24"/>
                <w:szCs w:val="22"/>
              </w:rPr>
              <w:t>统一收集后交由有资质单位统一收集处理。</w:t>
            </w:r>
          </w:p>
          <w:p w14:paraId="3D1A5AB0">
            <w:pPr>
              <w:numPr>
                <w:ilvl w:val="0"/>
                <w:numId w:val="0"/>
              </w:numPr>
              <w:spacing w:line="360" w:lineRule="auto"/>
              <w:ind w:firstLine="480" w:firstLineChars="200"/>
              <w:rPr>
                <w:rFonts w:hint="default" w:ascii="Times New Roman" w:hAnsi="Times New Roman" w:cs="Times New Roman"/>
                <w:color w:val="auto"/>
                <w:sz w:val="24"/>
                <w:highlight w:val="none"/>
                <w:lang w:val="en-US" w:eastAsia="zh-CN"/>
              </w:rPr>
            </w:pPr>
            <w:r>
              <w:rPr>
                <w:rFonts w:hint="eastAsia"/>
                <w:color w:val="auto"/>
                <w:sz w:val="24"/>
              </w:rPr>
              <w:t>根据《西安市生态环境局关于加强挥发性有机物活性炭吸附处理设施运行管理工作的通知》（市环发（2022）65号），</w:t>
            </w:r>
            <w:r>
              <w:rPr>
                <w:rFonts w:hint="eastAsia"/>
                <w:color w:val="auto"/>
                <w:sz w:val="24"/>
                <w:lang w:val="en-US" w:eastAsia="zh-CN"/>
              </w:rPr>
              <w:t>采用蜂窝活性炭的</w:t>
            </w:r>
            <w:r>
              <w:rPr>
                <w:rFonts w:hint="eastAsia"/>
                <w:color w:val="auto"/>
                <w:sz w:val="24"/>
              </w:rPr>
              <w:t>碘</w:t>
            </w:r>
            <w:r>
              <w:rPr>
                <w:rFonts w:hint="eastAsia"/>
                <w:color w:val="auto"/>
                <w:sz w:val="24"/>
                <w:lang w:val="en-US" w:eastAsia="zh-CN"/>
              </w:rPr>
              <w:t>吸附</w:t>
            </w:r>
            <w:r>
              <w:rPr>
                <w:rFonts w:hint="eastAsia"/>
                <w:color w:val="auto"/>
                <w:sz w:val="24"/>
              </w:rPr>
              <w:t>值不低于</w:t>
            </w:r>
            <w:r>
              <w:rPr>
                <w:rFonts w:hint="eastAsia"/>
                <w:color w:val="auto"/>
                <w:sz w:val="24"/>
                <w:lang w:val="en-US" w:eastAsia="zh-CN"/>
              </w:rPr>
              <w:t>6</w:t>
            </w:r>
            <w:r>
              <w:rPr>
                <w:rFonts w:hint="eastAsia"/>
                <w:color w:val="auto"/>
                <w:sz w:val="24"/>
              </w:rPr>
              <w:t>00mg/g，并按设计要求足量添加、及时更换。根据文件要求，活性炭原则上更换周期不应超过累计运行500小时或3个月（从严执行），本项目活性炭拟定3个月更换一次，则年更换四次。</w:t>
            </w:r>
          </w:p>
          <w:p w14:paraId="6A7A12FA">
            <w:pPr>
              <w:numPr>
                <w:ilvl w:val="0"/>
                <w:numId w:val="0"/>
              </w:numPr>
              <w:adjustRightInd w:val="0"/>
              <w:snapToGrid w:val="0"/>
              <w:spacing w:line="360" w:lineRule="auto"/>
              <w:ind w:firstLine="480" w:firstLineChars="200"/>
              <w:rPr>
                <w:rFonts w:hint="default" w:ascii="Times New Roman" w:hAnsi="Times New Roman" w:cs="Times New Roman"/>
                <w:b w:val="0"/>
                <w:bCs/>
                <w:color w:val="auto"/>
                <w:spacing w:val="0"/>
                <w:sz w:val="24"/>
                <w:szCs w:val="24"/>
                <w:lang w:val="en-US" w:eastAsia="zh-CN"/>
              </w:rPr>
            </w:pPr>
            <w:r>
              <w:rPr>
                <w:rFonts w:hint="default" w:ascii="Times New Roman" w:hAnsi="Times New Roman" w:cs="Times New Roman"/>
                <w:b w:val="0"/>
                <w:bCs/>
                <w:color w:val="auto"/>
                <w:spacing w:val="0"/>
                <w:sz w:val="24"/>
                <w:szCs w:val="24"/>
                <w:lang w:val="en-US" w:eastAsia="zh-CN"/>
              </w:rPr>
              <w:t>本项目固体废物产生量及利用处置情况见下表。</w:t>
            </w:r>
          </w:p>
          <w:p w14:paraId="5E90D8E0">
            <w:pPr>
              <w:numPr>
                <w:ilvl w:val="0"/>
                <w:numId w:val="0"/>
              </w:numPr>
              <w:adjustRightInd w:val="0"/>
              <w:snapToGrid w:val="0"/>
              <w:spacing w:line="240" w:lineRule="auto"/>
              <w:jc w:val="center"/>
              <w:rPr>
                <w:rFonts w:hint="default" w:ascii="Times New Roman" w:hAnsi="Times New Roman" w:eastAsia="宋体" w:cs="Times New Roman"/>
                <w:b/>
                <w:color w:val="auto"/>
                <w:kern w:val="0"/>
                <w:sz w:val="24"/>
                <w:szCs w:val="24"/>
                <w:lang w:val="en-US" w:eastAsia="zh-CN"/>
              </w:rPr>
            </w:pPr>
            <w:r>
              <w:rPr>
                <w:rFonts w:hint="default" w:ascii="Times New Roman" w:hAnsi="Times New Roman" w:eastAsia="宋体" w:cs="Times New Roman"/>
                <w:b/>
                <w:color w:val="auto"/>
                <w:kern w:val="0"/>
                <w:sz w:val="24"/>
                <w:szCs w:val="24"/>
              </w:rPr>
              <w:t>表</w:t>
            </w:r>
            <w:r>
              <w:rPr>
                <w:rFonts w:hint="default" w:ascii="Times New Roman" w:hAnsi="Times New Roman" w:eastAsia="宋体" w:cs="Times New Roman"/>
                <w:b/>
                <w:color w:val="auto"/>
                <w:kern w:val="0"/>
                <w:sz w:val="24"/>
                <w:szCs w:val="24"/>
                <w:lang w:val="en-US" w:eastAsia="zh-CN"/>
              </w:rPr>
              <w:t>4-1</w:t>
            </w:r>
            <w:r>
              <w:rPr>
                <w:rFonts w:hint="eastAsia" w:ascii="Times New Roman" w:hAnsi="Times New Roman" w:eastAsia="宋体" w:cs="Times New Roman"/>
                <w:b/>
                <w:color w:val="auto"/>
                <w:kern w:val="0"/>
                <w:sz w:val="24"/>
                <w:szCs w:val="24"/>
                <w:lang w:val="en-US" w:eastAsia="zh-CN"/>
              </w:rPr>
              <w:t>3</w:t>
            </w:r>
            <w:r>
              <w:rPr>
                <w:rFonts w:hint="default" w:ascii="Times New Roman" w:hAnsi="Times New Roman" w:eastAsia="宋体" w:cs="Times New Roman"/>
                <w:b/>
                <w:color w:val="auto"/>
                <w:kern w:val="0"/>
                <w:sz w:val="24"/>
                <w:szCs w:val="24"/>
                <w:lang w:val="en-US" w:eastAsia="zh-CN"/>
              </w:rPr>
              <w:t xml:space="preserve">  固体废物产生量及利用处置情况一览表</w:t>
            </w:r>
          </w:p>
          <w:tbl>
            <w:tblPr>
              <w:tblStyle w:val="26"/>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24"/>
              <w:gridCol w:w="932"/>
              <w:gridCol w:w="644"/>
              <w:gridCol w:w="1267"/>
              <w:gridCol w:w="1027"/>
              <w:gridCol w:w="999"/>
              <w:gridCol w:w="804"/>
              <w:gridCol w:w="717"/>
              <w:gridCol w:w="1397"/>
            </w:tblGrid>
            <w:tr w14:paraId="7C48B7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8" w:type="pct"/>
                  <w:tcBorders>
                    <w:tl2br w:val="nil"/>
                    <w:tr2bl w:val="nil"/>
                  </w:tcBorders>
                  <w:noWrap w:val="0"/>
                  <w:vAlign w:val="center"/>
                </w:tcPr>
                <w:p w14:paraId="562965F9">
                  <w:pPr>
                    <w:pStyle w:val="67"/>
                    <w:ind w:right="34"/>
                    <w:jc w:val="center"/>
                    <w:rPr>
                      <w:rFonts w:ascii="Times New Roman" w:hAnsi="Times New Roman"/>
                      <w:b/>
                      <w:bCs/>
                      <w:color w:val="auto"/>
                      <w:sz w:val="21"/>
                      <w:szCs w:val="21"/>
                    </w:rPr>
                  </w:pPr>
                  <w:r>
                    <w:rPr>
                      <w:rFonts w:ascii="Times New Roman" w:hAnsi="Times New Roman"/>
                      <w:b/>
                      <w:bCs/>
                      <w:color w:val="auto"/>
                      <w:sz w:val="21"/>
                      <w:szCs w:val="21"/>
                    </w:rPr>
                    <w:t>序号</w:t>
                  </w:r>
                </w:p>
              </w:tc>
              <w:tc>
                <w:tcPr>
                  <w:tcW w:w="567" w:type="pct"/>
                  <w:tcBorders>
                    <w:tl2br w:val="nil"/>
                    <w:tr2bl w:val="nil"/>
                  </w:tcBorders>
                  <w:noWrap w:val="0"/>
                  <w:vAlign w:val="center"/>
                </w:tcPr>
                <w:p w14:paraId="5D5A553A">
                  <w:pPr>
                    <w:pStyle w:val="67"/>
                    <w:ind w:left="43" w:right="34"/>
                    <w:jc w:val="center"/>
                    <w:rPr>
                      <w:rFonts w:ascii="Times New Roman" w:hAnsi="Times New Roman"/>
                      <w:b/>
                      <w:bCs/>
                      <w:color w:val="auto"/>
                      <w:sz w:val="21"/>
                      <w:szCs w:val="21"/>
                    </w:rPr>
                  </w:pPr>
                  <w:r>
                    <w:rPr>
                      <w:rFonts w:ascii="Times New Roman" w:hAnsi="Times New Roman"/>
                      <w:b/>
                      <w:bCs/>
                      <w:color w:val="auto"/>
                      <w:sz w:val="21"/>
                      <w:szCs w:val="21"/>
                    </w:rPr>
                    <w:t>固体废物名称</w:t>
                  </w:r>
                </w:p>
              </w:tc>
              <w:tc>
                <w:tcPr>
                  <w:tcW w:w="392" w:type="pct"/>
                  <w:tcBorders>
                    <w:tl2br w:val="nil"/>
                    <w:tr2bl w:val="nil"/>
                  </w:tcBorders>
                  <w:noWrap w:val="0"/>
                  <w:vAlign w:val="center"/>
                </w:tcPr>
                <w:p w14:paraId="1DFA042B">
                  <w:pPr>
                    <w:pStyle w:val="67"/>
                    <w:ind w:left="43" w:right="34"/>
                    <w:jc w:val="center"/>
                    <w:rPr>
                      <w:rFonts w:hint="eastAsia" w:ascii="Times New Roman" w:hAnsi="Times New Roman" w:eastAsia="宋体"/>
                      <w:b/>
                      <w:bCs/>
                      <w:color w:val="auto"/>
                      <w:sz w:val="21"/>
                      <w:szCs w:val="21"/>
                      <w:lang w:eastAsia="zh-CN"/>
                    </w:rPr>
                  </w:pPr>
                  <w:r>
                    <w:rPr>
                      <w:rFonts w:hint="eastAsia" w:ascii="Times New Roman" w:hAnsi="Times New Roman"/>
                      <w:b/>
                      <w:bCs/>
                      <w:color w:val="auto"/>
                      <w:sz w:val="21"/>
                      <w:szCs w:val="21"/>
                      <w:lang w:val="en-US" w:eastAsia="zh-CN"/>
                    </w:rPr>
                    <w:t>属性</w:t>
                  </w:r>
                </w:p>
              </w:tc>
              <w:tc>
                <w:tcPr>
                  <w:tcW w:w="771" w:type="pct"/>
                  <w:tcBorders>
                    <w:tl2br w:val="nil"/>
                    <w:tr2bl w:val="nil"/>
                  </w:tcBorders>
                  <w:noWrap w:val="0"/>
                  <w:vAlign w:val="center"/>
                </w:tcPr>
                <w:p w14:paraId="6344995C">
                  <w:pPr>
                    <w:pStyle w:val="67"/>
                    <w:ind w:left="43" w:right="34"/>
                    <w:jc w:val="center"/>
                    <w:rPr>
                      <w:rFonts w:ascii="Times New Roman" w:hAnsi="Times New Roman"/>
                      <w:b/>
                      <w:bCs/>
                      <w:color w:val="auto"/>
                      <w:sz w:val="21"/>
                      <w:szCs w:val="21"/>
                    </w:rPr>
                  </w:pPr>
                  <w:r>
                    <w:rPr>
                      <w:rFonts w:ascii="Times New Roman" w:hAnsi="Times New Roman"/>
                      <w:b/>
                      <w:bCs/>
                      <w:color w:val="auto"/>
                      <w:sz w:val="21"/>
                      <w:szCs w:val="21"/>
                    </w:rPr>
                    <w:t>代码</w:t>
                  </w:r>
                </w:p>
              </w:tc>
              <w:tc>
                <w:tcPr>
                  <w:tcW w:w="625" w:type="pct"/>
                  <w:tcBorders>
                    <w:tl2br w:val="nil"/>
                    <w:tr2bl w:val="nil"/>
                  </w:tcBorders>
                  <w:noWrap w:val="0"/>
                  <w:vAlign w:val="center"/>
                </w:tcPr>
                <w:p w14:paraId="71AECF5A">
                  <w:pPr>
                    <w:pStyle w:val="67"/>
                    <w:ind w:left="43" w:right="34"/>
                    <w:jc w:val="center"/>
                    <w:rPr>
                      <w:rFonts w:ascii="Times New Roman" w:hAnsi="Times New Roman"/>
                      <w:b/>
                      <w:bCs/>
                      <w:color w:val="auto"/>
                      <w:sz w:val="21"/>
                      <w:szCs w:val="21"/>
                    </w:rPr>
                  </w:pPr>
                  <w:r>
                    <w:rPr>
                      <w:rFonts w:ascii="Times New Roman" w:hAnsi="Times New Roman"/>
                      <w:b/>
                      <w:bCs/>
                      <w:color w:val="auto"/>
                      <w:sz w:val="21"/>
                      <w:szCs w:val="21"/>
                    </w:rPr>
                    <w:t>产生量</w:t>
                  </w:r>
                </w:p>
                <w:p w14:paraId="509BD41D">
                  <w:pPr>
                    <w:pStyle w:val="67"/>
                    <w:ind w:left="43" w:right="34"/>
                    <w:jc w:val="center"/>
                    <w:rPr>
                      <w:rFonts w:ascii="Times New Roman" w:hAnsi="Times New Roman"/>
                      <w:b/>
                      <w:bCs/>
                      <w:color w:val="auto"/>
                      <w:sz w:val="21"/>
                      <w:szCs w:val="21"/>
                    </w:rPr>
                  </w:pPr>
                  <w:r>
                    <w:rPr>
                      <w:rFonts w:ascii="Times New Roman" w:hAnsi="Times New Roman"/>
                      <w:b/>
                      <w:bCs/>
                      <w:color w:val="auto"/>
                      <w:sz w:val="21"/>
                      <w:szCs w:val="21"/>
                    </w:rPr>
                    <w:t>（t/a）</w:t>
                  </w:r>
                </w:p>
              </w:tc>
              <w:tc>
                <w:tcPr>
                  <w:tcW w:w="608" w:type="pct"/>
                  <w:tcBorders>
                    <w:tl2br w:val="nil"/>
                    <w:tr2bl w:val="nil"/>
                  </w:tcBorders>
                  <w:noWrap w:val="0"/>
                  <w:vAlign w:val="center"/>
                </w:tcPr>
                <w:p w14:paraId="2B18AF11">
                  <w:pPr>
                    <w:pStyle w:val="67"/>
                    <w:ind w:right="34"/>
                    <w:jc w:val="center"/>
                    <w:rPr>
                      <w:rFonts w:ascii="Times New Roman" w:hAnsi="Times New Roman"/>
                      <w:b/>
                      <w:bCs/>
                      <w:color w:val="auto"/>
                      <w:sz w:val="21"/>
                      <w:szCs w:val="21"/>
                    </w:rPr>
                  </w:pPr>
                  <w:r>
                    <w:rPr>
                      <w:rFonts w:ascii="Times New Roman" w:hAnsi="Times New Roman"/>
                      <w:b/>
                      <w:bCs/>
                      <w:color w:val="auto"/>
                      <w:sz w:val="21"/>
                      <w:szCs w:val="21"/>
                    </w:rPr>
                    <w:t>生产工序及装置</w:t>
                  </w:r>
                </w:p>
              </w:tc>
              <w:tc>
                <w:tcPr>
                  <w:tcW w:w="489" w:type="pct"/>
                  <w:tcBorders>
                    <w:tl2br w:val="nil"/>
                    <w:tr2bl w:val="nil"/>
                  </w:tcBorders>
                  <w:noWrap w:val="0"/>
                  <w:vAlign w:val="center"/>
                </w:tcPr>
                <w:p w14:paraId="6E3F89DF">
                  <w:pPr>
                    <w:pStyle w:val="67"/>
                    <w:ind w:left="43" w:right="34"/>
                    <w:jc w:val="center"/>
                    <w:rPr>
                      <w:rFonts w:ascii="Times New Roman" w:hAnsi="Times New Roman"/>
                      <w:b/>
                      <w:bCs/>
                      <w:color w:val="auto"/>
                      <w:sz w:val="21"/>
                      <w:szCs w:val="21"/>
                    </w:rPr>
                  </w:pPr>
                  <w:r>
                    <w:rPr>
                      <w:rFonts w:ascii="Times New Roman" w:hAnsi="Times New Roman"/>
                      <w:b/>
                      <w:bCs/>
                      <w:color w:val="auto"/>
                      <w:sz w:val="21"/>
                      <w:szCs w:val="21"/>
                    </w:rPr>
                    <w:t>形态</w:t>
                  </w:r>
                </w:p>
              </w:tc>
              <w:tc>
                <w:tcPr>
                  <w:tcW w:w="436" w:type="pct"/>
                  <w:tcBorders>
                    <w:tl2br w:val="nil"/>
                    <w:tr2bl w:val="nil"/>
                  </w:tcBorders>
                  <w:noWrap w:val="0"/>
                  <w:vAlign w:val="center"/>
                </w:tcPr>
                <w:p w14:paraId="7C365326">
                  <w:pPr>
                    <w:pStyle w:val="67"/>
                    <w:ind w:left="43" w:right="34"/>
                    <w:jc w:val="center"/>
                    <w:rPr>
                      <w:rFonts w:ascii="Times New Roman" w:hAnsi="Times New Roman"/>
                      <w:b/>
                      <w:bCs/>
                      <w:color w:val="auto"/>
                      <w:sz w:val="21"/>
                      <w:szCs w:val="21"/>
                    </w:rPr>
                  </w:pPr>
                  <w:r>
                    <w:rPr>
                      <w:rFonts w:ascii="Times New Roman" w:hAnsi="Times New Roman"/>
                      <w:b/>
                      <w:bCs/>
                      <w:color w:val="auto"/>
                      <w:sz w:val="21"/>
                      <w:szCs w:val="21"/>
                    </w:rPr>
                    <w:t>危险特性</w:t>
                  </w:r>
                </w:p>
              </w:tc>
              <w:tc>
                <w:tcPr>
                  <w:tcW w:w="850" w:type="pct"/>
                  <w:tcBorders>
                    <w:tl2br w:val="nil"/>
                    <w:tr2bl w:val="nil"/>
                  </w:tcBorders>
                  <w:noWrap w:val="0"/>
                  <w:vAlign w:val="center"/>
                </w:tcPr>
                <w:p w14:paraId="71118007">
                  <w:pPr>
                    <w:pStyle w:val="67"/>
                    <w:ind w:left="43" w:right="34"/>
                    <w:jc w:val="center"/>
                    <w:rPr>
                      <w:rFonts w:ascii="Times New Roman" w:hAnsi="Times New Roman"/>
                      <w:b/>
                      <w:bCs/>
                      <w:color w:val="auto"/>
                      <w:sz w:val="21"/>
                      <w:szCs w:val="21"/>
                    </w:rPr>
                  </w:pPr>
                  <w:r>
                    <w:rPr>
                      <w:rFonts w:hint="eastAsia" w:ascii="Times New Roman" w:hAnsi="Times New Roman"/>
                      <w:b/>
                      <w:bCs/>
                      <w:color w:val="auto"/>
                      <w:sz w:val="21"/>
                      <w:szCs w:val="21"/>
                    </w:rPr>
                    <w:t>处置方式</w:t>
                  </w:r>
                </w:p>
              </w:tc>
            </w:tr>
            <w:tr w14:paraId="335250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8" w:type="pct"/>
                  <w:tcBorders>
                    <w:tl2br w:val="nil"/>
                    <w:tr2bl w:val="nil"/>
                  </w:tcBorders>
                  <w:noWrap w:val="0"/>
                  <w:vAlign w:val="center"/>
                </w:tcPr>
                <w:p w14:paraId="6530DB42">
                  <w:pPr>
                    <w:pStyle w:val="67"/>
                    <w:ind w:right="35" w:rightChars="0"/>
                    <w:jc w:val="center"/>
                    <w:rPr>
                      <w:rFonts w:ascii="Times New Roman" w:hAnsi="Times New Roman"/>
                      <w:color w:val="auto"/>
                      <w:kern w:val="0"/>
                      <w:sz w:val="21"/>
                      <w:szCs w:val="21"/>
                      <w:lang w:val="en-US" w:eastAsia="zh-CN" w:bidi="ar-SA"/>
                    </w:rPr>
                  </w:pPr>
                  <w:r>
                    <w:rPr>
                      <w:rFonts w:ascii="Times New Roman" w:hAnsi="Times New Roman"/>
                      <w:color w:val="auto"/>
                      <w:sz w:val="21"/>
                      <w:szCs w:val="21"/>
                    </w:rPr>
                    <w:t>1</w:t>
                  </w:r>
                </w:p>
              </w:tc>
              <w:tc>
                <w:tcPr>
                  <w:tcW w:w="567" w:type="pct"/>
                  <w:tcBorders>
                    <w:tl2br w:val="nil"/>
                    <w:tr2bl w:val="nil"/>
                  </w:tcBorders>
                  <w:noWrap w:val="0"/>
                  <w:vAlign w:val="center"/>
                </w:tcPr>
                <w:p w14:paraId="4BA3D866">
                  <w:pPr>
                    <w:pStyle w:val="67"/>
                    <w:ind w:right="35" w:rightChars="0"/>
                    <w:jc w:val="center"/>
                    <w:rPr>
                      <w:rFonts w:ascii="Times New Roman" w:hAnsi="Times New Roman"/>
                      <w:color w:val="auto"/>
                      <w:kern w:val="0"/>
                      <w:sz w:val="21"/>
                      <w:szCs w:val="21"/>
                      <w:lang w:val="en-US" w:eastAsia="zh-CN" w:bidi="ar-SA"/>
                    </w:rPr>
                  </w:pPr>
                  <w:r>
                    <w:rPr>
                      <w:rFonts w:ascii="Times New Roman" w:hAnsi="Times New Roman"/>
                      <w:color w:val="auto"/>
                      <w:sz w:val="21"/>
                      <w:szCs w:val="21"/>
                    </w:rPr>
                    <w:t>生活垃圾</w:t>
                  </w:r>
                </w:p>
              </w:tc>
              <w:tc>
                <w:tcPr>
                  <w:tcW w:w="392" w:type="pct"/>
                  <w:tcBorders>
                    <w:tl2br w:val="nil"/>
                    <w:tr2bl w:val="nil"/>
                  </w:tcBorders>
                  <w:noWrap w:val="0"/>
                  <w:vAlign w:val="center"/>
                </w:tcPr>
                <w:p w14:paraId="71616652">
                  <w:pPr>
                    <w:pStyle w:val="67"/>
                    <w:ind w:left="43" w:leftChars="0" w:right="35" w:rightChars="0"/>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sz w:val="21"/>
                      <w:szCs w:val="21"/>
                      <w:lang w:val="en-US" w:eastAsia="zh-CN"/>
                    </w:rPr>
                    <w:t>一般固废</w:t>
                  </w:r>
                </w:p>
              </w:tc>
              <w:tc>
                <w:tcPr>
                  <w:tcW w:w="771" w:type="pct"/>
                  <w:tcBorders>
                    <w:tl2br w:val="nil"/>
                    <w:tr2bl w:val="nil"/>
                  </w:tcBorders>
                  <w:noWrap w:val="0"/>
                  <w:vAlign w:val="center"/>
                </w:tcPr>
                <w:p w14:paraId="36C8B566">
                  <w:pPr>
                    <w:pStyle w:val="67"/>
                    <w:ind w:left="43" w:right="35"/>
                    <w:jc w:val="center"/>
                    <w:rPr>
                      <w:rFonts w:ascii="Times New Roman" w:hAnsi="Times New Roman"/>
                      <w:color w:val="auto"/>
                      <w:sz w:val="21"/>
                      <w:szCs w:val="21"/>
                    </w:rPr>
                  </w:pPr>
                  <w:r>
                    <w:rPr>
                      <w:rFonts w:ascii="Times New Roman" w:hAnsi="Times New Roman"/>
                      <w:color w:val="auto"/>
                      <w:sz w:val="21"/>
                      <w:szCs w:val="21"/>
                    </w:rPr>
                    <w:t>SW64</w:t>
                  </w:r>
                </w:p>
                <w:p w14:paraId="301AC207">
                  <w:pPr>
                    <w:pStyle w:val="67"/>
                    <w:ind w:left="43" w:right="34"/>
                    <w:jc w:val="center"/>
                    <w:rPr>
                      <w:rFonts w:hint="eastAsia" w:ascii="Times New Roman" w:hAnsi="Times New Roman" w:eastAsia="宋体"/>
                      <w:color w:val="auto"/>
                      <w:sz w:val="21"/>
                      <w:szCs w:val="21"/>
                      <w:lang w:eastAsia="zh-CN"/>
                    </w:rPr>
                  </w:pPr>
                  <w:r>
                    <w:rPr>
                      <w:rFonts w:ascii="Times New Roman" w:hAnsi="Times New Roman"/>
                      <w:color w:val="auto"/>
                      <w:sz w:val="21"/>
                      <w:szCs w:val="21"/>
                    </w:rPr>
                    <w:t>900-099-S64</w:t>
                  </w:r>
                </w:p>
              </w:tc>
              <w:tc>
                <w:tcPr>
                  <w:tcW w:w="625" w:type="pct"/>
                  <w:tcBorders>
                    <w:tl2br w:val="nil"/>
                    <w:tr2bl w:val="nil"/>
                  </w:tcBorders>
                  <w:noWrap w:val="0"/>
                  <w:vAlign w:val="center"/>
                </w:tcPr>
                <w:p w14:paraId="34D95C6A">
                  <w:pPr>
                    <w:pStyle w:val="67"/>
                    <w:ind w:left="43" w:right="34"/>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1.25</w:t>
                  </w:r>
                </w:p>
              </w:tc>
              <w:tc>
                <w:tcPr>
                  <w:tcW w:w="608" w:type="pct"/>
                  <w:tcBorders>
                    <w:tl2br w:val="nil"/>
                    <w:tr2bl w:val="nil"/>
                  </w:tcBorders>
                  <w:noWrap w:val="0"/>
                  <w:vAlign w:val="center"/>
                </w:tcPr>
                <w:p w14:paraId="73CFEE22">
                  <w:pPr>
                    <w:pStyle w:val="67"/>
                    <w:ind w:right="35" w:rightChars="0"/>
                    <w:jc w:val="center"/>
                    <w:rPr>
                      <w:rFonts w:ascii="Times New Roman" w:hAnsi="Times New Roman"/>
                      <w:color w:val="auto"/>
                      <w:kern w:val="0"/>
                      <w:sz w:val="21"/>
                      <w:szCs w:val="21"/>
                      <w:lang w:val="en-US" w:eastAsia="zh-CN" w:bidi="ar-SA"/>
                    </w:rPr>
                  </w:pPr>
                  <w:r>
                    <w:rPr>
                      <w:rFonts w:ascii="Times New Roman" w:hAnsi="Times New Roman"/>
                      <w:color w:val="auto"/>
                      <w:sz w:val="21"/>
                      <w:szCs w:val="21"/>
                    </w:rPr>
                    <w:t>职工生活</w:t>
                  </w:r>
                </w:p>
              </w:tc>
              <w:tc>
                <w:tcPr>
                  <w:tcW w:w="489" w:type="pct"/>
                  <w:tcBorders>
                    <w:tl2br w:val="nil"/>
                    <w:tr2bl w:val="nil"/>
                  </w:tcBorders>
                  <w:noWrap w:val="0"/>
                  <w:vAlign w:val="center"/>
                </w:tcPr>
                <w:p w14:paraId="1DA6ECE8">
                  <w:pPr>
                    <w:pStyle w:val="67"/>
                    <w:ind w:left="43" w:leftChars="0" w:right="35" w:rightChars="0"/>
                    <w:jc w:val="center"/>
                    <w:rPr>
                      <w:rFonts w:ascii="Times New Roman" w:hAnsi="Times New Roman"/>
                      <w:color w:val="auto"/>
                      <w:kern w:val="0"/>
                      <w:sz w:val="21"/>
                      <w:szCs w:val="21"/>
                      <w:lang w:val="en-US" w:eastAsia="zh-CN" w:bidi="ar-SA"/>
                    </w:rPr>
                  </w:pPr>
                  <w:r>
                    <w:rPr>
                      <w:rFonts w:ascii="Times New Roman" w:hAnsi="Times New Roman"/>
                      <w:color w:val="auto"/>
                      <w:sz w:val="21"/>
                      <w:szCs w:val="21"/>
                    </w:rPr>
                    <w:t>固态</w:t>
                  </w:r>
                </w:p>
              </w:tc>
              <w:tc>
                <w:tcPr>
                  <w:tcW w:w="436" w:type="pct"/>
                  <w:tcBorders>
                    <w:tl2br w:val="nil"/>
                    <w:tr2bl w:val="nil"/>
                  </w:tcBorders>
                  <w:noWrap w:val="0"/>
                  <w:vAlign w:val="center"/>
                </w:tcPr>
                <w:p w14:paraId="1FE1745E">
                  <w:pPr>
                    <w:pStyle w:val="67"/>
                    <w:ind w:left="43" w:leftChars="0" w:right="35" w:rightChars="0"/>
                    <w:jc w:val="center"/>
                    <w:rPr>
                      <w:rFonts w:ascii="Times New Roman" w:hAnsi="Times New Roman"/>
                      <w:color w:val="auto"/>
                      <w:kern w:val="0"/>
                      <w:sz w:val="21"/>
                      <w:szCs w:val="21"/>
                      <w:lang w:val="en-US" w:eastAsia="zh-CN" w:bidi="ar-SA"/>
                    </w:rPr>
                  </w:pPr>
                  <w:r>
                    <w:rPr>
                      <w:rFonts w:ascii="Times New Roman" w:hAnsi="Times New Roman"/>
                      <w:color w:val="auto"/>
                      <w:sz w:val="21"/>
                      <w:szCs w:val="21"/>
                    </w:rPr>
                    <w:t>/</w:t>
                  </w:r>
                </w:p>
              </w:tc>
              <w:tc>
                <w:tcPr>
                  <w:tcW w:w="850" w:type="pct"/>
                  <w:tcBorders>
                    <w:tl2br w:val="nil"/>
                    <w:tr2bl w:val="nil"/>
                  </w:tcBorders>
                  <w:noWrap w:val="0"/>
                  <w:vAlign w:val="center"/>
                </w:tcPr>
                <w:p w14:paraId="758685F6">
                  <w:pPr>
                    <w:pStyle w:val="67"/>
                    <w:ind w:left="43" w:leftChars="0" w:right="35" w:rightChars="0"/>
                    <w:jc w:val="center"/>
                    <w:rPr>
                      <w:rFonts w:hint="eastAsia" w:ascii="Times New Roman" w:hAnsi="Times New Roman"/>
                      <w:color w:val="auto"/>
                      <w:kern w:val="0"/>
                      <w:sz w:val="21"/>
                      <w:szCs w:val="21"/>
                      <w:lang w:val="en-US" w:eastAsia="zh-CN" w:bidi="ar-SA"/>
                    </w:rPr>
                  </w:pPr>
                  <w:r>
                    <w:rPr>
                      <w:rFonts w:hint="eastAsia" w:ascii="Times New Roman" w:hAnsi="Times New Roman"/>
                      <w:color w:val="auto"/>
                      <w:sz w:val="21"/>
                      <w:szCs w:val="21"/>
                    </w:rPr>
                    <w:t>分类收集交环卫部门处理</w:t>
                  </w:r>
                </w:p>
              </w:tc>
            </w:tr>
            <w:tr w14:paraId="188CA2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8" w:type="pct"/>
                  <w:tcBorders>
                    <w:tl2br w:val="nil"/>
                    <w:tr2bl w:val="nil"/>
                  </w:tcBorders>
                  <w:noWrap w:val="0"/>
                  <w:vAlign w:val="center"/>
                </w:tcPr>
                <w:p w14:paraId="619C2917">
                  <w:pPr>
                    <w:pStyle w:val="67"/>
                    <w:ind w:right="35" w:rightChars="0"/>
                    <w:jc w:val="center"/>
                    <w:rPr>
                      <w:rFonts w:ascii="Times New Roman" w:hAnsi="Times New Roman"/>
                      <w:color w:val="auto"/>
                      <w:kern w:val="0"/>
                      <w:sz w:val="21"/>
                      <w:szCs w:val="21"/>
                      <w:lang w:val="en-US" w:eastAsia="zh-CN" w:bidi="ar-SA"/>
                    </w:rPr>
                  </w:pPr>
                  <w:r>
                    <w:rPr>
                      <w:rFonts w:hint="eastAsia" w:ascii="Times New Roman" w:hAnsi="Times New Roman"/>
                      <w:color w:val="auto"/>
                      <w:sz w:val="21"/>
                      <w:szCs w:val="21"/>
                    </w:rPr>
                    <w:t>2</w:t>
                  </w:r>
                </w:p>
              </w:tc>
              <w:tc>
                <w:tcPr>
                  <w:tcW w:w="567" w:type="pct"/>
                  <w:tcBorders>
                    <w:tl2br w:val="nil"/>
                    <w:tr2bl w:val="nil"/>
                  </w:tcBorders>
                  <w:noWrap w:val="0"/>
                  <w:vAlign w:val="center"/>
                </w:tcPr>
                <w:p w14:paraId="3E45E908">
                  <w:pPr>
                    <w:pStyle w:val="67"/>
                    <w:ind w:left="43" w:right="35"/>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废边角料</w:t>
                  </w:r>
                </w:p>
              </w:tc>
              <w:tc>
                <w:tcPr>
                  <w:tcW w:w="392" w:type="pct"/>
                  <w:vMerge w:val="restart"/>
                  <w:tcBorders>
                    <w:tl2br w:val="nil"/>
                    <w:tr2bl w:val="nil"/>
                  </w:tcBorders>
                  <w:noWrap w:val="0"/>
                  <w:vAlign w:val="center"/>
                </w:tcPr>
                <w:p w14:paraId="47249706">
                  <w:pPr>
                    <w:pStyle w:val="67"/>
                    <w:ind w:left="43" w:right="35"/>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一般固废</w:t>
                  </w:r>
                </w:p>
              </w:tc>
              <w:tc>
                <w:tcPr>
                  <w:tcW w:w="771" w:type="pct"/>
                  <w:tcBorders>
                    <w:tl2br w:val="nil"/>
                    <w:tr2bl w:val="nil"/>
                  </w:tcBorders>
                  <w:noWrap w:val="0"/>
                  <w:vAlign w:val="center"/>
                </w:tcPr>
                <w:p w14:paraId="18DE1DEE">
                  <w:pPr>
                    <w:pStyle w:val="67"/>
                    <w:ind w:right="35"/>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SW59</w:t>
                  </w:r>
                </w:p>
                <w:p w14:paraId="63D4D29C">
                  <w:pPr>
                    <w:pStyle w:val="67"/>
                    <w:ind w:right="35"/>
                    <w:jc w:val="center"/>
                    <w:rPr>
                      <w:rFonts w:ascii="Times New Roman" w:hAnsi="Times New Roman"/>
                      <w:color w:val="auto"/>
                      <w:sz w:val="21"/>
                      <w:szCs w:val="21"/>
                    </w:rPr>
                  </w:pPr>
                  <w:r>
                    <w:rPr>
                      <w:rFonts w:ascii="Times New Roman" w:hAnsi="Times New Roman"/>
                      <w:color w:val="auto"/>
                      <w:sz w:val="21"/>
                      <w:szCs w:val="21"/>
                    </w:rPr>
                    <w:t>900-099-S59</w:t>
                  </w:r>
                </w:p>
              </w:tc>
              <w:tc>
                <w:tcPr>
                  <w:tcW w:w="625" w:type="pct"/>
                  <w:tcBorders>
                    <w:tl2br w:val="nil"/>
                    <w:tr2bl w:val="nil"/>
                  </w:tcBorders>
                  <w:noWrap w:val="0"/>
                  <w:vAlign w:val="center"/>
                </w:tcPr>
                <w:p w14:paraId="090808BE">
                  <w:pPr>
                    <w:pStyle w:val="67"/>
                    <w:ind w:right="35"/>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0.02</w:t>
                  </w:r>
                </w:p>
              </w:tc>
              <w:tc>
                <w:tcPr>
                  <w:tcW w:w="608" w:type="pct"/>
                  <w:tcBorders>
                    <w:tl2br w:val="nil"/>
                    <w:tr2bl w:val="nil"/>
                  </w:tcBorders>
                  <w:noWrap w:val="0"/>
                  <w:vAlign w:val="center"/>
                </w:tcPr>
                <w:p w14:paraId="5172F975">
                  <w:pPr>
                    <w:pStyle w:val="67"/>
                    <w:ind w:left="43" w:right="35"/>
                    <w:jc w:val="center"/>
                    <w:rPr>
                      <w:rFonts w:ascii="Times New Roman" w:hAnsi="Times New Roman"/>
                      <w:color w:val="auto"/>
                      <w:sz w:val="21"/>
                      <w:szCs w:val="21"/>
                    </w:rPr>
                  </w:pPr>
                  <w:r>
                    <w:rPr>
                      <w:rFonts w:ascii="Times New Roman" w:hAnsi="Times New Roman"/>
                      <w:color w:val="auto"/>
                      <w:sz w:val="21"/>
                      <w:szCs w:val="21"/>
                    </w:rPr>
                    <w:t>生产过程</w:t>
                  </w:r>
                </w:p>
              </w:tc>
              <w:tc>
                <w:tcPr>
                  <w:tcW w:w="489" w:type="pct"/>
                  <w:tcBorders>
                    <w:tl2br w:val="nil"/>
                    <w:tr2bl w:val="nil"/>
                  </w:tcBorders>
                  <w:noWrap w:val="0"/>
                  <w:vAlign w:val="center"/>
                </w:tcPr>
                <w:p w14:paraId="3C73047E">
                  <w:pPr>
                    <w:pStyle w:val="67"/>
                    <w:ind w:right="35"/>
                    <w:jc w:val="center"/>
                    <w:rPr>
                      <w:rFonts w:ascii="Times New Roman" w:hAnsi="Times New Roman"/>
                      <w:color w:val="auto"/>
                      <w:sz w:val="21"/>
                      <w:szCs w:val="21"/>
                    </w:rPr>
                  </w:pPr>
                  <w:r>
                    <w:rPr>
                      <w:rFonts w:ascii="Times New Roman" w:hAnsi="Times New Roman"/>
                      <w:color w:val="auto"/>
                      <w:sz w:val="21"/>
                      <w:szCs w:val="21"/>
                    </w:rPr>
                    <w:t>固态</w:t>
                  </w:r>
                </w:p>
              </w:tc>
              <w:tc>
                <w:tcPr>
                  <w:tcW w:w="436" w:type="pct"/>
                  <w:tcBorders>
                    <w:tl2br w:val="nil"/>
                    <w:tr2bl w:val="nil"/>
                  </w:tcBorders>
                  <w:noWrap w:val="0"/>
                  <w:vAlign w:val="center"/>
                </w:tcPr>
                <w:p w14:paraId="680A8017">
                  <w:pPr>
                    <w:pStyle w:val="67"/>
                    <w:ind w:right="35"/>
                    <w:jc w:val="center"/>
                    <w:rPr>
                      <w:rFonts w:ascii="Times New Roman" w:hAnsi="Times New Roman"/>
                      <w:color w:val="auto"/>
                      <w:sz w:val="21"/>
                      <w:szCs w:val="21"/>
                    </w:rPr>
                  </w:pPr>
                  <w:r>
                    <w:rPr>
                      <w:rFonts w:ascii="Times New Roman" w:hAnsi="Times New Roman"/>
                      <w:color w:val="auto"/>
                      <w:sz w:val="21"/>
                      <w:szCs w:val="21"/>
                    </w:rPr>
                    <w:t>/</w:t>
                  </w:r>
                </w:p>
              </w:tc>
              <w:tc>
                <w:tcPr>
                  <w:tcW w:w="850" w:type="pct"/>
                  <w:tcBorders>
                    <w:tl2br w:val="nil"/>
                    <w:tr2bl w:val="nil"/>
                  </w:tcBorders>
                  <w:noWrap w:val="0"/>
                  <w:vAlign w:val="center"/>
                </w:tcPr>
                <w:p w14:paraId="4B1D457D">
                  <w:pPr>
                    <w:pStyle w:val="67"/>
                    <w:ind w:right="35"/>
                    <w:jc w:val="center"/>
                    <w:rPr>
                      <w:rFonts w:ascii="Times New Roman" w:hAnsi="Times New Roman"/>
                      <w:color w:val="auto"/>
                      <w:sz w:val="21"/>
                      <w:szCs w:val="21"/>
                    </w:rPr>
                  </w:pPr>
                  <w:r>
                    <w:rPr>
                      <w:rFonts w:hint="default" w:ascii="Times New Roman" w:hAnsi="Times New Roman"/>
                      <w:color w:val="auto"/>
                      <w:sz w:val="21"/>
                      <w:szCs w:val="21"/>
                      <w:lang w:val="en-US" w:eastAsia="zh-CN"/>
                    </w:rPr>
                    <w:t>集中收集后外售</w:t>
                  </w:r>
                </w:p>
              </w:tc>
            </w:tr>
            <w:tr w14:paraId="1698A8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8" w:type="pct"/>
                  <w:tcBorders>
                    <w:tl2br w:val="nil"/>
                    <w:tr2bl w:val="nil"/>
                  </w:tcBorders>
                  <w:noWrap w:val="0"/>
                  <w:vAlign w:val="center"/>
                </w:tcPr>
                <w:p w14:paraId="694C1247">
                  <w:pPr>
                    <w:pStyle w:val="67"/>
                    <w:ind w:right="35" w:rightChars="0"/>
                    <w:jc w:val="center"/>
                    <w:rPr>
                      <w:rFonts w:ascii="Times New Roman" w:hAnsi="Times New Roman"/>
                      <w:color w:val="auto"/>
                      <w:kern w:val="0"/>
                      <w:sz w:val="21"/>
                      <w:szCs w:val="21"/>
                      <w:lang w:val="en-US" w:eastAsia="zh-CN" w:bidi="ar-SA"/>
                    </w:rPr>
                  </w:pPr>
                  <w:r>
                    <w:rPr>
                      <w:rFonts w:hint="eastAsia" w:ascii="Times New Roman" w:hAnsi="Times New Roman"/>
                      <w:color w:val="auto"/>
                      <w:sz w:val="21"/>
                      <w:szCs w:val="21"/>
                    </w:rPr>
                    <w:t>3</w:t>
                  </w:r>
                </w:p>
              </w:tc>
              <w:tc>
                <w:tcPr>
                  <w:tcW w:w="567" w:type="pct"/>
                  <w:tcBorders>
                    <w:tl2br w:val="nil"/>
                    <w:tr2bl w:val="nil"/>
                  </w:tcBorders>
                  <w:noWrap w:val="0"/>
                  <w:vAlign w:val="center"/>
                </w:tcPr>
                <w:p w14:paraId="05EFEEB4">
                  <w:pPr>
                    <w:pStyle w:val="67"/>
                    <w:ind w:right="35"/>
                    <w:jc w:val="center"/>
                    <w:rPr>
                      <w:rFonts w:ascii="Times New Roman" w:hAnsi="Times New Roman"/>
                      <w:color w:val="auto"/>
                      <w:sz w:val="21"/>
                      <w:szCs w:val="21"/>
                    </w:rPr>
                  </w:pPr>
                  <w:r>
                    <w:rPr>
                      <w:rFonts w:ascii="Times New Roman" w:hAnsi="Times New Roman"/>
                      <w:color w:val="auto"/>
                      <w:sz w:val="21"/>
                      <w:szCs w:val="21"/>
                    </w:rPr>
                    <w:t>废包装材料</w:t>
                  </w:r>
                  <w:r>
                    <w:rPr>
                      <w:rFonts w:hint="eastAsia" w:ascii="Times New Roman" w:hAnsi="Times New Roman"/>
                      <w:color w:val="auto"/>
                      <w:sz w:val="21"/>
                      <w:szCs w:val="21"/>
                      <w:lang w:eastAsia="zh-CN"/>
                    </w:rPr>
                    <w:t>、</w:t>
                  </w:r>
                  <w:r>
                    <w:rPr>
                      <w:rFonts w:hint="eastAsia" w:ascii="Times New Roman" w:hAnsi="Times New Roman"/>
                      <w:color w:val="auto"/>
                      <w:sz w:val="21"/>
                      <w:szCs w:val="21"/>
                      <w:lang w:val="en-US" w:eastAsia="zh-CN"/>
                    </w:rPr>
                    <w:t>不合格品</w:t>
                  </w:r>
                </w:p>
              </w:tc>
              <w:tc>
                <w:tcPr>
                  <w:tcW w:w="392" w:type="pct"/>
                  <w:vMerge w:val="continue"/>
                  <w:tcBorders>
                    <w:tl2br w:val="nil"/>
                    <w:tr2bl w:val="nil"/>
                  </w:tcBorders>
                  <w:noWrap w:val="0"/>
                  <w:vAlign w:val="center"/>
                </w:tcPr>
                <w:p w14:paraId="5BF00970">
                  <w:pPr>
                    <w:pStyle w:val="67"/>
                    <w:ind w:left="43" w:right="35"/>
                    <w:jc w:val="center"/>
                    <w:rPr>
                      <w:rFonts w:ascii="Times New Roman" w:hAnsi="Times New Roman"/>
                      <w:color w:val="auto"/>
                      <w:sz w:val="21"/>
                      <w:szCs w:val="21"/>
                    </w:rPr>
                  </w:pPr>
                </w:p>
              </w:tc>
              <w:tc>
                <w:tcPr>
                  <w:tcW w:w="771" w:type="pct"/>
                  <w:tcBorders>
                    <w:tl2br w:val="nil"/>
                    <w:tr2bl w:val="nil"/>
                  </w:tcBorders>
                  <w:noWrap w:val="0"/>
                  <w:vAlign w:val="center"/>
                </w:tcPr>
                <w:p w14:paraId="5FCA0E21">
                  <w:pPr>
                    <w:pStyle w:val="67"/>
                    <w:ind w:right="35"/>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SW59</w:t>
                  </w:r>
                </w:p>
                <w:p w14:paraId="784DE668">
                  <w:pPr>
                    <w:pStyle w:val="67"/>
                    <w:ind w:left="43" w:right="35"/>
                    <w:jc w:val="center"/>
                    <w:rPr>
                      <w:rFonts w:ascii="Times New Roman" w:hAnsi="Times New Roman"/>
                      <w:color w:val="auto"/>
                      <w:sz w:val="21"/>
                      <w:szCs w:val="21"/>
                    </w:rPr>
                  </w:pPr>
                  <w:r>
                    <w:rPr>
                      <w:rFonts w:ascii="Times New Roman" w:hAnsi="Times New Roman"/>
                      <w:color w:val="auto"/>
                      <w:sz w:val="21"/>
                      <w:szCs w:val="21"/>
                    </w:rPr>
                    <w:t>900-099-S59</w:t>
                  </w:r>
                </w:p>
              </w:tc>
              <w:tc>
                <w:tcPr>
                  <w:tcW w:w="625" w:type="pct"/>
                  <w:tcBorders>
                    <w:tl2br w:val="nil"/>
                    <w:tr2bl w:val="nil"/>
                  </w:tcBorders>
                  <w:noWrap w:val="0"/>
                  <w:vAlign w:val="center"/>
                </w:tcPr>
                <w:p w14:paraId="2CB2AF08">
                  <w:pPr>
                    <w:pStyle w:val="67"/>
                    <w:ind w:left="43" w:right="35"/>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0.01</w:t>
                  </w:r>
                </w:p>
              </w:tc>
              <w:tc>
                <w:tcPr>
                  <w:tcW w:w="608" w:type="pct"/>
                  <w:tcBorders>
                    <w:tl2br w:val="nil"/>
                    <w:tr2bl w:val="nil"/>
                  </w:tcBorders>
                  <w:noWrap w:val="0"/>
                  <w:vAlign w:val="center"/>
                </w:tcPr>
                <w:p w14:paraId="281C6995">
                  <w:pPr>
                    <w:pStyle w:val="67"/>
                    <w:ind w:right="35"/>
                    <w:jc w:val="center"/>
                    <w:rPr>
                      <w:rFonts w:ascii="Times New Roman" w:hAnsi="Times New Roman"/>
                      <w:color w:val="auto"/>
                      <w:sz w:val="21"/>
                      <w:szCs w:val="21"/>
                    </w:rPr>
                  </w:pPr>
                  <w:r>
                    <w:rPr>
                      <w:rFonts w:ascii="Times New Roman" w:hAnsi="Times New Roman"/>
                      <w:color w:val="auto"/>
                      <w:sz w:val="21"/>
                      <w:szCs w:val="21"/>
                    </w:rPr>
                    <w:t>生产过程</w:t>
                  </w:r>
                </w:p>
              </w:tc>
              <w:tc>
                <w:tcPr>
                  <w:tcW w:w="489" w:type="pct"/>
                  <w:tcBorders>
                    <w:tl2br w:val="nil"/>
                    <w:tr2bl w:val="nil"/>
                  </w:tcBorders>
                  <w:noWrap w:val="0"/>
                  <w:vAlign w:val="center"/>
                </w:tcPr>
                <w:p w14:paraId="037D1582">
                  <w:pPr>
                    <w:pStyle w:val="67"/>
                    <w:ind w:left="43" w:right="35"/>
                    <w:jc w:val="center"/>
                    <w:rPr>
                      <w:rFonts w:ascii="Times New Roman" w:hAnsi="Times New Roman"/>
                      <w:color w:val="auto"/>
                      <w:sz w:val="21"/>
                      <w:szCs w:val="21"/>
                    </w:rPr>
                  </w:pPr>
                  <w:r>
                    <w:rPr>
                      <w:rFonts w:hint="eastAsia" w:ascii="Times New Roman" w:hAnsi="Times New Roman"/>
                      <w:color w:val="auto"/>
                      <w:sz w:val="21"/>
                      <w:szCs w:val="21"/>
                    </w:rPr>
                    <w:t>固态</w:t>
                  </w:r>
                </w:p>
              </w:tc>
              <w:tc>
                <w:tcPr>
                  <w:tcW w:w="436" w:type="pct"/>
                  <w:tcBorders>
                    <w:tl2br w:val="nil"/>
                    <w:tr2bl w:val="nil"/>
                  </w:tcBorders>
                  <w:noWrap w:val="0"/>
                  <w:vAlign w:val="center"/>
                </w:tcPr>
                <w:p w14:paraId="443819E1">
                  <w:pPr>
                    <w:pStyle w:val="67"/>
                    <w:ind w:left="43" w:right="35"/>
                    <w:jc w:val="center"/>
                    <w:rPr>
                      <w:rFonts w:ascii="Times New Roman" w:hAnsi="Times New Roman"/>
                      <w:color w:val="auto"/>
                      <w:sz w:val="21"/>
                      <w:szCs w:val="21"/>
                    </w:rPr>
                  </w:pPr>
                  <w:r>
                    <w:rPr>
                      <w:rFonts w:hint="eastAsia" w:ascii="Times New Roman" w:hAnsi="Times New Roman"/>
                      <w:color w:val="auto"/>
                      <w:sz w:val="21"/>
                      <w:szCs w:val="21"/>
                    </w:rPr>
                    <w:t>/</w:t>
                  </w:r>
                </w:p>
              </w:tc>
              <w:tc>
                <w:tcPr>
                  <w:tcW w:w="850" w:type="pct"/>
                  <w:tcBorders>
                    <w:tl2br w:val="nil"/>
                    <w:tr2bl w:val="nil"/>
                  </w:tcBorders>
                  <w:noWrap w:val="0"/>
                  <w:vAlign w:val="center"/>
                </w:tcPr>
                <w:p w14:paraId="2D7A122F">
                  <w:pPr>
                    <w:pStyle w:val="67"/>
                    <w:ind w:left="43" w:right="35"/>
                    <w:jc w:val="center"/>
                    <w:rPr>
                      <w:rFonts w:ascii="Times New Roman" w:hAnsi="Times New Roman"/>
                      <w:color w:val="auto"/>
                      <w:sz w:val="21"/>
                      <w:szCs w:val="21"/>
                    </w:rPr>
                  </w:pPr>
                  <w:r>
                    <w:rPr>
                      <w:rFonts w:hint="default" w:ascii="Times New Roman" w:hAnsi="Times New Roman"/>
                      <w:color w:val="auto"/>
                      <w:sz w:val="21"/>
                      <w:szCs w:val="21"/>
                      <w:lang w:val="en-US" w:eastAsia="zh-CN"/>
                    </w:rPr>
                    <w:t>集中收集后外售</w:t>
                  </w:r>
                </w:p>
              </w:tc>
            </w:tr>
            <w:tr w14:paraId="30B440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8" w:type="pct"/>
                  <w:tcBorders>
                    <w:tl2br w:val="nil"/>
                    <w:tr2bl w:val="nil"/>
                  </w:tcBorders>
                  <w:noWrap w:val="0"/>
                  <w:vAlign w:val="center"/>
                </w:tcPr>
                <w:p w14:paraId="69E53780">
                  <w:pPr>
                    <w:pStyle w:val="67"/>
                    <w:ind w:right="35" w:rightChars="0"/>
                    <w:jc w:val="center"/>
                    <w:rPr>
                      <w:rFonts w:hint="eastAsia" w:ascii="Times New Roman" w:hAnsi="Times New Roman"/>
                      <w:color w:val="auto"/>
                      <w:kern w:val="0"/>
                      <w:sz w:val="21"/>
                      <w:szCs w:val="21"/>
                      <w:lang w:val="en-US" w:eastAsia="zh-CN" w:bidi="ar-SA"/>
                    </w:rPr>
                  </w:pPr>
                  <w:r>
                    <w:rPr>
                      <w:rFonts w:hint="eastAsia" w:ascii="Times New Roman" w:hAnsi="Times New Roman"/>
                      <w:color w:val="auto"/>
                      <w:sz w:val="21"/>
                      <w:szCs w:val="21"/>
                    </w:rPr>
                    <w:t>4</w:t>
                  </w:r>
                </w:p>
              </w:tc>
              <w:tc>
                <w:tcPr>
                  <w:tcW w:w="567" w:type="pct"/>
                  <w:tcBorders>
                    <w:tl2br w:val="nil"/>
                    <w:tr2bl w:val="nil"/>
                  </w:tcBorders>
                  <w:noWrap w:val="0"/>
                  <w:vAlign w:val="center"/>
                </w:tcPr>
                <w:p w14:paraId="4A42177F">
                  <w:pPr>
                    <w:pStyle w:val="67"/>
                    <w:ind w:right="35"/>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废反渗透膜</w:t>
                  </w:r>
                </w:p>
              </w:tc>
              <w:tc>
                <w:tcPr>
                  <w:tcW w:w="392" w:type="pct"/>
                  <w:vMerge w:val="continue"/>
                  <w:tcBorders>
                    <w:tl2br w:val="nil"/>
                    <w:tr2bl w:val="nil"/>
                  </w:tcBorders>
                  <w:noWrap w:val="0"/>
                  <w:vAlign w:val="center"/>
                </w:tcPr>
                <w:p w14:paraId="0F79C62F">
                  <w:pPr>
                    <w:pStyle w:val="67"/>
                    <w:ind w:left="43" w:right="35"/>
                    <w:jc w:val="center"/>
                    <w:rPr>
                      <w:rFonts w:ascii="Times New Roman" w:hAnsi="Times New Roman"/>
                      <w:color w:val="auto"/>
                      <w:sz w:val="21"/>
                      <w:szCs w:val="21"/>
                    </w:rPr>
                  </w:pPr>
                </w:p>
              </w:tc>
              <w:tc>
                <w:tcPr>
                  <w:tcW w:w="771" w:type="pct"/>
                  <w:tcBorders>
                    <w:tl2br w:val="nil"/>
                    <w:tr2bl w:val="nil"/>
                  </w:tcBorders>
                  <w:noWrap w:val="0"/>
                  <w:vAlign w:val="center"/>
                </w:tcPr>
                <w:p w14:paraId="0103AFD2">
                  <w:pPr>
                    <w:pStyle w:val="67"/>
                    <w:ind w:right="35"/>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SW92</w:t>
                  </w:r>
                </w:p>
                <w:p w14:paraId="5E97D7BE">
                  <w:pPr>
                    <w:pStyle w:val="67"/>
                    <w:ind w:left="43" w:right="35"/>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900-001-S92</w:t>
                  </w:r>
                </w:p>
              </w:tc>
              <w:tc>
                <w:tcPr>
                  <w:tcW w:w="625" w:type="pct"/>
                  <w:tcBorders>
                    <w:tl2br w:val="nil"/>
                    <w:tr2bl w:val="nil"/>
                  </w:tcBorders>
                  <w:noWrap w:val="0"/>
                  <w:vAlign w:val="center"/>
                </w:tcPr>
                <w:p w14:paraId="6A6E6B5C">
                  <w:pPr>
                    <w:pStyle w:val="67"/>
                    <w:ind w:left="43" w:right="35"/>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0.001</w:t>
                  </w:r>
                </w:p>
              </w:tc>
              <w:tc>
                <w:tcPr>
                  <w:tcW w:w="608" w:type="pct"/>
                  <w:tcBorders>
                    <w:tl2br w:val="nil"/>
                    <w:tr2bl w:val="nil"/>
                  </w:tcBorders>
                  <w:noWrap w:val="0"/>
                  <w:vAlign w:val="center"/>
                </w:tcPr>
                <w:p w14:paraId="32104838">
                  <w:pPr>
                    <w:pStyle w:val="67"/>
                    <w:ind w:right="35"/>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纯水制备</w:t>
                  </w:r>
                </w:p>
              </w:tc>
              <w:tc>
                <w:tcPr>
                  <w:tcW w:w="489" w:type="pct"/>
                  <w:tcBorders>
                    <w:tl2br w:val="nil"/>
                    <w:tr2bl w:val="nil"/>
                  </w:tcBorders>
                  <w:noWrap w:val="0"/>
                  <w:vAlign w:val="center"/>
                </w:tcPr>
                <w:p w14:paraId="19D7D49E">
                  <w:pPr>
                    <w:pStyle w:val="67"/>
                    <w:ind w:left="43" w:right="35"/>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固态</w:t>
                  </w:r>
                </w:p>
              </w:tc>
              <w:tc>
                <w:tcPr>
                  <w:tcW w:w="436" w:type="pct"/>
                  <w:tcBorders>
                    <w:tl2br w:val="nil"/>
                    <w:tr2bl w:val="nil"/>
                  </w:tcBorders>
                  <w:noWrap w:val="0"/>
                  <w:vAlign w:val="center"/>
                </w:tcPr>
                <w:p w14:paraId="3F9555D3">
                  <w:pPr>
                    <w:pStyle w:val="67"/>
                    <w:ind w:left="43" w:right="35"/>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w:t>
                  </w:r>
                </w:p>
              </w:tc>
              <w:tc>
                <w:tcPr>
                  <w:tcW w:w="850" w:type="pct"/>
                  <w:tcBorders>
                    <w:tl2br w:val="nil"/>
                    <w:tr2bl w:val="nil"/>
                  </w:tcBorders>
                  <w:noWrap w:val="0"/>
                  <w:vAlign w:val="center"/>
                </w:tcPr>
                <w:p w14:paraId="36522A72">
                  <w:pPr>
                    <w:pStyle w:val="67"/>
                    <w:ind w:left="43" w:right="35"/>
                    <w:jc w:val="center"/>
                    <w:rPr>
                      <w:rFonts w:hint="eastAsia"/>
                      <w:color w:val="auto"/>
                      <w:sz w:val="21"/>
                      <w:szCs w:val="21"/>
                    </w:rPr>
                  </w:pPr>
                  <w:r>
                    <w:rPr>
                      <w:rFonts w:hint="eastAsia"/>
                      <w:color w:val="auto"/>
                      <w:sz w:val="21"/>
                      <w:szCs w:val="21"/>
                      <w:lang w:val="en-US" w:eastAsia="zh-CN"/>
                    </w:rPr>
                    <w:t>交供应商回收利用</w:t>
                  </w:r>
                </w:p>
              </w:tc>
            </w:tr>
            <w:tr w14:paraId="4FA0ED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8" w:type="pct"/>
                  <w:tcBorders>
                    <w:tl2br w:val="nil"/>
                    <w:tr2bl w:val="nil"/>
                  </w:tcBorders>
                  <w:shd w:val="clear" w:color="auto" w:fill="auto"/>
                  <w:noWrap w:val="0"/>
                  <w:vAlign w:val="center"/>
                </w:tcPr>
                <w:p w14:paraId="0E156E64">
                  <w:pPr>
                    <w:pStyle w:val="67"/>
                    <w:ind w:right="35" w:right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olor w:val="auto"/>
                      <w:sz w:val="21"/>
                      <w:szCs w:val="21"/>
                    </w:rPr>
                    <w:t>5</w:t>
                  </w:r>
                </w:p>
              </w:tc>
              <w:tc>
                <w:tcPr>
                  <w:tcW w:w="567" w:type="pct"/>
                  <w:tcBorders>
                    <w:tl2br w:val="nil"/>
                    <w:tr2bl w:val="nil"/>
                  </w:tcBorders>
                  <w:noWrap w:val="0"/>
                  <w:vAlign w:val="center"/>
                </w:tcPr>
                <w:p w14:paraId="4A07AC89">
                  <w:pPr>
                    <w:pStyle w:val="67"/>
                    <w:ind w:right="35"/>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废滤芯</w:t>
                  </w:r>
                </w:p>
              </w:tc>
              <w:tc>
                <w:tcPr>
                  <w:tcW w:w="392" w:type="pct"/>
                  <w:vMerge w:val="continue"/>
                  <w:tcBorders>
                    <w:tl2br w:val="nil"/>
                    <w:tr2bl w:val="nil"/>
                  </w:tcBorders>
                  <w:noWrap w:val="0"/>
                  <w:vAlign w:val="center"/>
                </w:tcPr>
                <w:p w14:paraId="5752DDFA">
                  <w:pPr>
                    <w:pStyle w:val="67"/>
                    <w:ind w:left="43" w:right="35"/>
                    <w:jc w:val="center"/>
                    <w:rPr>
                      <w:rFonts w:ascii="Times New Roman" w:hAnsi="Times New Roman"/>
                      <w:color w:val="auto"/>
                      <w:sz w:val="21"/>
                      <w:szCs w:val="21"/>
                    </w:rPr>
                  </w:pPr>
                </w:p>
              </w:tc>
              <w:tc>
                <w:tcPr>
                  <w:tcW w:w="771" w:type="pct"/>
                  <w:tcBorders>
                    <w:tl2br w:val="nil"/>
                    <w:tr2bl w:val="nil"/>
                  </w:tcBorders>
                  <w:noWrap w:val="0"/>
                  <w:vAlign w:val="center"/>
                </w:tcPr>
                <w:p w14:paraId="2F3D9047">
                  <w:pPr>
                    <w:pStyle w:val="67"/>
                    <w:ind w:right="35"/>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SW92</w:t>
                  </w:r>
                </w:p>
                <w:p w14:paraId="783BF3EF">
                  <w:pPr>
                    <w:pStyle w:val="67"/>
                    <w:ind w:left="43" w:right="35"/>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900-001-S92</w:t>
                  </w:r>
                </w:p>
              </w:tc>
              <w:tc>
                <w:tcPr>
                  <w:tcW w:w="625" w:type="pct"/>
                  <w:tcBorders>
                    <w:tl2br w:val="nil"/>
                    <w:tr2bl w:val="nil"/>
                  </w:tcBorders>
                  <w:noWrap w:val="0"/>
                  <w:vAlign w:val="center"/>
                </w:tcPr>
                <w:p w14:paraId="0306BA44">
                  <w:pPr>
                    <w:pStyle w:val="67"/>
                    <w:ind w:left="43" w:right="35"/>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0.002</w:t>
                  </w:r>
                </w:p>
              </w:tc>
              <w:tc>
                <w:tcPr>
                  <w:tcW w:w="608" w:type="pct"/>
                  <w:tcBorders>
                    <w:tl2br w:val="nil"/>
                    <w:tr2bl w:val="nil"/>
                  </w:tcBorders>
                  <w:shd w:val="clear" w:color="auto" w:fill="auto"/>
                  <w:noWrap w:val="0"/>
                  <w:vAlign w:val="center"/>
                </w:tcPr>
                <w:p w14:paraId="0D876C8A">
                  <w:pPr>
                    <w:pStyle w:val="67"/>
                    <w:ind w:right="35" w:right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olor w:val="auto"/>
                      <w:sz w:val="21"/>
                      <w:szCs w:val="21"/>
                      <w:lang w:val="en-US" w:eastAsia="zh-CN"/>
                    </w:rPr>
                    <w:t>纯水制备</w:t>
                  </w:r>
                </w:p>
              </w:tc>
              <w:tc>
                <w:tcPr>
                  <w:tcW w:w="489" w:type="pct"/>
                  <w:tcBorders>
                    <w:tl2br w:val="nil"/>
                    <w:tr2bl w:val="nil"/>
                  </w:tcBorders>
                  <w:shd w:val="clear" w:color="auto" w:fill="auto"/>
                  <w:noWrap w:val="0"/>
                  <w:vAlign w:val="center"/>
                </w:tcPr>
                <w:p w14:paraId="6E6B38B5">
                  <w:pPr>
                    <w:pStyle w:val="67"/>
                    <w:ind w:left="43" w:leftChars="0" w:right="35" w:right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olor w:val="auto"/>
                      <w:sz w:val="21"/>
                      <w:szCs w:val="21"/>
                      <w:lang w:val="en-US" w:eastAsia="zh-CN"/>
                    </w:rPr>
                    <w:t>固态</w:t>
                  </w:r>
                </w:p>
              </w:tc>
              <w:tc>
                <w:tcPr>
                  <w:tcW w:w="436" w:type="pct"/>
                  <w:tcBorders>
                    <w:tl2br w:val="nil"/>
                    <w:tr2bl w:val="nil"/>
                  </w:tcBorders>
                  <w:shd w:val="clear" w:color="auto" w:fill="auto"/>
                  <w:noWrap w:val="0"/>
                  <w:vAlign w:val="center"/>
                </w:tcPr>
                <w:p w14:paraId="05C7B085">
                  <w:pPr>
                    <w:pStyle w:val="67"/>
                    <w:ind w:left="43" w:leftChars="0" w:right="35" w:right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olor w:val="auto"/>
                      <w:sz w:val="21"/>
                      <w:szCs w:val="21"/>
                      <w:lang w:val="en-US" w:eastAsia="zh-CN"/>
                    </w:rPr>
                    <w:t>/</w:t>
                  </w:r>
                </w:p>
              </w:tc>
              <w:tc>
                <w:tcPr>
                  <w:tcW w:w="850" w:type="pct"/>
                  <w:tcBorders>
                    <w:tl2br w:val="nil"/>
                    <w:tr2bl w:val="nil"/>
                  </w:tcBorders>
                  <w:shd w:val="clear" w:color="auto" w:fill="auto"/>
                  <w:noWrap w:val="0"/>
                  <w:vAlign w:val="center"/>
                </w:tcPr>
                <w:p w14:paraId="4BFB7D32">
                  <w:pPr>
                    <w:pStyle w:val="67"/>
                    <w:ind w:left="43" w:leftChars="0" w:right="35" w:rightChars="0"/>
                    <w:jc w:val="center"/>
                    <w:rPr>
                      <w:rFonts w:hint="eastAsia" w:ascii="Calibri" w:hAnsi="Calibri" w:eastAsia="宋体" w:cs="Times New Roman"/>
                      <w:color w:val="auto"/>
                      <w:kern w:val="0"/>
                      <w:sz w:val="21"/>
                      <w:szCs w:val="21"/>
                      <w:lang w:val="en-US" w:eastAsia="zh-CN" w:bidi="ar-SA"/>
                    </w:rPr>
                  </w:pPr>
                  <w:r>
                    <w:rPr>
                      <w:rFonts w:hint="eastAsia"/>
                      <w:color w:val="auto"/>
                      <w:sz w:val="21"/>
                      <w:szCs w:val="21"/>
                      <w:lang w:val="en-US" w:eastAsia="zh-CN"/>
                    </w:rPr>
                    <w:t>交供应商回收利用</w:t>
                  </w:r>
                </w:p>
              </w:tc>
            </w:tr>
            <w:tr w14:paraId="4F85D5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8" w:type="pct"/>
                  <w:tcBorders>
                    <w:tl2br w:val="nil"/>
                    <w:tr2bl w:val="nil"/>
                  </w:tcBorders>
                  <w:shd w:val="clear" w:color="auto" w:fill="auto"/>
                  <w:noWrap w:val="0"/>
                  <w:vAlign w:val="center"/>
                </w:tcPr>
                <w:p w14:paraId="4490E7FC">
                  <w:pPr>
                    <w:pStyle w:val="67"/>
                    <w:ind w:right="35" w:rightChars="0"/>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color w:val="auto"/>
                      <w:sz w:val="21"/>
                      <w:szCs w:val="21"/>
                    </w:rPr>
                    <w:t>6</w:t>
                  </w:r>
                </w:p>
              </w:tc>
              <w:tc>
                <w:tcPr>
                  <w:tcW w:w="567" w:type="pct"/>
                  <w:tcBorders>
                    <w:tl2br w:val="nil"/>
                    <w:tr2bl w:val="nil"/>
                  </w:tcBorders>
                  <w:noWrap w:val="0"/>
                  <w:vAlign w:val="center"/>
                </w:tcPr>
                <w:p w14:paraId="5AE9ACCF">
                  <w:pPr>
                    <w:jc w:val="center"/>
                    <w:rPr>
                      <w:color w:val="auto"/>
                      <w:sz w:val="21"/>
                      <w:szCs w:val="21"/>
                    </w:rPr>
                  </w:pPr>
                  <w:r>
                    <w:rPr>
                      <w:color w:val="auto"/>
                      <w:sz w:val="21"/>
                      <w:szCs w:val="21"/>
                    </w:rPr>
                    <w:t>废</w:t>
                  </w:r>
                  <w:r>
                    <w:rPr>
                      <w:rFonts w:hint="eastAsia"/>
                      <w:color w:val="auto"/>
                      <w:sz w:val="21"/>
                      <w:szCs w:val="21"/>
                    </w:rPr>
                    <w:t>活性炭</w:t>
                  </w:r>
                </w:p>
              </w:tc>
              <w:tc>
                <w:tcPr>
                  <w:tcW w:w="392" w:type="pct"/>
                  <w:vMerge w:val="restart"/>
                  <w:tcBorders>
                    <w:tl2br w:val="nil"/>
                    <w:tr2bl w:val="nil"/>
                  </w:tcBorders>
                  <w:noWrap w:val="0"/>
                  <w:vAlign w:val="center"/>
                </w:tcPr>
                <w:p w14:paraId="48E79038">
                  <w:pPr>
                    <w:pStyle w:val="67"/>
                    <w:ind w:right="35"/>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危险固废</w:t>
                  </w:r>
                </w:p>
              </w:tc>
              <w:tc>
                <w:tcPr>
                  <w:tcW w:w="771" w:type="pct"/>
                  <w:tcBorders>
                    <w:tl2br w:val="nil"/>
                    <w:tr2bl w:val="nil"/>
                  </w:tcBorders>
                  <w:noWrap w:val="0"/>
                  <w:vAlign w:val="center"/>
                </w:tcPr>
                <w:p w14:paraId="6A834DDB">
                  <w:pPr>
                    <w:pStyle w:val="67"/>
                    <w:ind w:right="35"/>
                    <w:jc w:val="center"/>
                    <w:rPr>
                      <w:rFonts w:hint="eastAsia" w:ascii="Times New Roman" w:hAnsi="Times New Roman"/>
                      <w:color w:val="auto"/>
                      <w:sz w:val="21"/>
                      <w:szCs w:val="21"/>
                    </w:rPr>
                  </w:pPr>
                  <w:r>
                    <w:rPr>
                      <w:rFonts w:hint="eastAsia" w:ascii="Times New Roman" w:hAnsi="Times New Roman"/>
                      <w:color w:val="auto"/>
                      <w:sz w:val="21"/>
                      <w:szCs w:val="21"/>
                    </w:rPr>
                    <w:t>HW49</w:t>
                  </w:r>
                </w:p>
                <w:p w14:paraId="42BA069A">
                  <w:pPr>
                    <w:pStyle w:val="67"/>
                    <w:ind w:right="35"/>
                    <w:jc w:val="center"/>
                    <w:rPr>
                      <w:rFonts w:ascii="Times New Roman" w:hAnsi="Times New Roman"/>
                      <w:color w:val="auto"/>
                      <w:sz w:val="21"/>
                      <w:szCs w:val="21"/>
                    </w:rPr>
                  </w:pPr>
                  <w:r>
                    <w:rPr>
                      <w:rFonts w:hint="eastAsia" w:ascii="Times New Roman" w:hAnsi="Times New Roman"/>
                      <w:color w:val="auto"/>
                      <w:sz w:val="21"/>
                      <w:szCs w:val="21"/>
                    </w:rPr>
                    <w:t>900-039-49</w:t>
                  </w:r>
                </w:p>
              </w:tc>
              <w:tc>
                <w:tcPr>
                  <w:tcW w:w="625" w:type="pct"/>
                  <w:tcBorders>
                    <w:tl2br w:val="nil"/>
                    <w:tr2bl w:val="nil"/>
                  </w:tcBorders>
                  <w:noWrap w:val="0"/>
                  <w:vAlign w:val="center"/>
                </w:tcPr>
                <w:p w14:paraId="3405167E">
                  <w:pPr>
                    <w:pStyle w:val="67"/>
                    <w:ind w:left="43" w:right="35"/>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1.6247</w:t>
                  </w:r>
                </w:p>
              </w:tc>
              <w:tc>
                <w:tcPr>
                  <w:tcW w:w="608" w:type="pct"/>
                  <w:tcBorders>
                    <w:tl2br w:val="nil"/>
                    <w:tr2bl w:val="nil"/>
                  </w:tcBorders>
                  <w:noWrap w:val="0"/>
                  <w:vAlign w:val="center"/>
                </w:tcPr>
                <w:p w14:paraId="7A8255B2">
                  <w:pPr>
                    <w:pStyle w:val="67"/>
                    <w:ind w:left="43" w:right="35"/>
                    <w:jc w:val="center"/>
                    <w:rPr>
                      <w:rFonts w:ascii="Times New Roman" w:hAnsi="Times New Roman"/>
                      <w:color w:val="auto"/>
                      <w:sz w:val="21"/>
                      <w:szCs w:val="21"/>
                    </w:rPr>
                  </w:pPr>
                  <w:r>
                    <w:rPr>
                      <w:rFonts w:hint="eastAsia" w:ascii="Times New Roman" w:hAnsi="Times New Roman"/>
                      <w:color w:val="auto"/>
                      <w:sz w:val="21"/>
                      <w:szCs w:val="21"/>
                    </w:rPr>
                    <w:t>废气处理</w:t>
                  </w:r>
                </w:p>
              </w:tc>
              <w:tc>
                <w:tcPr>
                  <w:tcW w:w="489" w:type="pct"/>
                  <w:tcBorders>
                    <w:tl2br w:val="nil"/>
                    <w:tr2bl w:val="nil"/>
                  </w:tcBorders>
                  <w:noWrap w:val="0"/>
                  <w:vAlign w:val="center"/>
                </w:tcPr>
                <w:p w14:paraId="586B31F5">
                  <w:pPr>
                    <w:pStyle w:val="67"/>
                    <w:ind w:left="43" w:right="35"/>
                    <w:jc w:val="center"/>
                    <w:rPr>
                      <w:rFonts w:ascii="Times New Roman" w:hAnsi="Times New Roman"/>
                      <w:color w:val="auto"/>
                      <w:sz w:val="21"/>
                      <w:szCs w:val="21"/>
                    </w:rPr>
                  </w:pPr>
                  <w:r>
                    <w:rPr>
                      <w:rFonts w:ascii="Times New Roman" w:hAnsi="Times New Roman"/>
                      <w:color w:val="auto"/>
                      <w:sz w:val="21"/>
                      <w:szCs w:val="21"/>
                    </w:rPr>
                    <w:t>固态</w:t>
                  </w:r>
                </w:p>
              </w:tc>
              <w:tc>
                <w:tcPr>
                  <w:tcW w:w="436" w:type="pct"/>
                  <w:tcBorders>
                    <w:tl2br w:val="nil"/>
                    <w:tr2bl w:val="nil"/>
                  </w:tcBorders>
                  <w:noWrap w:val="0"/>
                  <w:vAlign w:val="center"/>
                </w:tcPr>
                <w:p w14:paraId="1D8FA729">
                  <w:pPr>
                    <w:pStyle w:val="67"/>
                    <w:ind w:left="43" w:right="35"/>
                    <w:jc w:val="center"/>
                    <w:rPr>
                      <w:rFonts w:ascii="Times New Roman" w:hAnsi="Times New Roman"/>
                      <w:color w:val="auto"/>
                      <w:sz w:val="21"/>
                      <w:szCs w:val="21"/>
                    </w:rPr>
                  </w:pPr>
                  <w:r>
                    <w:rPr>
                      <w:rFonts w:ascii="Times New Roman" w:hAnsi="Times New Roman"/>
                      <w:color w:val="auto"/>
                      <w:sz w:val="21"/>
                      <w:szCs w:val="21"/>
                    </w:rPr>
                    <w:t>T</w:t>
                  </w:r>
                </w:p>
              </w:tc>
              <w:tc>
                <w:tcPr>
                  <w:tcW w:w="850" w:type="pct"/>
                  <w:vMerge w:val="restart"/>
                  <w:tcBorders>
                    <w:tl2br w:val="nil"/>
                    <w:tr2bl w:val="nil"/>
                  </w:tcBorders>
                  <w:noWrap w:val="0"/>
                  <w:vAlign w:val="center"/>
                </w:tcPr>
                <w:p w14:paraId="11A4453C">
                  <w:pPr>
                    <w:pStyle w:val="67"/>
                    <w:ind w:left="43" w:right="35"/>
                    <w:jc w:val="center"/>
                    <w:rPr>
                      <w:rFonts w:ascii="Times New Roman" w:hAnsi="Times New Roman"/>
                      <w:color w:val="auto"/>
                      <w:sz w:val="21"/>
                      <w:szCs w:val="21"/>
                    </w:rPr>
                  </w:pPr>
                  <w:r>
                    <w:rPr>
                      <w:rFonts w:hint="eastAsia" w:ascii="Times New Roman" w:hAnsi="Times New Roman"/>
                      <w:color w:val="auto"/>
                      <w:sz w:val="21"/>
                      <w:szCs w:val="21"/>
                    </w:rPr>
                    <w:t>危废贮存库暂存，定期交有资质单位处置</w:t>
                  </w:r>
                </w:p>
              </w:tc>
            </w:tr>
            <w:tr w14:paraId="3746AC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8" w:type="pct"/>
                  <w:tcBorders>
                    <w:tl2br w:val="nil"/>
                    <w:tr2bl w:val="nil"/>
                  </w:tcBorders>
                  <w:shd w:val="clear" w:color="auto" w:fill="auto"/>
                  <w:noWrap w:val="0"/>
                  <w:vAlign w:val="center"/>
                </w:tcPr>
                <w:p w14:paraId="39E3A7F8">
                  <w:pPr>
                    <w:pStyle w:val="67"/>
                    <w:ind w:right="35"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olor w:val="auto"/>
                      <w:kern w:val="0"/>
                      <w:sz w:val="21"/>
                      <w:szCs w:val="21"/>
                      <w:lang w:val="en-US" w:eastAsia="zh-CN" w:bidi="ar-SA"/>
                    </w:rPr>
                    <w:t>7</w:t>
                  </w:r>
                </w:p>
              </w:tc>
              <w:tc>
                <w:tcPr>
                  <w:tcW w:w="567" w:type="pct"/>
                  <w:tcBorders>
                    <w:tl2br w:val="nil"/>
                    <w:tr2bl w:val="nil"/>
                  </w:tcBorders>
                  <w:noWrap w:val="0"/>
                  <w:vAlign w:val="center"/>
                </w:tcPr>
                <w:p w14:paraId="15A75EE6">
                  <w:pPr>
                    <w:pStyle w:val="67"/>
                    <w:ind w:right="35"/>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废液</w:t>
                  </w:r>
                </w:p>
              </w:tc>
              <w:tc>
                <w:tcPr>
                  <w:tcW w:w="392" w:type="pct"/>
                  <w:vMerge w:val="continue"/>
                  <w:tcBorders>
                    <w:tl2br w:val="nil"/>
                    <w:tr2bl w:val="nil"/>
                  </w:tcBorders>
                  <w:noWrap w:val="0"/>
                  <w:vAlign w:val="center"/>
                </w:tcPr>
                <w:p w14:paraId="054CEA53">
                  <w:pPr>
                    <w:pStyle w:val="67"/>
                    <w:ind w:right="35"/>
                    <w:jc w:val="center"/>
                    <w:rPr>
                      <w:rFonts w:ascii="Times New Roman" w:hAnsi="Times New Roman"/>
                      <w:color w:val="auto"/>
                      <w:sz w:val="21"/>
                      <w:szCs w:val="21"/>
                    </w:rPr>
                  </w:pPr>
                </w:p>
              </w:tc>
              <w:tc>
                <w:tcPr>
                  <w:tcW w:w="771" w:type="pct"/>
                  <w:tcBorders>
                    <w:tl2br w:val="nil"/>
                    <w:tr2bl w:val="nil"/>
                  </w:tcBorders>
                  <w:noWrap w:val="0"/>
                  <w:vAlign w:val="center"/>
                </w:tcPr>
                <w:p w14:paraId="13447F44">
                  <w:pPr>
                    <w:pStyle w:val="67"/>
                    <w:ind w:right="35"/>
                    <w:jc w:val="center"/>
                    <w:rPr>
                      <w:rFonts w:hint="eastAsia" w:ascii="Times New Roman" w:hAnsi="Times New Roman"/>
                      <w:color w:val="auto"/>
                      <w:sz w:val="21"/>
                      <w:szCs w:val="21"/>
                    </w:rPr>
                  </w:pPr>
                  <w:r>
                    <w:rPr>
                      <w:rFonts w:hint="eastAsia" w:ascii="Times New Roman" w:hAnsi="Times New Roman"/>
                      <w:color w:val="auto"/>
                      <w:sz w:val="21"/>
                      <w:szCs w:val="21"/>
                    </w:rPr>
                    <w:t>HW49</w:t>
                  </w:r>
                </w:p>
                <w:p w14:paraId="37413FBC">
                  <w:pPr>
                    <w:pStyle w:val="67"/>
                    <w:ind w:right="35"/>
                    <w:jc w:val="center"/>
                    <w:rPr>
                      <w:rFonts w:ascii="Times New Roman" w:hAnsi="Times New Roman"/>
                      <w:color w:val="auto"/>
                      <w:sz w:val="21"/>
                      <w:szCs w:val="21"/>
                    </w:rPr>
                  </w:pPr>
                  <w:r>
                    <w:rPr>
                      <w:rFonts w:hint="eastAsia" w:ascii="Times New Roman" w:hAnsi="Times New Roman"/>
                      <w:color w:val="auto"/>
                      <w:sz w:val="21"/>
                      <w:szCs w:val="21"/>
                    </w:rPr>
                    <w:t>900-047-49</w:t>
                  </w:r>
                </w:p>
              </w:tc>
              <w:tc>
                <w:tcPr>
                  <w:tcW w:w="625" w:type="pct"/>
                  <w:tcBorders>
                    <w:tl2br w:val="nil"/>
                    <w:tr2bl w:val="nil"/>
                  </w:tcBorders>
                  <w:noWrap w:val="0"/>
                  <w:vAlign w:val="center"/>
                </w:tcPr>
                <w:p w14:paraId="3C557E3F">
                  <w:pPr>
                    <w:pStyle w:val="67"/>
                    <w:ind w:left="43" w:right="35"/>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4.628</w:t>
                  </w:r>
                </w:p>
              </w:tc>
              <w:tc>
                <w:tcPr>
                  <w:tcW w:w="608" w:type="pct"/>
                  <w:tcBorders>
                    <w:tl2br w:val="nil"/>
                    <w:tr2bl w:val="nil"/>
                  </w:tcBorders>
                  <w:noWrap w:val="0"/>
                  <w:vAlign w:val="center"/>
                </w:tcPr>
                <w:p w14:paraId="50A475F9">
                  <w:pPr>
                    <w:pStyle w:val="67"/>
                    <w:ind w:left="43" w:leftChars="0" w:right="35" w:rightChars="0"/>
                    <w:jc w:val="center"/>
                    <w:rPr>
                      <w:rFonts w:ascii="Times New Roman" w:hAnsi="Times New Roman"/>
                      <w:color w:val="auto"/>
                      <w:sz w:val="21"/>
                      <w:szCs w:val="21"/>
                    </w:rPr>
                  </w:pPr>
                  <w:r>
                    <w:rPr>
                      <w:rFonts w:ascii="Times New Roman" w:hAnsi="Times New Roman"/>
                      <w:color w:val="auto"/>
                      <w:sz w:val="21"/>
                      <w:szCs w:val="21"/>
                    </w:rPr>
                    <w:t>生产过程</w:t>
                  </w:r>
                </w:p>
              </w:tc>
              <w:tc>
                <w:tcPr>
                  <w:tcW w:w="489" w:type="pct"/>
                  <w:tcBorders>
                    <w:tl2br w:val="nil"/>
                    <w:tr2bl w:val="nil"/>
                  </w:tcBorders>
                  <w:noWrap w:val="0"/>
                  <w:vAlign w:val="center"/>
                </w:tcPr>
                <w:p w14:paraId="2FCF268D">
                  <w:pPr>
                    <w:pStyle w:val="67"/>
                    <w:ind w:left="43" w:right="35"/>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rPr>
                    <w:t>液</w:t>
                  </w:r>
                  <w:r>
                    <w:rPr>
                      <w:rFonts w:hint="eastAsia" w:ascii="Times New Roman" w:hAnsi="Times New Roman"/>
                      <w:color w:val="auto"/>
                      <w:sz w:val="21"/>
                      <w:szCs w:val="21"/>
                      <w:lang w:val="en-US" w:eastAsia="zh-CN"/>
                    </w:rPr>
                    <w:t>态</w:t>
                  </w:r>
                </w:p>
              </w:tc>
              <w:tc>
                <w:tcPr>
                  <w:tcW w:w="436" w:type="pct"/>
                  <w:tcBorders>
                    <w:tl2br w:val="nil"/>
                    <w:tr2bl w:val="nil"/>
                  </w:tcBorders>
                  <w:noWrap w:val="0"/>
                  <w:vAlign w:val="center"/>
                </w:tcPr>
                <w:p w14:paraId="0F477569">
                  <w:pPr>
                    <w:pStyle w:val="67"/>
                    <w:ind w:left="43" w:right="35"/>
                    <w:jc w:val="center"/>
                    <w:rPr>
                      <w:rFonts w:ascii="Times New Roman" w:hAnsi="Times New Roman"/>
                      <w:color w:val="auto"/>
                      <w:sz w:val="21"/>
                      <w:szCs w:val="21"/>
                    </w:rPr>
                  </w:pPr>
                  <w:r>
                    <w:rPr>
                      <w:rFonts w:ascii="Times New Roman" w:hAnsi="Times New Roman"/>
                      <w:color w:val="auto"/>
                      <w:sz w:val="21"/>
                      <w:szCs w:val="21"/>
                    </w:rPr>
                    <w:t>I</w:t>
                  </w:r>
                </w:p>
              </w:tc>
              <w:tc>
                <w:tcPr>
                  <w:tcW w:w="850" w:type="pct"/>
                  <w:vMerge w:val="continue"/>
                  <w:tcBorders>
                    <w:tl2br w:val="nil"/>
                    <w:tr2bl w:val="nil"/>
                  </w:tcBorders>
                  <w:noWrap w:val="0"/>
                  <w:vAlign w:val="center"/>
                </w:tcPr>
                <w:p w14:paraId="4ECA0D6E">
                  <w:pPr>
                    <w:pStyle w:val="67"/>
                    <w:ind w:left="43" w:right="35"/>
                    <w:jc w:val="center"/>
                    <w:rPr>
                      <w:rFonts w:ascii="Times New Roman" w:hAnsi="Times New Roman"/>
                      <w:color w:val="auto"/>
                      <w:sz w:val="21"/>
                      <w:szCs w:val="21"/>
                    </w:rPr>
                  </w:pPr>
                </w:p>
              </w:tc>
            </w:tr>
            <w:tr w14:paraId="139D2D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8" w:type="pct"/>
                  <w:tcBorders>
                    <w:tl2br w:val="nil"/>
                    <w:tr2bl w:val="nil"/>
                  </w:tcBorders>
                  <w:noWrap w:val="0"/>
                  <w:vAlign w:val="center"/>
                </w:tcPr>
                <w:p w14:paraId="2DDEC7EA">
                  <w:pPr>
                    <w:pStyle w:val="67"/>
                    <w:ind w:right="35" w:rightChars="0"/>
                    <w:jc w:val="center"/>
                    <w:rPr>
                      <w:rFonts w:hint="default" w:ascii="Times New Roman" w:hAnsi="Times New Roman"/>
                      <w:color w:val="auto"/>
                      <w:kern w:val="0"/>
                      <w:sz w:val="21"/>
                      <w:szCs w:val="21"/>
                      <w:lang w:val="en-US" w:eastAsia="zh-CN" w:bidi="ar-SA"/>
                    </w:rPr>
                  </w:pPr>
                  <w:r>
                    <w:rPr>
                      <w:rFonts w:hint="eastAsia" w:ascii="Times New Roman" w:hAnsi="Times New Roman"/>
                      <w:color w:val="auto"/>
                      <w:kern w:val="0"/>
                      <w:sz w:val="21"/>
                      <w:szCs w:val="21"/>
                      <w:lang w:val="en-US" w:eastAsia="zh-CN" w:bidi="ar-SA"/>
                    </w:rPr>
                    <w:t>8</w:t>
                  </w:r>
                </w:p>
              </w:tc>
              <w:tc>
                <w:tcPr>
                  <w:tcW w:w="567" w:type="pct"/>
                  <w:tcBorders>
                    <w:tl2br w:val="nil"/>
                    <w:tr2bl w:val="nil"/>
                  </w:tcBorders>
                  <w:noWrap w:val="0"/>
                  <w:vAlign w:val="center"/>
                </w:tcPr>
                <w:p w14:paraId="5478A9AF">
                  <w:pPr>
                    <w:pStyle w:val="67"/>
                    <w:ind w:right="35"/>
                    <w:jc w:val="center"/>
                    <w:rPr>
                      <w:rFonts w:ascii="Times New Roman" w:hAnsi="Times New Roman"/>
                      <w:color w:val="auto"/>
                      <w:sz w:val="21"/>
                      <w:szCs w:val="21"/>
                    </w:rPr>
                  </w:pPr>
                  <w:r>
                    <w:rPr>
                      <w:rFonts w:hint="eastAsia" w:ascii="Times New Roman" w:hAnsi="Times New Roman"/>
                      <w:color w:val="auto"/>
                      <w:sz w:val="21"/>
                      <w:szCs w:val="21"/>
                    </w:rPr>
                    <w:t>废试剂瓶</w:t>
                  </w:r>
                </w:p>
              </w:tc>
              <w:tc>
                <w:tcPr>
                  <w:tcW w:w="392" w:type="pct"/>
                  <w:vMerge w:val="continue"/>
                  <w:tcBorders>
                    <w:tl2br w:val="nil"/>
                    <w:tr2bl w:val="nil"/>
                  </w:tcBorders>
                  <w:noWrap w:val="0"/>
                  <w:vAlign w:val="center"/>
                </w:tcPr>
                <w:p w14:paraId="278F7A6D">
                  <w:pPr>
                    <w:pStyle w:val="67"/>
                    <w:ind w:right="35"/>
                    <w:jc w:val="center"/>
                    <w:rPr>
                      <w:rFonts w:ascii="Times New Roman" w:hAnsi="Times New Roman"/>
                      <w:color w:val="auto"/>
                      <w:sz w:val="21"/>
                      <w:szCs w:val="21"/>
                    </w:rPr>
                  </w:pPr>
                </w:p>
              </w:tc>
              <w:tc>
                <w:tcPr>
                  <w:tcW w:w="771" w:type="pct"/>
                  <w:tcBorders>
                    <w:tl2br w:val="nil"/>
                    <w:tr2bl w:val="nil"/>
                  </w:tcBorders>
                  <w:noWrap w:val="0"/>
                  <w:vAlign w:val="center"/>
                </w:tcPr>
                <w:p w14:paraId="6B11A1CC">
                  <w:pPr>
                    <w:pStyle w:val="67"/>
                    <w:ind w:right="35"/>
                    <w:jc w:val="center"/>
                    <w:rPr>
                      <w:rFonts w:hint="eastAsia" w:ascii="Times New Roman" w:hAnsi="Times New Roman"/>
                      <w:color w:val="auto"/>
                      <w:sz w:val="21"/>
                      <w:szCs w:val="21"/>
                    </w:rPr>
                  </w:pPr>
                  <w:r>
                    <w:rPr>
                      <w:rFonts w:hint="eastAsia" w:ascii="Times New Roman" w:hAnsi="Times New Roman"/>
                      <w:color w:val="auto"/>
                      <w:sz w:val="21"/>
                      <w:szCs w:val="21"/>
                    </w:rPr>
                    <w:t>HW49</w:t>
                  </w:r>
                </w:p>
                <w:p w14:paraId="1DDB9CDC">
                  <w:pPr>
                    <w:pStyle w:val="67"/>
                    <w:ind w:right="35"/>
                    <w:jc w:val="center"/>
                    <w:rPr>
                      <w:rFonts w:ascii="Times New Roman" w:hAnsi="Times New Roman"/>
                      <w:color w:val="auto"/>
                      <w:sz w:val="21"/>
                      <w:szCs w:val="21"/>
                    </w:rPr>
                  </w:pPr>
                  <w:r>
                    <w:rPr>
                      <w:rFonts w:hint="eastAsia" w:ascii="Times New Roman" w:hAnsi="Times New Roman"/>
                      <w:color w:val="auto"/>
                      <w:sz w:val="21"/>
                      <w:szCs w:val="21"/>
                    </w:rPr>
                    <w:t>900-047-49</w:t>
                  </w:r>
                </w:p>
              </w:tc>
              <w:tc>
                <w:tcPr>
                  <w:tcW w:w="625" w:type="pct"/>
                  <w:tcBorders>
                    <w:tl2br w:val="nil"/>
                    <w:tr2bl w:val="nil"/>
                  </w:tcBorders>
                  <w:noWrap w:val="0"/>
                  <w:vAlign w:val="center"/>
                </w:tcPr>
                <w:p w14:paraId="4D0205E4">
                  <w:pPr>
                    <w:pStyle w:val="67"/>
                    <w:ind w:left="43" w:right="35"/>
                    <w:jc w:val="center"/>
                    <w:rPr>
                      <w:rFonts w:ascii="Times New Roman" w:hAnsi="Times New Roman"/>
                      <w:color w:val="auto"/>
                      <w:sz w:val="21"/>
                      <w:szCs w:val="21"/>
                    </w:rPr>
                  </w:pPr>
                  <w:r>
                    <w:rPr>
                      <w:rFonts w:hint="eastAsia" w:ascii="Times New Roman" w:hAnsi="Times New Roman"/>
                      <w:color w:val="auto"/>
                      <w:sz w:val="21"/>
                      <w:szCs w:val="21"/>
                    </w:rPr>
                    <w:t>0.02</w:t>
                  </w:r>
                </w:p>
              </w:tc>
              <w:tc>
                <w:tcPr>
                  <w:tcW w:w="608" w:type="pct"/>
                  <w:tcBorders>
                    <w:tl2br w:val="nil"/>
                    <w:tr2bl w:val="nil"/>
                  </w:tcBorders>
                  <w:noWrap w:val="0"/>
                  <w:vAlign w:val="center"/>
                </w:tcPr>
                <w:p w14:paraId="211BAC73">
                  <w:pPr>
                    <w:pStyle w:val="67"/>
                    <w:ind w:right="35" w:rightChars="0"/>
                    <w:jc w:val="center"/>
                    <w:rPr>
                      <w:rFonts w:ascii="Times New Roman" w:hAnsi="Times New Roman"/>
                      <w:color w:val="auto"/>
                      <w:sz w:val="21"/>
                      <w:szCs w:val="21"/>
                    </w:rPr>
                  </w:pPr>
                  <w:r>
                    <w:rPr>
                      <w:rFonts w:ascii="Times New Roman" w:hAnsi="Times New Roman"/>
                      <w:color w:val="auto"/>
                      <w:sz w:val="21"/>
                      <w:szCs w:val="21"/>
                    </w:rPr>
                    <w:t>生产过程</w:t>
                  </w:r>
                </w:p>
              </w:tc>
              <w:tc>
                <w:tcPr>
                  <w:tcW w:w="489" w:type="pct"/>
                  <w:tcBorders>
                    <w:tl2br w:val="nil"/>
                    <w:tr2bl w:val="nil"/>
                  </w:tcBorders>
                  <w:noWrap w:val="0"/>
                  <w:vAlign w:val="center"/>
                </w:tcPr>
                <w:p w14:paraId="5CC93745">
                  <w:pPr>
                    <w:pStyle w:val="67"/>
                    <w:ind w:left="43" w:right="35"/>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rPr>
                    <w:t>固</w:t>
                  </w:r>
                  <w:r>
                    <w:rPr>
                      <w:rFonts w:hint="eastAsia" w:ascii="Times New Roman" w:hAnsi="Times New Roman"/>
                      <w:color w:val="auto"/>
                      <w:sz w:val="21"/>
                      <w:szCs w:val="21"/>
                      <w:lang w:val="en-US" w:eastAsia="zh-CN"/>
                    </w:rPr>
                    <w:t>态</w:t>
                  </w:r>
                </w:p>
              </w:tc>
              <w:tc>
                <w:tcPr>
                  <w:tcW w:w="436" w:type="pct"/>
                  <w:tcBorders>
                    <w:tl2br w:val="nil"/>
                    <w:tr2bl w:val="nil"/>
                  </w:tcBorders>
                  <w:noWrap w:val="0"/>
                  <w:vAlign w:val="center"/>
                </w:tcPr>
                <w:p w14:paraId="7EA7FA18">
                  <w:pPr>
                    <w:pStyle w:val="67"/>
                    <w:ind w:left="43" w:right="35"/>
                    <w:jc w:val="center"/>
                    <w:rPr>
                      <w:rFonts w:ascii="Times New Roman" w:hAnsi="Times New Roman"/>
                      <w:color w:val="auto"/>
                      <w:sz w:val="21"/>
                      <w:szCs w:val="21"/>
                    </w:rPr>
                  </w:pPr>
                  <w:r>
                    <w:rPr>
                      <w:rFonts w:ascii="Times New Roman" w:hAnsi="Times New Roman"/>
                      <w:color w:val="auto"/>
                      <w:sz w:val="21"/>
                      <w:szCs w:val="21"/>
                    </w:rPr>
                    <w:t>I</w:t>
                  </w:r>
                </w:p>
              </w:tc>
              <w:tc>
                <w:tcPr>
                  <w:tcW w:w="850" w:type="pct"/>
                  <w:vMerge w:val="continue"/>
                  <w:tcBorders>
                    <w:tl2br w:val="nil"/>
                    <w:tr2bl w:val="nil"/>
                  </w:tcBorders>
                  <w:noWrap w:val="0"/>
                  <w:vAlign w:val="center"/>
                </w:tcPr>
                <w:p w14:paraId="710FC4E2">
                  <w:pPr>
                    <w:pStyle w:val="67"/>
                    <w:ind w:left="43" w:right="35"/>
                    <w:jc w:val="center"/>
                    <w:rPr>
                      <w:rFonts w:ascii="Times New Roman" w:hAnsi="Times New Roman"/>
                      <w:color w:val="auto"/>
                      <w:sz w:val="21"/>
                      <w:szCs w:val="21"/>
                    </w:rPr>
                  </w:pPr>
                </w:p>
              </w:tc>
            </w:tr>
          </w:tbl>
          <w:p w14:paraId="393F23CA">
            <w:pPr>
              <w:numPr>
                <w:ilvl w:val="0"/>
                <w:numId w:val="0"/>
              </w:numPr>
              <w:adjustRightInd w:val="0"/>
              <w:snapToGrid w:val="0"/>
              <w:spacing w:line="360" w:lineRule="auto"/>
              <w:rPr>
                <w:rFonts w:hint="default" w:ascii="Times New Roman" w:hAnsi="Times New Roman" w:cs="Times New Roman"/>
                <w:b/>
                <w:bCs w:val="0"/>
                <w:color w:val="auto"/>
                <w:spacing w:val="0"/>
                <w:sz w:val="24"/>
                <w:szCs w:val="24"/>
                <w:lang w:val="en-US" w:eastAsia="zh-CN"/>
              </w:rPr>
            </w:pPr>
            <w:r>
              <w:rPr>
                <w:rFonts w:hint="default" w:ascii="Times New Roman" w:hAnsi="Times New Roman" w:cs="Times New Roman"/>
                <w:b/>
                <w:bCs w:val="0"/>
                <w:color w:val="auto"/>
                <w:spacing w:val="0"/>
                <w:sz w:val="24"/>
                <w:szCs w:val="24"/>
                <w:lang w:val="en-US" w:eastAsia="zh-CN"/>
              </w:rPr>
              <w:t>4.2固体废物环境管理要求</w:t>
            </w:r>
          </w:p>
          <w:p w14:paraId="1B1A21D8">
            <w:pPr>
              <w:tabs>
                <w:tab w:val="left" w:pos="2851"/>
              </w:tabs>
              <w:adjustRightInd w:val="0"/>
              <w:snapToGrid w:val="0"/>
              <w:spacing w:line="360" w:lineRule="auto"/>
              <w:ind w:firstLine="480" w:firstLineChars="200"/>
              <w:rPr>
                <w:rFonts w:hint="eastAsia" w:cs="宋体"/>
                <w:color w:val="auto"/>
                <w:kern w:val="0"/>
                <w:sz w:val="24"/>
              </w:rPr>
            </w:pPr>
            <w:r>
              <w:rPr>
                <w:rFonts w:hint="eastAsia" w:cs="宋体"/>
                <w:color w:val="auto"/>
                <w:kern w:val="0"/>
                <w:sz w:val="24"/>
              </w:rPr>
              <w:t>本环评要求，建设单位应做好项目各固废分类收集，严格按照</w:t>
            </w:r>
            <w:r>
              <w:rPr>
                <w:rFonts w:hint="eastAsia" w:cs="宋体"/>
                <w:color w:val="auto"/>
                <w:kern w:val="0"/>
                <w:sz w:val="24"/>
                <w:lang w:eastAsia="zh-CN"/>
              </w:rPr>
              <w:t>《中华人民共和国固体废物污染环境防治法》（</w:t>
            </w:r>
            <w:r>
              <w:rPr>
                <w:rFonts w:hint="eastAsia" w:cs="宋体"/>
                <w:color w:val="auto"/>
                <w:kern w:val="0"/>
                <w:sz w:val="24"/>
                <w:lang w:val="en-US" w:eastAsia="zh-CN"/>
              </w:rPr>
              <w:t>2020年修订</w:t>
            </w:r>
            <w:r>
              <w:rPr>
                <w:rFonts w:hint="eastAsia" w:cs="宋体"/>
                <w:color w:val="auto"/>
                <w:kern w:val="0"/>
                <w:sz w:val="24"/>
                <w:lang w:eastAsia="zh-CN"/>
              </w:rPr>
              <w:t>）</w:t>
            </w:r>
            <w:r>
              <w:rPr>
                <w:rFonts w:hint="eastAsia" w:cs="宋体"/>
                <w:color w:val="auto"/>
                <w:kern w:val="0"/>
                <w:sz w:val="24"/>
              </w:rPr>
              <w:t>、《危险废物贮存污染控制标准》（GB18597-2023）要求设置一般固废暂存区、危废贮存库；生活垃圾设置垃圾桶。</w:t>
            </w:r>
          </w:p>
          <w:p w14:paraId="50229044">
            <w:pPr>
              <w:tabs>
                <w:tab w:val="left" w:pos="2851"/>
              </w:tabs>
              <w:adjustRightInd w:val="0"/>
              <w:snapToGrid w:val="0"/>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一般</w:t>
            </w:r>
            <w:r>
              <w:rPr>
                <w:rFonts w:hint="eastAsia" w:ascii="Times New Roman" w:hAnsi="Times New Roman"/>
                <w:color w:val="auto"/>
                <w:sz w:val="24"/>
                <w:szCs w:val="24"/>
                <w:highlight w:val="none"/>
                <w:lang w:val="en-US" w:eastAsia="zh-CN"/>
              </w:rPr>
              <w:t>固废</w:t>
            </w:r>
            <w:r>
              <w:rPr>
                <w:rFonts w:ascii="Times New Roman" w:hAnsi="Times New Roman"/>
                <w:color w:val="auto"/>
                <w:sz w:val="24"/>
                <w:szCs w:val="24"/>
                <w:highlight w:val="none"/>
              </w:rPr>
              <w:t>应执行《一般工业固体废物贮存、处置场污染控制标准》（GB18599-20</w:t>
            </w:r>
            <w:r>
              <w:rPr>
                <w:rFonts w:hint="eastAsia" w:ascii="Times New Roman" w:hAnsi="Times New Roman"/>
                <w:color w:val="auto"/>
                <w:sz w:val="24"/>
                <w:szCs w:val="24"/>
                <w:highlight w:val="none"/>
                <w:lang w:val="en-US" w:eastAsia="zh-CN"/>
              </w:rPr>
              <w:t>20</w:t>
            </w:r>
            <w:r>
              <w:rPr>
                <w:rFonts w:ascii="Times New Roman" w:hAnsi="Times New Roman"/>
                <w:color w:val="auto"/>
                <w:sz w:val="24"/>
                <w:szCs w:val="24"/>
                <w:highlight w:val="none"/>
              </w:rPr>
              <w:t>）中的有关规定，各类废物可分类收集、定点堆放在</w:t>
            </w:r>
            <w:r>
              <w:rPr>
                <w:rFonts w:hint="eastAsia" w:ascii="Times New Roman" w:hAnsi="Times New Roman"/>
                <w:color w:val="auto"/>
                <w:sz w:val="24"/>
                <w:szCs w:val="24"/>
                <w:highlight w:val="none"/>
                <w:lang w:val="en-US" w:eastAsia="zh-CN"/>
              </w:rPr>
              <w:t>一般固废暂存区</w:t>
            </w:r>
            <w:r>
              <w:rPr>
                <w:rFonts w:ascii="Times New Roman" w:hAnsi="Times New Roman"/>
                <w:color w:val="auto"/>
                <w:sz w:val="24"/>
                <w:szCs w:val="24"/>
                <w:highlight w:val="none"/>
              </w:rPr>
              <w:t>，同时定期外运处理。</w:t>
            </w:r>
          </w:p>
          <w:p w14:paraId="696883DD">
            <w:pPr>
              <w:tabs>
                <w:tab w:val="left" w:pos="2851"/>
              </w:tabs>
              <w:adjustRightInd w:val="0"/>
              <w:snapToGrid w:val="0"/>
              <w:spacing w:line="360" w:lineRule="auto"/>
              <w:ind w:firstLine="480" w:firstLineChars="200"/>
              <w:rPr>
                <w:rFonts w:cs="宋体"/>
                <w:color w:val="auto"/>
                <w:kern w:val="0"/>
                <w:sz w:val="24"/>
              </w:rPr>
            </w:pPr>
            <w:r>
              <w:rPr>
                <w:rFonts w:hint="eastAsia" w:cs="宋体"/>
                <w:color w:val="auto"/>
                <w:kern w:val="0"/>
                <w:sz w:val="24"/>
              </w:rPr>
              <w:t>根据《危险废物贮存污染控制标准》（GB18597-2023），</w:t>
            </w:r>
            <w:r>
              <w:rPr>
                <w:rFonts w:hint="eastAsia" w:cs="宋体"/>
                <w:color w:val="auto"/>
                <w:kern w:val="0"/>
                <w:sz w:val="24"/>
                <w:szCs w:val="24"/>
              </w:rPr>
              <w:t>按要求</w:t>
            </w:r>
            <w:r>
              <w:rPr>
                <w:rFonts w:hint="eastAsia" w:cs="宋体"/>
                <w:color w:val="auto"/>
                <w:kern w:val="0"/>
                <w:sz w:val="24"/>
                <w:szCs w:val="24"/>
                <w:lang w:val="en-US" w:eastAsia="zh-CN"/>
              </w:rPr>
              <w:t>在厂房</w:t>
            </w:r>
            <w:r>
              <w:rPr>
                <w:rFonts w:hint="eastAsia"/>
                <w:color w:val="auto"/>
                <w:sz w:val="24"/>
                <w:szCs w:val="24"/>
                <w:lang w:val="en-US" w:eastAsia="zh-CN"/>
              </w:rPr>
              <w:t>西侧</w:t>
            </w:r>
            <w:r>
              <w:rPr>
                <w:rFonts w:hint="eastAsia" w:cs="宋体"/>
                <w:color w:val="auto"/>
                <w:kern w:val="0"/>
                <w:sz w:val="24"/>
                <w:szCs w:val="24"/>
              </w:rPr>
              <w:t>设置1间</w:t>
            </w:r>
            <w:r>
              <w:rPr>
                <w:rFonts w:hint="eastAsia"/>
                <w:color w:val="auto"/>
                <w:sz w:val="24"/>
                <w:szCs w:val="24"/>
              </w:rPr>
              <w:t>面积约5</w:t>
            </w:r>
            <w:r>
              <w:rPr>
                <w:rFonts w:hint="eastAsia"/>
                <w:color w:val="auto"/>
                <w:kern w:val="0"/>
                <w:sz w:val="24"/>
                <w:szCs w:val="24"/>
              </w:rPr>
              <w:t xml:space="preserve"> m</w:t>
            </w:r>
            <w:r>
              <w:rPr>
                <w:rFonts w:hint="eastAsia"/>
                <w:color w:val="auto"/>
                <w:kern w:val="0"/>
                <w:sz w:val="24"/>
                <w:szCs w:val="24"/>
                <w:vertAlign w:val="superscript"/>
              </w:rPr>
              <w:t>2</w:t>
            </w:r>
            <w:r>
              <w:rPr>
                <w:rFonts w:hint="eastAsia" w:cs="宋体"/>
                <w:color w:val="auto"/>
                <w:kern w:val="0"/>
                <w:sz w:val="24"/>
                <w:szCs w:val="24"/>
              </w:rPr>
              <w:t>危废贮存库</w:t>
            </w:r>
            <w:r>
              <w:rPr>
                <w:rFonts w:hint="eastAsia" w:cs="宋体"/>
                <w:color w:val="auto"/>
                <w:kern w:val="0"/>
                <w:sz w:val="24"/>
              </w:rPr>
              <w:t>，并做好防雨、防晒、防渗、防扬散和防火等措施，危废贮存区域为重点防渗区，防止二次污染发生，并应按以下要求对危险废物进行</w:t>
            </w:r>
            <w:r>
              <w:rPr>
                <w:rFonts w:hint="eastAsia" w:cs="宋体"/>
                <w:color w:val="auto"/>
                <w:kern w:val="0"/>
                <w:sz w:val="24"/>
                <w:lang w:val="en-US" w:eastAsia="zh-CN"/>
              </w:rPr>
              <w:t>建设和</w:t>
            </w:r>
            <w:r>
              <w:rPr>
                <w:rFonts w:hint="eastAsia" w:cs="宋体"/>
                <w:color w:val="auto"/>
                <w:kern w:val="0"/>
                <w:sz w:val="24"/>
              </w:rPr>
              <w:t>管理。</w:t>
            </w:r>
          </w:p>
          <w:p w14:paraId="595B8A12">
            <w:pPr>
              <w:tabs>
                <w:tab w:val="left" w:pos="2851"/>
              </w:tabs>
              <w:adjustRightInd w:val="0"/>
              <w:snapToGrid w:val="0"/>
              <w:spacing w:line="360" w:lineRule="auto"/>
              <w:ind w:firstLine="480" w:firstLineChars="200"/>
              <w:rPr>
                <w:rFonts w:cs="宋体"/>
                <w:color w:val="auto"/>
                <w:kern w:val="0"/>
                <w:sz w:val="24"/>
              </w:rPr>
            </w:pPr>
            <w:r>
              <w:rPr>
                <w:rFonts w:hint="eastAsia" w:cs="宋体"/>
                <w:color w:val="auto"/>
                <w:kern w:val="0"/>
                <w:sz w:val="24"/>
              </w:rPr>
              <w:t>危险废物贮存库污染控制要求：</w:t>
            </w:r>
          </w:p>
          <w:p w14:paraId="0E4A12C2">
            <w:pPr>
              <w:tabs>
                <w:tab w:val="left" w:pos="2851"/>
              </w:tabs>
              <w:adjustRightInd w:val="0"/>
              <w:snapToGrid w:val="0"/>
              <w:spacing w:line="360" w:lineRule="auto"/>
              <w:ind w:firstLine="480" w:firstLineChars="200"/>
              <w:rPr>
                <w:rFonts w:cs="宋体"/>
                <w:color w:val="auto"/>
                <w:kern w:val="0"/>
                <w:sz w:val="24"/>
              </w:rPr>
            </w:pPr>
            <w:r>
              <w:rPr>
                <w:rFonts w:hint="eastAsia" w:cs="宋体"/>
                <w:color w:val="auto"/>
                <w:kern w:val="0"/>
                <w:sz w:val="24"/>
              </w:rPr>
              <w:t>①贮存设施应采取必要的防风、防晒、防雨、防漏、防渗、防腐以及其他环境污染防治措施，不应露天堆放危险废物。</w:t>
            </w:r>
          </w:p>
          <w:p w14:paraId="128E0A70">
            <w:pPr>
              <w:tabs>
                <w:tab w:val="left" w:pos="2851"/>
              </w:tabs>
              <w:adjustRightInd w:val="0"/>
              <w:snapToGrid w:val="0"/>
              <w:spacing w:line="360" w:lineRule="auto"/>
              <w:ind w:firstLine="480" w:firstLineChars="200"/>
              <w:rPr>
                <w:rFonts w:cs="宋体"/>
                <w:color w:val="auto"/>
                <w:kern w:val="0"/>
                <w:sz w:val="24"/>
              </w:rPr>
            </w:pPr>
            <w:r>
              <w:rPr>
                <w:rFonts w:hint="eastAsia" w:cs="宋体"/>
                <w:color w:val="auto"/>
                <w:kern w:val="0"/>
                <w:sz w:val="24"/>
              </w:rPr>
              <w:t>②贮存设施应设置必要的贮存分区，贮存危险废物应根据危险废物的类别、形态、物理化学性质和污染防治要求进行分类贮存，且应避免危险废物与不相容的物质或材料接触。</w:t>
            </w:r>
          </w:p>
          <w:p w14:paraId="3F33B94F">
            <w:pPr>
              <w:tabs>
                <w:tab w:val="left" w:pos="2851"/>
              </w:tabs>
              <w:adjustRightInd w:val="0"/>
              <w:snapToGrid w:val="0"/>
              <w:spacing w:line="360" w:lineRule="auto"/>
              <w:ind w:firstLine="480" w:firstLineChars="200"/>
              <w:rPr>
                <w:rFonts w:cs="宋体"/>
                <w:color w:val="auto"/>
                <w:kern w:val="0"/>
                <w:sz w:val="24"/>
              </w:rPr>
            </w:pPr>
            <w:r>
              <w:rPr>
                <w:rFonts w:hint="eastAsia" w:cs="宋体"/>
                <w:color w:val="auto"/>
                <w:kern w:val="0"/>
                <w:sz w:val="24"/>
              </w:rPr>
              <w:t>③贮存设施或贮存分区内地面、墙面裙脚、堵截泄漏的围堰、接触危险废物的隔板和墙体等应采用坚固的材料建造，表面无裂缝。应具有液体泄漏堵截设施，堵截设施最小容积不应低于对应贮存区域最大液态废物容器容积或液态废物总储量1/10（二者取较大者）。</w:t>
            </w:r>
          </w:p>
          <w:p w14:paraId="7E4A3691">
            <w:pPr>
              <w:tabs>
                <w:tab w:val="left" w:pos="2851"/>
              </w:tabs>
              <w:adjustRightInd w:val="0"/>
              <w:snapToGrid w:val="0"/>
              <w:spacing w:line="360" w:lineRule="auto"/>
              <w:ind w:firstLine="480" w:firstLineChars="200"/>
              <w:rPr>
                <w:rFonts w:cs="宋体"/>
                <w:color w:val="auto"/>
                <w:kern w:val="0"/>
                <w:sz w:val="24"/>
              </w:rPr>
            </w:pPr>
            <w:r>
              <w:rPr>
                <w:rFonts w:hint="eastAsia" w:cs="宋体"/>
                <w:color w:val="auto"/>
                <w:kern w:val="0"/>
                <w:sz w:val="24"/>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cs="宋体"/>
                <w:color w:val="auto"/>
                <w:kern w:val="0"/>
                <w:sz w:val="24"/>
                <w:vertAlign w:val="superscript"/>
              </w:rPr>
              <w:t>-7</w:t>
            </w:r>
            <w:r>
              <w:rPr>
                <w:rFonts w:hint="eastAsia" w:cs="宋体"/>
                <w:color w:val="auto"/>
                <w:kern w:val="0"/>
                <w:sz w:val="24"/>
              </w:rPr>
              <w:t>cm/s），或至少2mm厚高密度聚乙烯膜等人工防渗材料（渗透系数不大于10</w:t>
            </w:r>
            <w:r>
              <w:rPr>
                <w:rFonts w:hint="eastAsia" w:cs="宋体"/>
                <w:color w:val="auto"/>
                <w:kern w:val="0"/>
                <w:sz w:val="24"/>
                <w:vertAlign w:val="superscript"/>
              </w:rPr>
              <w:t>-10</w:t>
            </w:r>
            <w:r>
              <w:rPr>
                <w:rFonts w:hint="eastAsia" w:cs="宋体"/>
                <w:color w:val="auto"/>
                <w:kern w:val="0"/>
                <w:sz w:val="24"/>
              </w:rPr>
              <w:t>cm/s），或其他防渗性能等效的材料。</w:t>
            </w:r>
          </w:p>
          <w:p w14:paraId="70D3CD9C">
            <w:pPr>
              <w:tabs>
                <w:tab w:val="left" w:pos="2851"/>
              </w:tabs>
              <w:adjustRightInd w:val="0"/>
              <w:snapToGrid w:val="0"/>
              <w:spacing w:line="360" w:lineRule="auto"/>
              <w:ind w:firstLine="480" w:firstLineChars="200"/>
              <w:rPr>
                <w:rFonts w:cs="宋体"/>
                <w:color w:val="auto"/>
                <w:kern w:val="0"/>
                <w:sz w:val="24"/>
              </w:rPr>
            </w:pPr>
            <w:r>
              <w:rPr>
                <w:rFonts w:hint="eastAsia" w:cs="宋体"/>
                <w:color w:val="auto"/>
                <w:kern w:val="0"/>
                <w:sz w:val="24"/>
              </w:rPr>
              <w:t>⑤同一贮存设施宜采用相同的防渗、防腐工艺（包括防渗、防腐结构或材料），防渗、防腐材料应覆盖所有可能与废物及其渗滤液、渗漏液等接触的构筑物表面；采用不同防渗、防腐工艺应分别建设贮存分区。</w:t>
            </w:r>
          </w:p>
          <w:p w14:paraId="4A7ECE0B">
            <w:pPr>
              <w:tabs>
                <w:tab w:val="left" w:pos="2851"/>
              </w:tabs>
              <w:adjustRightInd w:val="0"/>
              <w:snapToGrid w:val="0"/>
              <w:spacing w:line="360" w:lineRule="auto"/>
              <w:ind w:firstLine="480" w:firstLineChars="200"/>
              <w:rPr>
                <w:rFonts w:cs="宋体"/>
                <w:color w:val="auto"/>
                <w:kern w:val="0"/>
                <w:sz w:val="24"/>
              </w:rPr>
            </w:pPr>
            <w:r>
              <w:rPr>
                <w:rFonts w:hint="eastAsia" w:cs="宋体"/>
                <w:color w:val="auto"/>
                <w:kern w:val="0"/>
                <w:sz w:val="24"/>
              </w:rPr>
              <w:t>⑥贮存设施应采取技术和管理措施防止无关人员进入。</w:t>
            </w:r>
          </w:p>
          <w:p w14:paraId="4FB40737">
            <w:pPr>
              <w:tabs>
                <w:tab w:val="left" w:pos="2851"/>
              </w:tabs>
              <w:adjustRightInd w:val="0"/>
              <w:snapToGrid w:val="0"/>
              <w:spacing w:line="360" w:lineRule="auto"/>
              <w:ind w:firstLine="480" w:firstLineChars="200"/>
              <w:rPr>
                <w:rFonts w:cs="宋体"/>
                <w:color w:val="auto"/>
                <w:kern w:val="0"/>
                <w:sz w:val="24"/>
              </w:rPr>
            </w:pPr>
            <w:r>
              <w:rPr>
                <w:rFonts w:hint="eastAsia" w:cs="宋体"/>
                <w:color w:val="auto"/>
                <w:kern w:val="0"/>
                <w:sz w:val="24"/>
              </w:rPr>
              <w:t>贮存过程污染控制要求：</w:t>
            </w:r>
          </w:p>
          <w:p w14:paraId="23F84F64">
            <w:pPr>
              <w:tabs>
                <w:tab w:val="left" w:pos="2851"/>
              </w:tabs>
              <w:adjustRightInd w:val="0"/>
              <w:snapToGrid w:val="0"/>
              <w:spacing w:line="360" w:lineRule="auto"/>
              <w:ind w:firstLine="480" w:firstLineChars="200"/>
              <w:rPr>
                <w:rFonts w:hint="eastAsia" w:eastAsia="宋体" w:cs="宋体"/>
                <w:color w:val="auto"/>
                <w:kern w:val="0"/>
                <w:sz w:val="24"/>
                <w:lang w:eastAsia="zh-CN"/>
              </w:rPr>
            </w:pPr>
            <w:r>
              <w:rPr>
                <w:rFonts w:hint="eastAsia" w:cs="宋体"/>
                <w:color w:val="auto"/>
                <w:kern w:val="0"/>
                <w:sz w:val="24"/>
              </w:rPr>
              <w:t>①危险固废应分类堆存，不相容的危险废物必须分开存放，并设有隔离间隔断。在常温常压下不易水解、不易挥发的固态危险废物可分类堆放贮存，其他固态危险废物应装入 容器或包装物内贮存</w:t>
            </w:r>
            <w:r>
              <w:rPr>
                <w:rFonts w:hint="eastAsia" w:cs="宋体"/>
                <w:color w:val="auto"/>
                <w:kern w:val="0"/>
                <w:sz w:val="24"/>
                <w:lang w:eastAsia="zh-CN"/>
              </w:rPr>
              <w:t>，</w:t>
            </w:r>
            <w:r>
              <w:rPr>
                <w:rFonts w:ascii="宋体" w:hAnsi="宋体" w:eastAsia="宋体" w:cs="宋体"/>
                <w:color w:val="auto"/>
                <w:sz w:val="24"/>
                <w:szCs w:val="24"/>
              </w:rPr>
              <w:t>液态危险废物应装入容器内贮存</w:t>
            </w:r>
            <w:r>
              <w:rPr>
                <w:rFonts w:hint="eastAsia" w:ascii="宋体" w:hAnsi="宋体" w:eastAsia="宋体" w:cs="宋体"/>
                <w:color w:val="auto"/>
                <w:sz w:val="24"/>
                <w:szCs w:val="24"/>
                <w:lang w:eastAsia="zh-CN"/>
              </w:rPr>
              <w:t>。</w:t>
            </w:r>
          </w:p>
          <w:p w14:paraId="11431AF1">
            <w:pPr>
              <w:tabs>
                <w:tab w:val="left" w:pos="2851"/>
              </w:tabs>
              <w:adjustRightInd w:val="0"/>
              <w:snapToGrid w:val="0"/>
              <w:spacing w:line="360" w:lineRule="auto"/>
              <w:ind w:firstLine="480" w:firstLineChars="200"/>
              <w:rPr>
                <w:rFonts w:hint="eastAsia" w:cs="宋体"/>
                <w:color w:val="auto"/>
                <w:kern w:val="0"/>
                <w:sz w:val="24"/>
              </w:rPr>
            </w:pPr>
            <w:r>
              <w:rPr>
                <w:rFonts w:hint="eastAsia" w:cs="宋体"/>
                <w:color w:val="auto"/>
                <w:kern w:val="0"/>
                <w:sz w:val="24"/>
              </w:rPr>
              <w:t>②危废贮存库应按照《危险废物贮存污染控制标准》（GB 18597-2023）和《危险废物识别标志设置技术规范》（HJ 1276-2022）等要求设置规范的标识、标牌。</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097"/>
              <w:gridCol w:w="4097"/>
            </w:tblGrid>
            <w:tr w14:paraId="0D4C4E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23" w:hRule="atLeast"/>
                <w:jc w:val="center"/>
              </w:trPr>
              <w:tc>
                <w:tcPr>
                  <w:tcW w:w="2499" w:type="pct"/>
                  <w:noWrap w:val="0"/>
                  <w:vAlign w:val="center"/>
                </w:tcPr>
                <w:p w14:paraId="50306A1D">
                  <w:pPr>
                    <w:jc w:val="center"/>
                    <w:rPr>
                      <w:rFonts w:hint="eastAsia"/>
                      <w:color w:val="auto"/>
                      <w:sz w:val="24"/>
                    </w:rPr>
                  </w:pPr>
                  <w:r>
                    <w:rPr>
                      <w:rFonts w:hint="eastAsia"/>
                      <w:color w:val="auto"/>
                      <w:sz w:val="24"/>
                    </w:rPr>
                    <w:drawing>
                      <wp:inline distT="0" distB="0" distL="114300" distR="114300">
                        <wp:extent cx="2442210" cy="1548130"/>
                        <wp:effectExtent l="0" t="0" r="15240" b="1397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25"/>
                                <a:stretch>
                                  <a:fillRect/>
                                </a:stretch>
                              </pic:blipFill>
                              <pic:spPr>
                                <a:xfrm>
                                  <a:off x="0" y="0"/>
                                  <a:ext cx="2442210" cy="1548130"/>
                                </a:xfrm>
                                <a:prstGeom prst="rect">
                                  <a:avLst/>
                                </a:prstGeom>
                                <a:noFill/>
                                <a:ln>
                                  <a:noFill/>
                                </a:ln>
                              </pic:spPr>
                            </pic:pic>
                          </a:graphicData>
                        </a:graphic>
                      </wp:inline>
                    </w:drawing>
                  </w:r>
                </w:p>
              </w:tc>
              <w:tc>
                <w:tcPr>
                  <w:tcW w:w="2500" w:type="pct"/>
                  <w:noWrap w:val="0"/>
                  <w:vAlign w:val="center"/>
                </w:tcPr>
                <w:p w14:paraId="5316A06D">
                  <w:pPr>
                    <w:jc w:val="center"/>
                    <w:rPr>
                      <w:rFonts w:hint="eastAsia"/>
                      <w:color w:val="auto"/>
                      <w:sz w:val="24"/>
                    </w:rPr>
                  </w:pPr>
                  <w:r>
                    <w:rPr>
                      <w:rFonts w:hint="eastAsia"/>
                      <w:color w:val="auto"/>
                      <w:sz w:val="24"/>
                    </w:rPr>
                    <w:drawing>
                      <wp:inline distT="0" distB="0" distL="114300" distR="114300">
                        <wp:extent cx="1767205" cy="1764030"/>
                        <wp:effectExtent l="0" t="0" r="4445" b="762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26"/>
                                <a:stretch>
                                  <a:fillRect/>
                                </a:stretch>
                              </pic:blipFill>
                              <pic:spPr>
                                <a:xfrm>
                                  <a:off x="0" y="0"/>
                                  <a:ext cx="1767205" cy="1764030"/>
                                </a:xfrm>
                                <a:prstGeom prst="rect">
                                  <a:avLst/>
                                </a:prstGeom>
                                <a:noFill/>
                                <a:ln>
                                  <a:noFill/>
                                </a:ln>
                              </pic:spPr>
                            </pic:pic>
                          </a:graphicData>
                        </a:graphic>
                      </wp:inline>
                    </w:drawing>
                  </w:r>
                </w:p>
              </w:tc>
            </w:tr>
            <w:tr w14:paraId="3278E6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2499" w:type="pct"/>
                  <w:noWrap w:val="0"/>
                  <w:vAlign w:val="center"/>
                </w:tcPr>
                <w:p w14:paraId="0DF2499F">
                  <w:pPr>
                    <w:jc w:val="center"/>
                    <w:rPr>
                      <w:rFonts w:hint="eastAsia"/>
                      <w:color w:val="auto"/>
                    </w:rPr>
                  </w:pPr>
                  <w:r>
                    <w:rPr>
                      <w:rFonts w:hint="eastAsia"/>
                      <w:color w:val="auto"/>
                    </w:rPr>
                    <w:t>危险废物贮存场所标识</w:t>
                  </w:r>
                </w:p>
              </w:tc>
              <w:tc>
                <w:tcPr>
                  <w:tcW w:w="2500" w:type="pct"/>
                  <w:noWrap w:val="0"/>
                  <w:vAlign w:val="center"/>
                </w:tcPr>
                <w:p w14:paraId="6A3E3F13">
                  <w:pPr>
                    <w:jc w:val="center"/>
                    <w:rPr>
                      <w:rFonts w:hint="eastAsia"/>
                      <w:color w:val="auto"/>
                    </w:rPr>
                  </w:pPr>
                  <w:r>
                    <w:rPr>
                      <w:rFonts w:hint="eastAsia"/>
                      <w:color w:val="auto"/>
                    </w:rPr>
                    <w:t>危险废物标签标识</w:t>
                  </w:r>
                </w:p>
              </w:tc>
            </w:tr>
            <w:tr w14:paraId="08D79E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2499" w:type="pct"/>
                  <w:noWrap w:val="0"/>
                  <w:vAlign w:val="center"/>
                </w:tcPr>
                <w:p w14:paraId="58176BCB">
                  <w:pPr>
                    <w:jc w:val="center"/>
                    <w:rPr>
                      <w:rFonts w:hint="eastAsia" w:eastAsia="宋体"/>
                      <w:color w:val="auto"/>
                      <w:lang w:eastAsia="zh-CN"/>
                    </w:rPr>
                  </w:pPr>
                  <w:r>
                    <w:rPr>
                      <w:rFonts w:hint="eastAsia" w:eastAsia="宋体"/>
                      <w:color w:val="auto"/>
                      <w:lang w:eastAsia="zh-CN"/>
                    </w:rPr>
                    <w:drawing>
                      <wp:inline distT="0" distB="0" distL="114300" distR="114300">
                        <wp:extent cx="2402205" cy="2402205"/>
                        <wp:effectExtent l="0" t="0" r="17145" b="17145"/>
                        <wp:docPr id="22" name="图片 22" descr="IMG_20260105_11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60105_115150"/>
                                <pic:cNvPicPr>
                                  <a:picLocks noChangeAspect="1"/>
                                </pic:cNvPicPr>
                              </pic:nvPicPr>
                              <pic:blipFill>
                                <a:blip r:embed="rId27"/>
                                <a:stretch>
                                  <a:fillRect/>
                                </a:stretch>
                              </pic:blipFill>
                              <pic:spPr>
                                <a:xfrm>
                                  <a:off x="0" y="0"/>
                                  <a:ext cx="2402205" cy="2402205"/>
                                </a:xfrm>
                                <a:prstGeom prst="rect">
                                  <a:avLst/>
                                </a:prstGeom>
                              </pic:spPr>
                            </pic:pic>
                          </a:graphicData>
                        </a:graphic>
                      </wp:inline>
                    </w:drawing>
                  </w:r>
                </w:p>
              </w:tc>
              <w:tc>
                <w:tcPr>
                  <w:tcW w:w="2500" w:type="pct"/>
                  <w:noWrap w:val="0"/>
                  <w:vAlign w:val="center"/>
                </w:tcPr>
                <w:p w14:paraId="2F457CD4">
                  <w:pPr>
                    <w:jc w:val="center"/>
                    <w:rPr>
                      <w:rFonts w:hint="eastAsia" w:eastAsia="宋体"/>
                      <w:color w:val="auto"/>
                      <w:lang w:eastAsia="zh-CN"/>
                    </w:rPr>
                  </w:pPr>
                  <w:r>
                    <w:rPr>
                      <w:rFonts w:hint="eastAsia" w:eastAsia="宋体"/>
                      <w:color w:val="auto"/>
                      <w:lang w:eastAsia="zh-CN"/>
                    </w:rPr>
                    <w:drawing>
                      <wp:inline distT="0" distB="0" distL="114300" distR="114300">
                        <wp:extent cx="2526665" cy="1415415"/>
                        <wp:effectExtent l="0" t="0" r="6985" b="13335"/>
                        <wp:docPr id="23" name="图片 23" descr="IMG_20251211_16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51211_162522"/>
                                <pic:cNvPicPr>
                                  <a:picLocks noChangeAspect="1"/>
                                </pic:cNvPicPr>
                              </pic:nvPicPr>
                              <pic:blipFill>
                                <a:blip r:embed="rId28"/>
                                <a:stretch>
                                  <a:fillRect/>
                                </a:stretch>
                              </pic:blipFill>
                              <pic:spPr>
                                <a:xfrm>
                                  <a:off x="0" y="0"/>
                                  <a:ext cx="2526665" cy="1415415"/>
                                </a:xfrm>
                                <a:prstGeom prst="rect">
                                  <a:avLst/>
                                </a:prstGeom>
                              </pic:spPr>
                            </pic:pic>
                          </a:graphicData>
                        </a:graphic>
                      </wp:inline>
                    </w:drawing>
                  </w:r>
                </w:p>
              </w:tc>
            </w:tr>
            <w:tr w14:paraId="47228C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2499" w:type="pct"/>
                  <w:noWrap w:val="0"/>
                  <w:vAlign w:val="center"/>
                </w:tcPr>
                <w:p w14:paraId="2B4CDAFB">
                  <w:pPr>
                    <w:jc w:val="center"/>
                    <w:rPr>
                      <w:rFonts w:hint="eastAsia" w:eastAsia="宋体"/>
                      <w:color w:val="auto"/>
                      <w:lang w:eastAsia="zh-CN"/>
                    </w:rPr>
                  </w:pPr>
                  <w:r>
                    <w:rPr>
                      <w:rFonts w:hint="eastAsia"/>
                      <w:color w:val="auto"/>
                    </w:rPr>
                    <w:fldChar w:fldCharType="begin"/>
                  </w:r>
                  <w:r>
                    <w:rPr>
                      <w:rFonts w:hint="eastAsia"/>
                      <w:color w:val="auto"/>
                    </w:rPr>
                    <w:instrText xml:space="preserve"> HYPERLINK "https://www.mee.gov.cn/ywgz/fgbz/bz/bzwb/gthw/wxfwjbffbz/202302/W020230515591221300736.jpg" </w:instrText>
                  </w:r>
                  <w:r>
                    <w:rPr>
                      <w:rFonts w:hint="eastAsia"/>
                      <w:color w:val="auto"/>
                    </w:rPr>
                    <w:fldChar w:fldCharType="separate"/>
                  </w:r>
                  <w:r>
                    <w:rPr>
                      <w:rFonts w:hint="eastAsia"/>
                      <w:color w:val="auto"/>
                    </w:rPr>
                    <w:t>危险废物贮存分区标志</w:t>
                  </w:r>
                  <w:r>
                    <w:rPr>
                      <w:rFonts w:hint="eastAsia"/>
                      <w:color w:val="auto"/>
                    </w:rPr>
                    <w:fldChar w:fldCharType="end"/>
                  </w:r>
                  <w:r>
                    <w:rPr>
                      <w:rFonts w:hint="eastAsia"/>
                      <w:color w:val="auto"/>
                    </w:rPr>
                    <w:t>示意图</w:t>
                  </w:r>
                </w:p>
              </w:tc>
              <w:tc>
                <w:tcPr>
                  <w:tcW w:w="2500" w:type="pct"/>
                  <w:noWrap w:val="0"/>
                  <w:vAlign w:val="center"/>
                </w:tcPr>
                <w:p w14:paraId="686CDA57">
                  <w:pPr>
                    <w:jc w:val="center"/>
                    <w:rPr>
                      <w:rFonts w:hint="eastAsia"/>
                      <w:color w:val="auto"/>
                    </w:rPr>
                  </w:pPr>
                  <w:r>
                    <w:rPr>
                      <w:rFonts w:hint="eastAsia"/>
                      <w:color w:val="auto"/>
                    </w:rPr>
                    <w:t>危险废物贮存分区标志设置示意图</w:t>
                  </w:r>
                </w:p>
              </w:tc>
            </w:tr>
          </w:tbl>
          <w:p w14:paraId="045FF9B1">
            <w:pPr>
              <w:spacing w:line="360" w:lineRule="auto"/>
              <w:jc w:val="center"/>
              <w:rPr>
                <w:b/>
                <w:color w:val="auto"/>
                <w:spacing w:val="-10"/>
                <w:sz w:val="24"/>
              </w:rPr>
            </w:pPr>
            <w:r>
              <w:rPr>
                <w:rFonts w:hint="eastAsia"/>
                <w:b/>
                <w:bCs/>
                <w:color w:val="auto"/>
                <w:sz w:val="24"/>
              </w:rPr>
              <w:t>图4-1  危险废物管理标识</w:t>
            </w:r>
          </w:p>
          <w:p w14:paraId="0AE8A34F">
            <w:pPr>
              <w:tabs>
                <w:tab w:val="left" w:pos="2851"/>
              </w:tabs>
              <w:adjustRightInd w:val="0"/>
              <w:snapToGrid w:val="0"/>
              <w:spacing w:line="360" w:lineRule="auto"/>
              <w:ind w:firstLine="480" w:firstLineChars="200"/>
              <w:rPr>
                <w:rFonts w:cs="宋体"/>
                <w:color w:val="auto"/>
                <w:kern w:val="0"/>
                <w:sz w:val="24"/>
              </w:rPr>
            </w:pPr>
            <w:r>
              <w:rPr>
                <w:rFonts w:hint="eastAsia" w:cs="宋体"/>
                <w:color w:val="auto"/>
                <w:kern w:val="0"/>
                <w:sz w:val="24"/>
              </w:rPr>
              <w:t>③运行期间，应按国家有关标准和规定建立危险废物管理台账并保存。</w:t>
            </w:r>
          </w:p>
          <w:p w14:paraId="532C7BC7">
            <w:pPr>
              <w:tabs>
                <w:tab w:val="left" w:pos="2851"/>
              </w:tabs>
              <w:adjustRightInd w:val="0"/>
              <w:snapToGrid w:val="0"/>
              <w:spacing w:line="360" w:lineRule="auto"/>
              <w:ind w:firstLine="480" w:firstLineChars="200"/>
              <w:rPr>
                <w:rFonts w:cs="宋体"/>
                <w:color w:val="auto"/>
                <w:kern w:val="0"/>
                <w:sz w:val="24"/>
              </w:rPr>
            </w:pPr>
            <w:r>
              <w:rPr>
                <w:rFonts w:hint="eastAsia" w:cs="宋体"/>
                <w:color w:val="auto"/>
                <w:kern w:val="0"/>
                <w:sz w:val="24"/>
              </w:rPr>
              <w:t>④建立贮存设施环境管理制度、管理人员岗位职责制度、设施运行操作制度、人员岗位培训制度等。</w:t>
            </w:r>
          </w:p>
          <w:p w14:paraId="4D5B8029">
            <w:pPr>
              <w:tabs>
                <w:tab w:val="left" w:pos="2851"/>
              </w:tabs>
              <w:adjustRightInd w:val="0"/>
              <w:snapToGrid w:val="0"/>
              <w:spacing w:line="360" w:lineRule="auto"/>
              <w:ind w:firstLine="480" w:firstLineChars="200"/>
              <w:rPr>
                <w:rFonts w:cs="宋体"/>
                <w:color w:val="auto"/>
                <w:kern w:val="0"/>
                <w:sz w:val="24"/>
              </w:rPr>
            </w:pPr>
            <w:r>
              <w:rPr>
                <w:rFonts w:hint="eastAsia" w:cs="宋体"/>
                <w:color w:val="auto"/>
                <w:kern w:val="0"/>
                <w:sz w:val="24"/>
              </w:rPr>
              <w:t>危废贮存库环境管理要求：</w:t>
            </w:r>
          </w:p>
          <w:p w14:paraId="5CC15269">
            <w:pPr>
              <w:tabs>
                <w:tab w:val="left" w:pos="2851"/>
              </w:tabs>
              <w:adjustRightInd w:val="0"/>
              <w:snapToGrid w:val="0"/>
              <w:spacing w:line="360" w:lineRule="auto"/>
              <w:ind w:firstLine="480" w:firstLineChars="200"/>
              <w:rPr>
                <w:rFonts w:cs="宋体"/>
                <w:color w:val="auto"/>
                <w:kern w:val="0"/>
                <w:sz w:val="24"/>
              </w:rPr>
            </w:pPr>
            <w:r>
              <w:rPr>
                <w:rFonts w:hint="eastAsia" w:cs="宋体"/>
                <w:color w:val="auto"/>
                <w:kern w:val="0"/>
                <w:sz w:val="24"/>
              </w:rPr>
              <w:t xml:space="preserve">①贮存库应具有固定的区域边界，采取防风、防雨、防晒和防止危险废物流失、扬散等措施，危险废物应置于容器或包装物中，不应直接散堆； </w:t>
            </w:r>
          </w:p>
          <w:p w14:paraId="4ABABCDA">
            <w:pPr>
              <w:tabs>
                <w:tab w:val="left" w:pos="2851"/>
              </w:tabs>
              <w:adjustRightInd w:val="0"/>
              <w:snapToGrid w:val="0"/>
              <w:spacing w:line="360" w:lineRule="auto"/>
              <w:ind w:firstLine="480" w:firstLineChars="200"/>
              <w:rPr>
                <w:rFonts w:cs="宋体"/>
                <w:color w:val="auto"/>
                <w:kern w:val="0"/>
                <w:sz w:val="24"/>
              </w:rPr>
            </w:pPr>
            <w:r>
              <w:rPr>
                <w:rFonts w:hint="eastAsia" w:cs="宋体"/>
                <w:color w:val="auto"/>
                <w:kern w:val="0"/>
                <w:sz w:val="24"/>
              </w:rPr>
              <w:t>②危险废物产生单位在转移危险废物前，须按照国家有关规定报批危险废物转移计划；经批准后，产生单位应当向移出地环境保护行政主管部门申请领取联单。联单保存期限为十年。</w:t>
            </w:r>
          </w:p>
          <w:p w14:paraId="199FE4AA">
            <w:pPr>
              <w:tabs>
                <w:tab w:val="left" w:pos="2851"/>
              </w:tabs>
              <w:adjustRightInd w:val="0"/>
              <w:snapToGrid w:val="0"/>
              <w:spacing w:line="360" w:lineRule="auto"/>
              <w:ind w:firstLine="480" w:firstLineChars="200"/>
              <w:rPr>
                <w:rFonts w:cs="宋体"/>
                <w:color w:val="auto"/>
                <w:kern w:val="0"/>
                <w:sz w:val="24"/>
              </w:rPr>
            </w:pPr>
            <w:r>
              <w:rPr>
                <w:rFonts w:hint="eastAsia" w:cs="宋体"/>
                <w:color w:val="auto"/>
                <w:kern w:val="0"/>
                <w:sz w:val="24"/>
              </w:rPr>
              <w:t>③贮存场所处粘贴危险废物标签，并作好相应的记录。危险废物由危废处置单位定期清运处理，包装容器为密封容器，容器上粘贴标签，注明种类、成分、危险类别、产地、禁忌与安全措施等，并采用专用密闭车辆，保证运输过程无泄漏。</w:t>
            </w:r>
          </w:p>
          <w:p w14:paraId="3CD1ACD3">
            <w:pPr>
              <w:pStyle w:val="2"/>
              <w:spacing w:line="360" w:lineRule="auto"/>
              <w:ind w:left="0" w:leftChars="0" w:firstLine="480" w:firstLineChars="200"/>
              <w:rPr>
                <w:rFonts w:hint="default" w:ascii="Times New Roman" w:hAnsi="Times New Roman" w:cs="Times New Roman"/>
                <w:color w:val="auto"/>
                <w:sz w:val="24"/>
                <w:highlight w:val="none"/>
                <w:lang w:val="en-US" w:eastAsia="zh-CN"/>
              </w:rPr>
            </w:pPr>
            <w:r>
              <w:rPr>
                <w:rFonts w:hint="eastAsia" w:cs="宋体"/>
                <w:color w:val="auto"/>
                <w:kern w:val="0"/>
                <w:sz w:val="24"/>
              </w:rPr>
              <w:t>以上处置措施可保证项目产生的一般固废和危险废物均能得到安全和妥善的处理，不会因长期堆放而对周围环境造成不利影响，固废处置措施有效可行，能够做到资源化、无害化，不对外随意排放。综上所述，固体废弃物均得到妥善处理，对环境产生的影响较小</w:t>
            </w:r>
            <w:r>
              <w:rPr>
                <w:rFonts w:hint="default" w:ascii="Times New Roman" w:hAnsi="Times New Roman" w:eastAsia="宋体" w:cs="Times New Roman"/>
                <w:color w:val="auto"/>
                <w:spacing w:val="0"/>
                <w:sz w:val="24"/>
                <w:szCs w:val="22"/>
                <w:lang w:eastAsia="zh-CN"/>
              </w:rPr>
              <w:t>。</w:t>
            </w:r>
          </w:p>
          <w:p w14:paraId="4DBC5B31">
            <w:pPr>
              <w:numPr>
                <w:ilvl w:val="0"/>
                <w:numId w:val="0"/>
              </w:numPr>
              <w:adjustRightInd w:val="0"/>
              <w:snapToGrid w:val="0"/>
              <w:spacing w:line="360" w:lineRule="auto"/>
              <w:rPr>
                <w:rFonts w:hint="default" w:ascii="Times New Roman" w:hAnsi="Times New Roman" w:cs="Times New Roman"/>
                <w:b/>
                <w:bCs w:val="0"/>
                <w:color w:val="auto"/>
                <w:spacing w:val="0"/>
                <w:sz w:val="24"/>
                <w:szCs w:val="24"/>
                <w:lang w:val="en-US" w:eastAsia="zh-CN"/>
              </w:rPr>
            </w:pPr>
            <w:r>
              <w:rPr>
                <w:rFonts w:hint="default" w:ascii="Times New Roman" w:hAnsi="Times New Roman" w:cs="Times New Roman"/>
                <w:b/>
                <w:bCs w:val="0"/>
                <w:color w:val="auto"/>
                <w:spacing w:val="0"/>
                <w:sz w:val="24"/>
                <w:szCs w:val="24"/>
                <w:lang w:val="en-US" w:eastAsia="zh-CN"/>
              </w:rPr>
              <w:t>5、地下水、土壤</w:t>
            </w:r>
          </w:p>
          <w:p w14:paraId="2529564B">
            <w:pPr>
              <w:tabs>
                <w:tab w:val="left" w:pos="2851"/>
              </w:tabs>
              <w:adjustRightInd w:val="0"/>
              <w:snapToGrid w:val="0"/>
              <w:spacing w:line="360" w:lineRule="auto"/>
              <w:ind w:firstLine="480" w:firstLineChars="200"/>
              <w:rPr>
                <w:rFonts w:hint="eastAsia" w:ascii="Times New Roman" w:hAnsi="Times New Roman" w:eastAsia="宋体" w:cs="宋体"/>
                <w:color w:val="auto"/>
                <w:kern w:val="0"/>
                <w:sz w:val="24"/>
              </w:rPr>
            </w:pPr>
            <w:r>
              <w:rPr>
                <w:rFonts w:hint="eastAsia" w:ascii="Times New Roman" w:hAnsi="Times New Roman" w:eastAsia="宋体" w:cs="宋体"/>
                <w:color w:val="auto"/>
                <w:kern w:val="0"/>
                <w:sz w:val="24"/>
              </w:rPr>
              <w:t>（1）污染来源、类型及主要污染途径</w:t>
            </w:r>
          </w:p>
          <w:p w14:paraId="64472B4C">
            <w:pPr>
              <w:tabs>
                <w:tab w:val="left" w:pos="2851"/>
              </w:tabs>
              <w:adjustRightInd w:val="0"/>
              <w:snapToGrid w:val="0"/>
              <w:spacing w:line="360" w:lineRule="auto"/>
              <w:ind w:firstLine="480" w:firstLineChars="200"/>
              <w:rPr>
                <w:rFonts w:hint="eastAsia" w:ascii="Times New Roman" w:hAnsi="Times New Roman" w:eastAsia="宋体" w:cs="宋体"/>
                <w:color w:val="auto"/>
                <w:kern w:val="0"/>
                <w:sz w:val="24"/>
                <w:lang w:eastAsia="zh-CN"/>
              </w:rPr>
            </w:pPr>
            <w:r>
              <w:rPr>
                <w:rFonts w:hint="eastAsia" w:ascii="Times New Roman" w:hAnsi="Times New Roman" w:eastAsia="宋体" w:cs="宋体"/>
                <w:color w:val="auto"/>
                <w:kern w:val="0"/>
                <w:sz w:val="24"/>
              </w:rPr>
              <w:t>本项目</w:t>
            </w:r>
            <w:r>
              <w:rPr>
                <w:rFonts w:hint="eastAsia" w:ascii="Times New Roman" w:hAnsi="Times New Roman" w:eastAsia="宋体" w:cs="宋体"/>
                <w:color w:val="auto"/>
                <w:kern w:val="0"/>
                <w:sz w:val="24"/>
                <w:lang w:val="en-US" w:eastAsia="zh-CN"/>
              </w:rPr>
              <w:t>仓库内甲酸、乙酸、甲醇、异丙醇、膜电极催化剂溶剂、有机硅压敏胶，危废贮存库内废液等若存储不当发生</w:t>
            </w:r>
            <w:r>
              <w:rPr>
                <w:rFonts w:hint="eastAsia" w:ascii="Times New Roman" w:hAnsi="Times New Roman" w:eastAsia="宋体" w:cs="宋体"/>
                <w:color w:val="auto"/>
                <w:kern w:val="0"/>
                <w:sz w:val="24"/>
              </w:rPr>
              <w:t>泄漏，通过下渗污染土壤和地下水</w:t>
            </w:r>
            <w:r>
              <w:rPr>
                <w:rFonts w:hint="eastAsia" w:ascii="Times New Roman" w:hAnsi="Times New Roman" w:eastAsia="宋体" w:cs="宋体"/>
                <w:color w:val="auto"/>
                <w:kern w:val="0"/>
                <w:sz w:val="24"/>
                <w:lang w:eastAsia="zh-CN"/>
              </w:rPr>
              <w:t>。</w:t>
            </w:r>
          </w:p>
          <w:p w14:paraId="4A448252">
            <w:pPr>
              <w:tabs>
                <w:tab w:val="left" w:pos="2851"/>
              </w:tabs>
              <w:adjustRightInd w:val="0"/>
              <w:snapToGrid w:val="0"/>
              <w:spacing w:line="360" w:lineRule="auto"/>
              <w:ind w:firstLine="480" w:firstLineChars="200"/>
              <w:rPr>
                <w:rFonts w:hint="eastAsia" w:ascii="Times New Roman" w:hAnsi="Times New Roman" w:eastAsia="宋体" w:cs="宋体"/>
                <w:color w:val="auto"/>
                <w:kern w:val="0"/>
                <w:sz w:val="24"/>
              </w:rPr>
            </w:pPr>
            <w:r>
              <w:rPr>
                <w:rFonts w:hint="eastAsia" w:ascii="Times New Roman" w:hAnsi="Times New Roman" w:eastAsia="宋体" w:cs="宋体"/>
                <w:color w:val="auto"/>
                <w:kern w:val="0"/>
                <w:sz w:val="24"/>
              </w:rPr>
              <w:t>（2）防控措施</w:t>
            </w:r>
          </w:p>
          <w:p w14:paraId="48172FC6">
            <w:pPr>
              <w:tabs>
                <w:tab w:val="left" w:pos="2851"/>
              </w:tabs>
              <w:adjustRightInd w:val="0"/>
              <w:snapToGrid w:val="0"/>
              <w:spacing w:line="360" w:lineRule="auto"/>
              <w:ind w:firstLine="480" w:firstLineChars="200"/>
              <w:rPr>
                <w:rFonts w:hint="eastAsia" w:ascii="Times New Roman" w:hAnsi="Times New Roman" w:eastAsia="宋体" w:cs="宋体"/>
                <w:color w:val="auto"/>
                <w:kern w:val="0"/>
                <w:sz w:val="24"/>
              </w:rPr>
            </w:pPr>
            <w:r>
              <w:rPr>
                <w:rFonts w:hint="eastAsia" w:ascii="Times New Roman" w:hAnsi="Times New Roman" w:eastAsia="宋体" w:cs="宋体"/>
                <w:color w:val="auto"/>
                <w:kern w:val="0"/>
                <w:sz w:val="24"/>
              </w:rPr>
              <w:t>本项目主要污染单元为</w:t>
            </w:r>
            <w:r>
              <w:rPr>
                <w:rFonts w:hint="eastAsia" w:ascii="Times New Roman" w:hAnsi="Times New Roman" w:eastAsia="宋体" w:cs="宋体"/>
                <w:color w:val="auto"/>
                <w:kern w:val="0"/>
                <w:sz w:val="24"/>
                <w:lang w:eastAsia="zh-CN"/>
              </w:rPr>
              <w:t>危废贮存库</w:t>
            </w:r>
            <w:r>
              <w:rPr>
                <w:rFonts w:hint="eastAsia" w:ascii="Times New Roman" w:hAnsi="Times New Roman" w:eastAsia="宋体" w:cs="宋体"/>
                <w:color w:val="auto"/>
                <w:kern w:val="0"/>
                <w:sz w:val="24"/>
                <w:lang w:val="en-US" w:eastAsia="zh-CN"/>
              </w:rPr>
              <w:t>和仓库</w:t>
            </w:r>
            <w:r>
              <w:rPr>
                <w:rFonts w:hint="eastAsia" w:ascii="Times New Roman" w:hAnsi="Times New Roman" w:eastAsia="宋体" w:cs="宋体"/>
                <w:color w:val="auto"/>
                <w:kern w:val="0"/>
                <w:sz w:val="24"/>
              </w:rPr>
              <w:t>。要求企业通过</w:t>
            </w:r>
            <w:r>
              <w:rPr>
                <w:rFonts w:hint="eastAsia" w:ascii="Times New Roman" w:hAnsi="Times New Roman" w:eastAsia="宋体" w:cs="宋体"/>
                <w:color w:val="auto"/>
                <w:kern w:val="0"/>
                <w:sz w:val="24"/>
                <w:lang w:eastAsia="zh-CN"/>
              </w:rPr>
              <w:t>“</w:t>
            </w:r>
            <w:r>
              <w:rPr>
                <w:rFonts w:hint="eastAsia" w:ascii="Times New Roman" w:hAnsi="Times New Roman" w:eastAsia="宋体" w:cs="宋体"/>
                <w:color w:val="auto"/>
                <w:kern w:val="0"/>
                <w:sz w:val="24"/>
              </w:rPr>
              <w:t>源头控制，分区防治，应急响应</w:t>
            </w:r>
            <w:r>
              <w:rPr>
                <w:rFonts w:hint="eastAsia" w:ascii="Times New Roman" w:hAnsi="Times New Roman" w:eastAsia="宋体" w:cs="宋体"/>
                <w:color w:val="auto"/>
                <w:kern w:val="0"/>
                <w:sz w:val="24"/>
                <w:lang w:eastAsia="zh-CN"/>
              </w:rPr>
              <w:t>”</w:t>
            </w:r>
            <w:r>
              <w:rPr>
                <w:rFonts w:hint="eastAsia" w:ascii="Times New Roman" w:hAnsi="Times New Roman" w:eastAsia="宋体" w:cs="宋体"/>
                <w:color w:val="auto"/>
                <w:kern w:val="0"/>
                <w:sz w:val="24"/>
              </w:rPr>
              <w:t>及加强管理可避免地下水污染事故的发生。</w:t>
            </w:r>
          </w:p>
          <w:p w14:paraId="0285A4FF">
            <w:pPr>
              <w:tabs>
                <w:tab w:val="left" w:pos="2851"/>
              </w:tabs>
              <w:adjustRightInd w:val="0"/>
              <w:snapToGrid w:val="0"/>
              <w:spacing w:line="360" w:lineRule="auto"/>
              <w:ind w:firstLine="480" w:firstLineChars="200"/>
              <w:rPr>
                <w:rFonts w:hint="eastAsia" w:ascii="Times New Roman" w:hAnsi="Times New Roman" w:eastAsia="宋体" w:cs="宋体"/>
                <w:color w:val="auto"/>
                <w:kern w:val="0"/>
                <w:sz w:val="24"/>
              </w:rPr>
            </w:pPr>
            <w:r>
              <w:rPr>
                <w:rFonts w:hint="eastAsia" w:ascii="Times New Roman" w:hAnsi="Times New Roman" w:eastAsia="宋体" w:cs="宋体"/>
                <w:color w:val="auto"/>
                <w:kern w:val="0"/>
                <w:sz w:val="24"/>
              </w:rPr>
              <w:t>源头控制：加强对原辅材料及危险废物的管理，避免污染物跑、冒、滴、漏现象发生。</w:t>
            </w:r>
          </w:p>
          <w:p w14:paraId="4DAA12C4">
            <w:pPr>
              <w:tabs>
                <w:tab w:val="left" w:pos="2851"/>
              </w:tabs>
              <w:adjustRightInd w:val="0"/>
              <w:snapToGrid w:val="0"/>
              <w:spacing w:line="360" w:lineRule="auto"/>
              <w:ind w:firstLine="480" w:firstLineChars="200"/>
              <w:rPr>
                <w:rFonts w:hint="eastAsia" w:ascii="Times New Roman" w:hAnsi="Times New Roman" w:eastAsia="宋体" w:cs="宋体"/>
                <w:color w:val="auto"/>
                <w:kern w:val="0"/>
                <w:sz w:val="24"/>
              </w:rPr>
            </w:pPr>
            <w:r>
              <w:rPr>
                <w:rFonts w:hint="eastAsia" w:ascii="Times New Roman" w:hAnsi="Times New Roman" w:eastAsia="宋体" w:cs="宋体"/>
                <w:color w:val="auto"/>
                <w:kern w:val="0"/>
                <w:sz w:val="24"/>
              </w:rPr>
              <w:t>分区防治：危废贮存库作为重点关注单元，</w:t>
            </w:r>
            <w:r>
              <w:rPr>
                <w:rFonts w:hint="eastAsia" w:ascii="Times New Roman" w:hAnsi="Times New Roman" w:eastAsia="宋体" w:cs="宋体"/>
                <w:color w:val="auto"/>
                <w:kern w:val="0"/>
                <w:sz w:val="24"/>
                <w:lang w:val="en-US" w:eastAsia="zh-CN"/>
              </w:rPr>
              <w:t>企业应严格</w:t>
            </w:r>
            <w:r>
              <w:rPr>
                <w:rFonts w:hint="eastAsia" w:ascii="Times New Roman" w:hAnsi="Times New Roman" w:eastAsia="宋体" w:cs="宋体"/>
                <w:color w:val="auto"/>
                <w:kern w:val="0"/>
                <w:sz w:val="24"/>
              </w:rPr>
              <w:t>按照《危险废物贮存污染控制标准》（GB18597-2023）等要求进行重点防渗处理，</w:t>
            </w:r>
            <w:r>
              <w:rPr>
                <w:rFonts w:hint="eastAsia" w:cs="宋体"/>
                <w:color w:val="auto"/>
                <w:kern w:val="0"/>
                <w:sz w:val="24"/>
              </w:rPr>
              <w:t>防渗层为至少1m厚黏土层（渗透系数不大于10</w:t>
            </w:r>
            <w:r>
              <w:rPr>
                <w:rFonts w:hint="eastAsia" w:cs="宋体"/>
                <w:color w:val="auto"/>
                <w:kern w:val="0"/>
                <w:sz w:val="24"/>
                <w:vertAlign w:val="superscript"/>
              </w:rPr>
              <w:t>-7</w:t>
            </w:r>
            <w:r>
              <w:rPr>
                <w:rFonts w:hint="eastAsia" w:cs="宋体"/>
                <w:color w:val="auto"/>
                <w:kern w:val="0"/>
                <w:sz w:val="24"/>
              </w:rPr>
              <w:t>cm/s），或至少2mm厚高密度聚乙烯膜等人工防渗材料（渗透系数不大于10</w:t>
            </w:r>
            <w:r>
              <w:rPr>
                <w:rFonts w:hint="eastAsia" w:cs="宋体"/>
                <w:color w:val="auto"/>
                <w:kern w:val="0"/>
                <w:sz w:val="24"/>
                <w:vertAlign w:val="superscript"/>
              </w:rPr>
              <w:t>-10</w:t>
            </w:r>
            <w:r>
              <w:rPr>
                <w:rFonts w:hint="eastAsia" w:cs="宋体"/>
                <w:color w:val="auto"/>
                <w:kern w:val="0"/>
                <w:sz w:val="24"/>
              </w:rPr>
              <w:t>cm/s），或其他防渗性能等效的材料</w:t>
            </w:r>
            <w:r>
              <w:rPr>
                <w:rFonts w:hint="eastAsia" w:ascii="Times New Roman" w:hAnsi="Times New Roman" w:eastAsia="宋体" w:cs="宋体"/>
                <w:color w:val="auto"/>
                <w:kern w:val="0"/>
                <w:sz w:val="24"/>
              </w:rPr>
              <w:t>。企业应对</w:t>
            </w:r>
            <w:r>
              <w:rPr>
                <w:rFonts w:hint="eastAsia" w:ascii="Times New Roman" w:hAnsi="Times New Roman" w:eastAsia="宋体" w:cs="宋体"/>
                <w:color w:val="auto"/>
                <w:kern w:val="0"/>
                <w:sz w:val="24"/>
                <w:lang w:val="en-US" w:eastAsia="zh-CN"/>
              </w:rPr>
              <w:t>仓库</w:t>
            </w:r>
            <w:r>
              <w:rPr>
                <w:rFonts w:hint="eastAsia" w:ascii="Times New Roman" w:hAnsi="Times New Roman" w:eastAsia="宋体" w:cs="宋体"/>
                <w:color w:val="auto"/>
                <w:kern w:val="0"/>
                <w:sz w:val="24"/>
              </w:rPr>
              <w:t>进行一般防渗或采取相关措施以达到一般防渗的效果，以防止液态原辅料泄漏导致土壤及地下水污染；其他生产区域进行简单防渗。</w:t>
            </w:r>
          </w:p>
          <w:p w14:paraId="61D78565">
            <w:pPr>
              <w:tabs>
                <w:tab w:val="left" w:pos="2851"/>
              </w:tabs>
              <w:adjustRightInd w:val="0"/>
              <w:snapToGrid w:val="0"/>
              <w:spacing w:line="360" w:lineRule="auto"/>
              <w:ind w:firstLine="480" w:firstLineChars="200"/>
              <w:rPr>
                <w:rFonts w:hint="eastAsia" w:ascii="Times New Roman" w:hAnsi="Times New Roman" w:eastAsia="宋体" w:cs="宋体"/>
                <w:color w:val="auto"/>
                <w:kern w:val="0"/>
                <w:sz w:val="24"/>
              </w:rPr>
            </w:pPr>
            <w:r>
              <w:rPr>
                <w:rFonts w:hint="eastAsia" w:ascii="Times New Roman" w:hAnsi="Times New Roman" w:eastAsia="宋体" w:cs="宋体"/>
                <w:color w:val="auto"/>
                <w:kern w:val="0"/>
                <w:sz w:val="24"/>
              </w:rPr>
              <w:t>应急响应：发现发生泄漏后，应立即将泄漏设施内的物料转移至其他包装完好的容器中并进行紧急处置；及时向生态环境主管部门报告，随时就应急处置工作接受监督检查。</w:t>
            </w:r>
          </w:p>
          <w:p w14:paraId="2F4021A5">
            <w:pPr>
              <w:tabs>
                <w:tab w:val="left" w:pos="2851"/>
              </w:tabs>
              <w:adjustRightInd w:val="0"/>
              <w:snapToGrid w:val="0"/>
              <w:spacing w:line="360" w:lineRule="auto"/>
              <w:ind w:firstLine="480" w:firstLineChars="200"/>
              <w:rPr>
                <w:rFonts w:hint="default" w:ascii="Times New Roman" w:hAnsi="Times New Roman" w:cs="Times New Roman"/>
                <w:b/>
                <w:bCs w:val="0"/>
                <w:color w:val="auto"/>
                <w:spacing w:val="0"/>
                <w:sz w:val="24"/>
                <w:szCs w:val="24"/>
                <w:lang w:val="en-US" w:eastAsia="zh-CN"/>
              </w:rPr>
            </w:pPr>
            <w:r>
              <w:rPr>
                <w:rFonts w:hint="eastAsia" w:ascii="Times New Roman" w:hAnsi="Times New Roman" w:eastAsia="宋体" w:cs="宋体"/>
                <w:color w:val="auto"/>
                <w:kern w:val="0"/>
                <w:sz w:val="24"/>
              </w:rPr>
              <w:t>经采取这些措施后，项目运营后不会对土壤及地下水环境产生影响</w:t>
            </w:r>
            <w:r>
              <w:rPr>
                <w:rFonts w:hint="eastAsia" w:ascii="Times New Roman" w:hAnsi="Times New Roman" w:eastAsia="宋体" w:cs="宋体"/>
                <w:color w:val="auto"/>
                <w:kern w:val="0"/>
                <w:sz w:val="24"/>
                <w:lang w:eastAsia="zh-CN"/>
              </w:rPr>
              <w:t>，</w:t>
            </w:r>
            <w:r>
              <w:rPr>
                <w:rFonts w:hint="eastAsia" w:ascii="Times New Roman" w:hAnsi="Times New Roman" w:eastAsia="宋体" w:cs="宋体"/>
                <w:color w:val="auto"/>
                <w:kern w:val="0"/>
                <w:sz w:val="24"/>
                <w:lang w:val="en-US" w:eastAsia="zh-CN"/>
              </w:rPr>
              <w:t>对外环境影响较小</w:t>
            </w:r>
            <w:r>
              <w:rPr>
                <w:rFonts w:hint="eastAsia" w:ascii="Times New Roman" w:hAnsi="Times New Roman" w:eastAsia="宋体" w:cs="宋体"/>
                <w:color w:val="auto"/>
                <w:kern w:val="0"/>
                <w:sz w:val="24"/>
              </w:rPr>
              <w:t>。</w:t>
            </w:r>
          </w:p>
          <w:p w14:paraId="294D094B">
            <w:pPr>
              <w:numPr>
                <w:ilvl w:val="0"/>
                <w:numId w:val="0"/>
              </w:numPr>
              <w:adjustRightInd w:val="0"/>
              <w:snapToGrid w:val="0"/>
              <w:spacing w:line="360" w:lineRule="auto"/>
              <w:rPr>
                <w:rFonts w:hint="default" w:ascii="Times New Roman" w:hAnsi="Times New Roman" w:cs="Times New Roman"/>
                <w:bCs/>
                <w:color w:val="auto"/>
                <w:spacing w:val="0"/>
                <w:sz w:val="24"/>
                <w:szCs w:val="24"/>
                <w:lang w:val="en-US" w:eastAsia="zh-CN"/>
              </w:rPr>
            </w:pPr>
            <w:r>
              <w:rPr>
                <w:rFonts w:hint="default" w:ascii="Times New Roman" w:hAnsi="Times New Roman" w:cs="Times New Roman"/>
                <w:b/>
                <w:bCs/>
                <w:color w:val="auto"/>
                <w:spacing w:val="0"/>
                <w:kern w:val="2"/>
                <w:sz w:val="24"/>
                <w:szCs w:val="24"/>
                <w:lang w:val="en-US" w:eastAsia="zh-CN" w:bidi="ar-SA"/>
              </w:rPr>
              <w:t>6、</w:t>
            </w:r>
            <w:r>
              <w:rPr>
                <w:rFonts w:hint="default" w:ascii="Times New Roman" w:hAnsi="Times New Roman" w:cs="Times New Roman"/>
                <w:b/>
                <w:bCs w:val="0"/>
                <w:color w:val="auto"/>
                <w:spacing w:val="0"/>
                <w:sz w:val="24"/>
                <w:szCs w:val="24"/>
                <w:lang w:val="en-US" w:eastAsia="zh-CN"/>
              </w:rPr>
              <w:t>环境风险</w:t>
            </w:r>
          </w:p>
          <w:p w14:paraId="0397A2B0">
            <w:pPr>
              <w:adjustRightInd w:val="0"/>
              <w:snapToGrid w:val="0"/>
              <w:spacing w:line="360" w:lineRule="auto"/>
              <w:ind w:firstLine="480" w:firstLineChars="200"/>
              <w:rPr>
                <w:bCs/>
                <w:color w:val="auto"/>
                <w:sz w:val="24"/>
              </w:rPr>
            </w:pPr>
            <w:r>
              <w:rPr>
                <w:bCs/>
                <w:color w:val="auto"/>
                <w:sz w:val="24"/>
              </w:rPr>
              <w:t>（1）</w:t>
            </w:r>
            <w:r>
              <w:rPr>
                <w:rFonts w:hint="eastAsia"/>
                <w:bCs/>
                <w:color w:val="auto"/>
                <w:sz w:val="24"/>
                <w:lang w:val="en-US" w:eastAsia="zh-CN"/>
              </w:rPr>
              <w:t>危险</w:t>
            </w:r>
            <w:r>
              <w:rPr>
                <w:bCs/>
                <w:color w:val="auto"/>
                <w:sz w:val="24"/>
              </w:rPr>
              <w:t>物质识别</w:t>
            </w:r>
          </w:p>
          <w:p w14:paraId="3E68A4A2">
            <w:pPr>
              <w:adjustRightInd w:val="0"/>
              <w:snapToGrid w:val="0"/>
              <w:spacing w:line="360" w:lineRule="auto"/>
              <w:ind w:firstLine="480" w:firstLineChars="200"/>
              <w:rPr>
                <w:color w:val="auto"/>
              </w:rPr>
            </w:pPr>
            <w:r>
              <w:rPr>
                <w:bCs/>
                <w:color w:val="auto"/>
                <w:sz w:val="24"/>
              </w:rPr>
              <w:t>根据《建设项目环境风险评价技术导则》（HJ169-2018）附录B，对本项目使用的原辅料进行识别，属于</w:t>
            </w:r>
            <w:r>
              <w:rPr>
                <w:rFonts w:hint="eastAsia"/>
                <w:bCs/>
                <w:color w:val="auto"/>
                <w:sz w:val="24"/>
                <w:lang w:val="en-US" w:eastAsia="zh-CN"/>
              </w:rPr>
              <w:t>危险</w:t>
            </w:r>
            <w:r>
              <w:rPr>
                <w:bCs/>
                <w:color w:val="auto"/>
                <w:sz w:val="24"/>
              </w:rPr>
              <w:t>物质的为</w:t>
            </w:r>
            <w:r>
              <w:rPr>
                <w:rFonts w:hint="eastAsia"/>
                <w:bCs/>
                <w:color w:val="auto"/>
                <w:sz w:val="24"/>
                <w:lang w:val="en-US" w:eastAsia="zh-CN"/>
              </w:rPr>
              <w:t>甲酸、乙酸、甲醇、异丙醇、甲苯</w:t>
            </w:r>
            <w:r>
              <w:rPr>
                <w:bCs/>
                <w:color w:val="auto"/>
                <w:sz w:val="24"/>
              </w:rPr>
              <w:t>。存储位置为</w:t>
            </w:r>
            <w:r>
              <w:rPr>
                <w:rFonts w:hint="eastAsia"/>
                <w:bCs/>
                <w:color w:val="auto"/>
                <w:sz w:val="24"/>
                <w:lang w:val="en-US" w:eastAsia="zh-CN"/>
              </w:rPr>
              <w:t>仓库</w:t>
            </w:r>
            <w:r>
              <w:rPr>
                <w:bCs/>
                <w:color w:val="auto"/>
                <w:sz w:val="24"/>
              </w:rPr>
              <w:t>。</w:t>
            </w:r>
            <w:r>
              <w:rPr>
                <w:rFonts w:hint="eastAsia"/>
                <w:bCs/>
                <w:color w:val="auto"/>
                <w:sz w:val="24"/>
              </w:rPr>
              <w:t>风险物质存在量及临界量见下表：</w:t>
            </w:r>
          </w:p>
          <w:p w14:paraId="04F16102">
            <w:pPr>
              <w:adjustRightInd w:val="0"/>
              <w:snapToGrid w:val="0"/>
              <w:jc w:val="center"/>
              <w:rPr>
                <w:rFonts w:eastAsia="黑体"/>
                <w:color w:val="auto"/>
                <w:sz w:val="24"/>
                <w:szCs w:val="20"/>
              </w:rPr>
            </w:pPr>
            <w:r>
              <w:rPr>
                <w:b/>
                <w:color w:val="auto"/>
                <w:sz w:val="24"/>
              </w:rPr>
              <w:t>表4-</w:t>
            </w:r>
            <w:r>
              <w:rPr>
                <w:rFonts w:hint="eastAsia"/>
                <w:b/>
                <w:color w:val="auto"/>
                <w:sz w:val="24"/>
              </w:rPr>
              <w:t>1</w:t>
            </w:r>
            <w:r>
              <w:rPr>
                <w:rFonts w:hint="eastAsia"/>
                <w:b/>
                <w:color w:val="auto"/>
                <w:sz w:val="24"/>
                <w:lang w:val="en-US" w:eastAsia="zh-CN"/>
              </w:rPr>
              <w:t>4</w:t>
            </w:r>
            <w:r>
              <w:rPr>
                <w:rFonts w:hint="eastAsia"/>
                <w:b/>
                <w:color w:val="auto"/>
                <w:sz w:val="24"/>
              </w:rPr>
              <w:t xml:space="preserve"> </w:t>
            </w:r>
            <w:r>
              <w:rPr>
                <w:b/>
                <w:color w:val="auto"/>
                <w:sz w:val="24"/>
              </w:rPr>
              <w:t xml:space="preserve"> </w:t>
            </w:r>
            <w:r>
              <w:rPr>
                <w:rFonts w:hint="eastAsia"/>
                <w:b/>
                <w:color w:val="auto"/>
                <w:sz w:val="24"/>
              </w:rPr>
              <w:t>项目</w:t>
            </w:r>
            <w:r>
              <w:rPr>
                <w:b/>
                <w:color w:val="auto"/>
                <w:sz w:val="24"/>
              </w:rPr>
              <w:t>风险物质存在量一览表</w:t>
            </w:r>
          </w:p>
          <w:tbl>
            <w:tblPr>
              <w:tblStyle w:val="2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98"/>
              <w:gridCol w:w="2006"/>
              <w:gridCol w:w="2006"/>
              <w:gridCol w:w="2008"/>
            </w:tblGrid>
            <w:tr w14:paraId="3A5B89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7" w:type="pct"/>
                  <w:tcBorders>
                    <w:tl2br w:val="nil"/>
                    <w:tr2bl w:val="nil"/>
                  </w:tcBorders>
                  <w:noWrap w:val="0"/>
                  <w:vAlign w:val="center"/>
                </w:tcPr>
                <w:p w14:paraId="67590BAC">
                  <w:pPr>
                    <w:adjustRightInd w:val="0"/>
                    <w:snapToGrid w:val="0"/>
                    <w:jc w:val="center"/>
                    <w:rPr>
                      <w:b/>
                      <w:bCs w:val="0"/>
                      <w:color w:val="auto"/>
                      <w:kern w:val="21"/>
                      <w:szCs w:val="21"/>
                    </w:rPr>
                  </w:pPr>
                  <w:r>
                    <w:rPr>
                      <w:b/>
                      <w:bCs w:val="0"/>
                      <w:color w:val="auto"/>
                      <w:kern w:val="21"/>
                      <w:szCs w:val="21"/>
                    </w:rPr>
                    <w:t>类别</w:t>
                  </w:r>
                </w:p>
              </w:tc>
              <w:tc>
                <w:tcPr>
                  <w:tcW w:w="1220" w:type="pct"/>
                  <w:tcBorders>
                    <w:tl2br w:val="nil"/>
                    <w:tr2bl w:val="nil"/>
                  </w:tcBorders>
                  <w:noWrap w:val="0"/>
                  <w:vAlign w:val="center"/>
                </w:tcPr>
                <w:p w14:paraId="0914DFF9">
                  <w:pPr>
                    <w:adjustRightInd w:val="0"/>
                    <w:snapToGrid w:val="0"/>
                    <w:jc w:val="center"/>
                    <w:rPr>
                      <w:b/>
                      <w:bCs w:val="0"/>
                      <w:color w:val="auto"/>
                      <w:szCs w:val="21"/>
                    </w:rPr>
                  </w:pPr>
                  <w:r>
                    <w:rPr>
                      <w:b/>
                      <w:bCs w:val="0"/>
                      <w:color w:val="auto"/>
                      <w:kern w:val="21"/>
                      <w:szCs w:val="21"/>
                    </w:rPr>
                    <w:t>最大贮存量</w:t>
                  </w:r>
                </w:p>
              </w:tc>
              <w:tc>
                <w:tcPr>
                  <w:tcW w:w="1220" w:type="pct"/>
                  <w:tcBorders>
                    <w:tl2br w:val="nil"/>
                    <w:tr2bl w:val="nil"/>
                  </w:tcBorders>
                  <w:noWrap w:val="0"/>
                  <w:vAlign w:val="center"/>
                </w:tcPr>
                <w:p w14:paraId="2CB97BFF">
                  <w:pPr>
                    <w:adjustRightInd w:val="0"/>
                    <w:snapToGrid w:val="0"/>
                    <w:jc w:val="center"/>
                    <w:rPr>
                      <w:b/>
                      <w:bCs w:val="0"/>
                      <w:color w:val="auto"/>
                      <w:kern w:val="21"/>
                      <w:szCs w:val="21"/>
                    </w:rPr>
                  </w:pPr>
                  <w:r>
                    <w:rPr>
                      <w:b/>
                      <w:bCs w:val="0"/>
                      <w:color w:val="auto"/>
                      <w:kern w:val="21"/>
                      <w:szCs w:val="21"/>
                    </w:rPr>
                    <w:t>临界量</w:t>
                  </w:r>
                </w:p>
              </w:tc>
              <w:tc>
                <w:tcPr>
                  <w:tcW w:w="1221" w:type="pct"/>
                  <w:tcBorders>
                    <w:tl2br w:val="nil"/>
                    <w:tr2bl w:val="nil"/>
                  </w:tcBorders>
                  <w:noWrap w:val="0"/>
                  <w:vAlign w:val="center"/>
                </w:tcPr>
                <w:p w14:paraId="57E5B6D7">
                  <w:pPr>
                    <w:adjustRightInd w:val="0"/>
                    <w:snapToGrid w:val="0"/>
                    <w:jc w:val="center"/>
                    <w:rPr>
                      <w:b/>
                      <w:bCs w:val="0"/>
                      <w:color w:val="auto"/>
                      <w:kern w:val="21"/>
                      <w:szCs w:val="21"/>
                    </w:rPr>
                  </w:pPr>
                  <w:r>
                    <w:rPr>
                      <w:rFonts w:hint="eastAsia"/>
                      <w:b/>
                      <w:bCs w:val="0"/>
                      <w:color w:val="auto"/>
                      <w:kern w:val="21"/>
                      <w:szCs w:val="21"/>
                    </w:rPr>
                    <w:t>Q值</w:t>
                  </w:r>
                </w:p>
              </w:tc>
            </w:tr>
            <w:tr w14:paraId="651A53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7" w:type="pct"/>
                  <w:tcBorders>
                    <w:tl2br w:val="nil"/>
                    <w:tr2bl w:val="nil"/>
                  </w:tcBorders>
                  <w:noWrap w:val="0"/>
                  <w:vAlign w:val="center"/>
                </w:tcPr>
                <w:p w14:paraId="79ACA835">
                  <w:pPr>
                    <w:adjustRightInd w:val="0"/>
                    <w:snapToGrid w:val="0"/>
                    <w:jc w:val="center"/>
                    <w:rPr>
                      <w:rFonts w:hint="eastAsia" w:eastAsia="宋体"/>
                      <w:color w:val="auto"/>
                      <w:szCs w:val="21"/>
                      <w:lang w:eastAsia="zh-CN"/>
                    </w:rPr>
                  </w:pPr>
                  <w:r>
                    <w:rPr>
                      <w:rFonts w:hint="eastAsia"/>
                      <w:color w:val="auto"/>
                      <w:szCs w:val="21"/>
                      <w:lang w:val="en-US" w:eastAsia="zh-CN"/>
                    </w:rPr>
                    <w:t>甲酸</w:t>
                  </w:r>
                </w:p>
              </w:tc>
              <w:tc>
                <w:tcPr>
                  <w:tcW w:w="1220" w:type="pct"/>
                  <w:tcBorders>
                    <w:tl2br w:val="nil"/>
                    <w:tr2bl w:val="nil"/>
                  </w:tcBorders>
                  <w:noWrap w:val="0"/>
                  <w:vAlign w:val="center"/>
                </w:tcPr>
                <w:p w14:paraId="5E933C93">
                  <w:pPr>
                    <w:adjustRightInd w:val="0"/>
                    <w:snapToGrid w:val="0"/>
                    <w:jc w:val="center"/>
                    <w:rPr>
                      <w:color w:val="auto"/>
                      <w:szCs w:val="21"/>
                    </w:rPr>
                  </w:pPr>
                  <w:r>
                    <w:rPr>
                      <w:rFonts w:hint="eastAsia"/>
                      <w:color w:val="auto"/>
                      <w:szCs w:val="21"/>
                    </w:rPr>
                    <w:t> 0.00061 t</w:t>
                  </w:r>
                </w:p>
              </w:tc>
              <w:tc>
                <w:tcPr>
                  <w:tcW w:w="1220" w:type="pct"/>
                  <w:tcBorders>
                    <w:tl2br w:val="nil"/>
                    <w:tr2bl w:val="nil"/>
                  </w:tcBorders>
                  <w:noWrap w:val="0"/>
                  <w:vAlign w:val="center"/>
                </w:tcPr>
                <w:p w14:paraId="35919F83">
                  <w:pPr>
                    <w:adjustRightInd w:val="0"/>
                    <w:snapToGrid w:val="0"/>
                    <w:jc w:val="center"/>
                    <w:rPr>
                      <w:color w:val="auto"/>
                      <w:szCs w:val="21"/>
                    </w:rPr>
                  </w:pPr>
                  <w:r>
                    <w:rPr>
                      <w:rFonts w:hint="eastAsia"/>
                      <w:color w:val="auto"/>
                      <w:szCs w:val="21"/>
                      <w:lang w:val="en-US" w:eastAsia="zh-CN"/>
                    </w:rPr>
                    <w:t>10</w:t>
                  </w:r>
                  <w:r>
                    <w:rPr>
                      <w:rFonts w:hint="eastAsia"/>
                      <w:color w:val="auto"/>
                      <w:szCs w:val="21"/>
                    </w:rPr>
                    <w:t>t</w:t>
                  </w:r>
                </w:p>
              </w:tc>
              <w:tc>
                <w:tcPr>
                  <w:tcW w:w="1221" w:type="pct"/>
                  <w:tcBorders>
                    <w:tl2br w:val="nil"/>
                    <w:tr2bl w:val="nil"/>
                  </w:tcBorders>
                  <w:noWrap w:val="0"/>
                  <w:vAlign w:val="center"/>
                </w:tcPr>
                <w:p w14:paraId="5361264A">
                  <w:pPr>
                    <w:adjustRightInd w:val="0"/>
                    <w:snapToGrid w:val="0"/>
                    <w:jc w:val="center"/>
                    <w:rPr>
                      <w:rFonts w:hint="default" w:eastAsia="宋体"/>
                      <w:color w:val="auto"/>
                      <w:szCs w:val="21"/>
                      <w:lang w:val="en-US" w:eastAsia="zh-CN"/>
                    </w:rPr>
                  </w:pPr>
                  <w:r>
                    <w:rPr>
                      <w:rFonts w:hint="eastAsia"/>
                      <w:color w:val="auto"/>
                      <w:szCs w:val="21"/>
                      <w:lang w:val="en-US" w:eastAsia="zh-CN"/>
                    </w:rPr>
                    <w:t>0.000061</w:t>
                  </w:r>
                </w:p>
              </w:tc>
            </w:tr>
            <w:tr w14:paraId="2CF8BF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7" w:type="pct"/>
                  <w:tcBorders>
                    <w:tl2br w:val="nil"/>
                    <w:tr2bl w:val="nil"/>
                  </w:tcBorders>
                  <w:noWrap w:val="0"/>
                  <w:vAlign w:val="center"/>
                </w:tcPr>
                <w:p w14:paraId="7D369599">
                  <w:pPr>
                    <w:adjustRightInd w:val="0"/>
                    <w:snapToGrid w:val="0"/>
                    <w:jc w:val="center"/>
                    <w:rPr>
                      <w:rFonts w:hint="default"/>
                      <w:color w:val="auto"/>
                      <w:szCs w:val="21"/>
                      <w:lang w:val="en-US" w:eastAsia="zh-CN"/>
                    </w:rPr>
                  </w:pPr>
                  <w:r>
                    <w:rPr>
                      <w:rFonts w:hint="eastAsia"/>
                      <w:color w:val="auto"/>
                      <w:szCs w:val="21"/>
                      <w:lang w:val="en-US" w:eastAsia="zh-CN"/>
                    </w:rPr>
                    <w:t>乙酸</w:t>
                  </w:r>
                </w:p>
              </w:tc>
              <w:tc>
                <w:tcPr>
                  <w:tcW w:w="1220" w:type="pct"/>
                  <w:tcBorders>
                    <w:tl2br w:val="nil"/>
                    <w:tr2bl w:val="nil"/>
                  </w:tcBorders>
                  <w:noWrap w:val="0"/>
                  <w:vAlign w:val="center"/>
                </w:tcPr>
                <w:p w14:paraId="34B0868F">
                  <w:pPr>
                    <w:adjustRightInd w:val="0"/>
                    <w:snapToGrid w:val="0"/>
                    <w:jc w:val="center"/>
                    <w:rPr>
                      <w:rFonts w:hint="default" w:eastAsia="宋体"/>
                      <w:color w:val="auto"/>
                      <w:szCs w:val="21"/>
                      <w:lang w:val="en-US" w:eastAsia="zh-CN"/>
                    </w:rPr>
                  </w:pPr>
                  <w:r>
                    <w:rPr>
                      <w:rFonts w:hint="eastAsia"/>
                      <w:color w:val="auto"/>
                      <w:szCs w:val="21"/>
                      <w:lang w:val="en-US" w:eastAsia="zh-CN"/>
                    </w:rPr>
                    <w:t>0.000525t</w:t>
                  </w:r>
                </w:p>
              </w:tc>
              <w:tc>
                <w:tcPr>
                  <w:tcW w:w="1220" w:type="pct"/>
                  <w:tcBorders>
                    <w:tl2br w:val="nil"/>
                    <w:tr2bl w:val="nil"/>
                  </w:tcBorders>
                  <w:noWrap w:val="0"/>
                  <w:vAlign w:val="center"/>
                </w:tcPr>
                <w:p w14:paraId="3D567845">
                  <w:pPr>
                    <w:adjustRightInd w:val="0"/>
                    <w:snapToGrid w:val="0"/>
                    <w:jc w:val="center"/>
                    <w:rPr>
                      <w:rFonts w:hint="eastAsia"/>
                      <w:color w:val="auto"/>
                      <w:szCs w:val="21"/>
                      <w:lang w:val="en-US" w:eastAsia="zh-CN"/>
                    </w:rPr>
                  </w:pPr>
                  <w:r>
                    <w:rPr>
                      <w:rFonts w:hint="eastAsia"/>
                      <w:color w:val="auto"/>
                      <w:szCs w:val="21"/>
                      <w:lang w:val="en-US" w:eastAsia="zh-CN"/>
                    </w:rPr>
                    <w:t>10</w:t>
                  </w:r>
                  <w:r>
                    <w:rPr>
                      <w:rFonts w:hint="eastAsia"/>
                      <w:color w:val="auto"/>
                      <w:szCs w:val="21"/>
                    </w:rPr>
                    <w:t>t</w:t>
                  </w:r>
                </w:p>
              </w:tc>
              <w:tc>
                <w:tcPr>
                  <w:tcW w:w="1221" w:type="pct"/>
                  <w:tcBorders>
                    <w:tl2br w:val="nil"/>
                    <w:tr2bl w:val="nil"/>
                  </w:tcBorders>
                  <w:noWrap w:val="0"/>
                  <w:vAlign w:val="center"/>
                </w:tcPr>
                <w:p w14:paraId="0D7BD9F4">
                  <w:pPr>
                    <w:adjustRightInd w:val="0"/>
                    <w:snapToGrid w:val="0"/>
                    <w:jc w:val="center"/>
                    <w:rPr>
                      <w:rFonts w:hint="default"/>
                      <w:color w:val="auto"/>
                      <w:szCs w:val="21"/>
                      <w:lang w:val="en-US" w:eastAsia="zh-CN"/>
                    </w:rPr>
                  </w:pPr>
                  <w:r>
                    <w:rPr>
                      <w:rFonts w:hint="eastAsia"/>
                      <w:color w:val="auto"/>
                      <w:szCs w:val="21"/>
                      <w:lang w:val="en-US" w:eastAsia="zh-CN"/>
                    </w:rPr>
                    <w:t>0.0000525</w:t>
                  </w:r>
                </w:p>
              </w:tc>
            </w:tr>
            <w:tr w14:paraId="56F8D2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7" w:type="pct"/>
                  <w:tcBorders>
                    <w:tl2br w:val="nil"/>
                    <w:tr2bl w:val="nil"/>
                  </w:tcBorders>
                  <w:noWrap w:val="0"/>
                  <w:vAlign w:val="center"/>
                </w:tcPr>
                <w:p w14:paraId="74879A15">
                  <w:pPr>
                    <w:adjustRightInd w:val="0"/>
                    <w:snapToGrid w:val="0"/>
                    <w:jc w:val="center"/>
                    <w:rPr>
                      <w:rFonts w:hint="eastAsia" w:eastAsia="宋体"/>
                      <w:color w:val="auto"/>
                      <w:szCs w:val="21"/>
                      <w:lang w:eastAsia="zh-CN"/>
                    </w:rPr>
                  </w:pPr>
                  <w:r>
                    <w:rPr>
                      <w:rFonts w:hint="eastAsia"/>
                      <w:color w:val="auto"/>
                      <w:szCs w:val="21"/>
                      <w:lang w:val="en-US" w:eastAsia="zh-CN"/>
                    </w:rPr>
                    <w:t>甲醇</w:t>
                  </w:r>
                </w:p>
              </w:tc>
              <w:tc>
                <w:tcPr>
                  <w:tcW w:w="1220" w:type="pct"/>
                  <w:tcBorders>
                    <w:tl2br w:val="nil"/>
                    <w:tr2bl w:val="nil"/>
                  </w:tcBorders>
                  <w:noWrap w:val="0"/>
                  <w:vAlign w:val="center"/>
                </w:tcPr>
                <w:p w14:paraId="697C2D89">
                  <w:pPr>
                    <w:adjustRightInd w:val="0"/>
                    <w:snapToGrid w:val="0"/>
                    <w:jc w:val="center"/>
                    <w:rPr>
                      <w:color w:val="auto"/>
                      <w:szCs w:val="21"/>
                    </w:rPr>
                  </w:pPr>
                  <w:r>
                    <w:rPr>
                      <w:rFonts w:hint="eastAsia"/>
                      <w:color w:val="auto"/>
                      <w:szCs w:val="21"/>
                    </w:rPr>
                    <w:t xml:space="preserve"> 0.0395t</w:t>
                  </w:r>
                </w:p>
              </w:tc>
              <w:tc>
                <w:tcPr>
                  <w:tcW w:w="1220" w:type="pct"/>
                  <w:tcBorders>
                    <w:tl2br w:val="nil"/>
                    <w:tr2bl w:val="nil"/>
                  </w:tcBorders>
                  <w:noWrap w:val="0"/>
                  <w:vAlign w:val="center"/>
                </w:tcPr>
                <w:p w14:paraId="670BD91F">
                  <w:pPr>
                    <w:adjustRightInd w:val="0"/>
                    <w:snapToGrid w:val="0"/>
                    <w:jc w:val="center"/>
                    <w:rPr>
                      <w:color w:val="auto"/>
                      <w:szCs w:val="21"/>
                    </w:rPr>
                  </w:pPr>
                  <w:r>
                    <w:rPr>
                      <w:rFonts w:hint="eastAsia"/>
                      <w:color w:val="auto"/>
                      <w:szCs w:val="21"/>
                      <w:lang w:val="en-US" w:eastAsia="zh-CN"/>
                    </w:rPr>
                    <w:t>10</w:t>
                  </w:r>
                  <w:r>
                    <w:rPr>
                      <w:rFonts w:hint="eastAsia"/>
                      <w:color w:val="auto"/>
                      <w:szCs w:val="21"/>
                    </w:rPr>
                    <w:t>t</w:t>
                  </w:r>
                </w:p>
              </w:tc>
              <w:tc>
                <w:tcPr>
                  <w:tcW w:w="1221" w:type="pct"/>
                  <w:tcBorders>
                    <w:tl2br w:val="nil"/>
                    <w:tr2bl w:val="nil"/>
                  </w:tcBorders>
                  <w:noWrap w:val="0"/>
                  <w:vAlign w:val="center"/>
                </w:tcPr>
                <w:p w14:paraId="7264FA37">
                  <w:pPr>
                    <w:adjustRightInd w:val="0"/>
                    <w:snapToGrid w:val="0"/>
                    <w:jc w:val="center"/>
                    <w:rPr>
                      <w:rFonts w:hint="default" w:eastAsia="宋体"/>
                      <w:color w:val="auto"/>
                      <w:szCs w:val="21"/>
                      <w:lang w:val="en-US" w:eastAsia="zh-CN"/>
                    </w:rPr>
                  </w:pPr>
                  <w:r>
                    <w:rPr>
                      <w:rFonts w:hint="eastAsia"/>
                      <w:color w:val="auto"/>
                      <w:szCs w:val="21"/>
                      <w:lang w:val="en-US" w:eastAsia="zh-CN"/>
                    </w:rPr>
                    <w:t>0.00395</w:t>
                  </w:r>
                </w:p>
              </w:tc>
            </w:tr>
            <w:tr w14:paraId="585A6F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7" w:type="pct"/>
                  <w:tcBorders>
                    <w:tl2br w:val="nil"/>
                    <w:tr2bl w:val="nil"/>
                  </w:tcBorders>
                  <w:noWrap w:val="0"/>
                  <w:vAlign w:val="center"/>
                </w:tcPr>
                <w:p w14:paraId="4A9E27F4">
                  <w:pPr>
                    <w:adjustRightInd w:val="0"/>
                    <w:snapToGrid w:val="0"/>
                    <w:jc w:val="center"/>
                    <w:rPr>
                      <w:rFonts w:hint="default"/>
                      <w:color w:val="auto"/>
                      <w:szCs w:val="21"/>
                      <w:lang w:val="en-US" w:eastAsia="zh-CN"/>
                    </w:rPr>
                  </w:pPr>
                  <w:r>
                    <w:rPr>
                      <w:rFonts w:hint="eastAsia"/>
                      <w:color w:val="auto"/>
                      <w:szCs w:val="21"/>
                      <w:lang w:val="en-US" w:eastAsia="zh-CN"/>
                    </w:rPr>
                    <w:t>异丙醇</w:t>
                  </w:r>
                </w:p>
              </w:tc>
              <w:tc>
                <w:tcPr>
                  <w:tcW w:w="1220" w:type="pct"/>
                  <w:tcBorders>
                    <w:tl2br w:val="nil"/>
                    <w:tr2bl w:val="nil"/>
                  </w:tcBorders>
                  <w:noWrap w:val="0"/>
                  <w:vAlign w:val="center"/>
                </w:tcPr>
                <w:p w14:paraId="3F5E7D26">
                  <w:pPr>
                    <w:adjustRightInd w:val="0"/>
                    <w:snapToGrid w:val="0"/>
                    <w:jc w:val="center"/>
                    <w:rPr>
                      <w:rFonts w:hint="default" w:eastAsia="宋体"/>
                      <w:color w:val="auto"/>
                      <w:szCs w:val="21"/>
                      <w:lang w:val="en-US" w:eastAsia="zh-CN"/>
                    </w:rPr>
                  </w:pPr>
                  <w:r>
                    <w:rPr>
                      <w:rFonts w:hint="eastAsia"/>
                      <w:color w:val="auto"/>
                      <w:szCs w:val="21"/>
                      <w:lang w:val="en-US" w:eastAsia="zh-CN"/>
                    </w:rPr>
                    <w:t>0.0381t</w:t>
                  </w:r>
                </w:p>
              </w:tc>
              <w:tc>
                <w:tcPr>
                  <w:tcW w:w="1220" w:type="pct"/>
                  <w:tcBorders>
                    <w:tl2br w:val="nil"/>
                    <w:tr2bl w:val="nil"/>
                  </w:tcBorders>
                  <w:noWrap w:val="0"/>
                  <w:vAlign w:val="center"/>
                </w:tcPr>
                <w:p w14:paraId="37D3FFB1">
                  <w:pPr>
                    <w:adjustRightInd w:val="0"/>
                    <w:snapToGrid w:val="0"/>
                    <w:jc w:val="center"/>
                    <w:rPr>
                      <w:rFonts w:hint="eastAsia"/>
                      <w:color w:val="auto"/>
                      <w:szCs w:val="21"/>
                      <w:lang w:val="en-US" w:eastAsia="zh-CN"/>
                    </w:rPr>
                  </w:pPr>
                  <w:r>
                    <w:rPr>
                      <w:rFonts w:hint="eastAsia"/>
                      <w:color w:val="auto"/>
                      <w:szCs w:val="21"/>
                      <w:lang w:val="en-US" w:eastAsia="zh-CN"/>
                    </w:rPr>
                    <w:t>10</w:t>
                  </w:r>
                  <w:r>
                    <w:rPr>
                      <w:rFonts w:hint="eastAsia"/>
                      <w:color w:val="auto"/>
                      <w:szCs w:val="21"/>
                    </w:rPr>
                    <w:t>t</w:t>
                  </w:r>
                </w:p>
              </w:tc>
              <w:tc>
                <w:tcPr>
                  <w:tcW w:w="1221" w:type="pct"/>
                  <w:tcBorders>
                    <w:tl2br w:val="nil"/>
                    <w:tr2bl w:val="nil"/>
                  </w:tcBorders>
                  <w:noWrap w:val="0"/>
                  <w:vAlign w:val="center"/>
                </w:tcPr>
                <w:p w14:paraId="61150471">
                  <w:pPr>
                    <w:adjustRightInd w:val="0"/>
                    <w:snapToGrid w:val="0"/>
                    <w:jc w:val="center"/>
                    <w:rPr>
                      <w:rFonts w:hint="default" w:eastAsia="宋体"/>
                      <w:color w:val="auto"/>
                      <w:szCs w:val="21"/>
                      <w:lang w:val="en-US" w:eastAsia="zh-CN"/>
                    </w:rPr>
                  </w:pPr>
                  <w:r>
                    <w:rPr>
                      <w:rFonts w:hint="eastAsia"/>
                      <w:color w:val="auto"/>
                      <w:szCs w:val="21"/>
                      <w:lang w:val="en-US" w:eastAsia="zh-CN"/>
                    </w:rPr>
                    <w:t>0.00381</w:t>
                  </w:r>
                </w:p>
              </w:tc>
            </w:tr>
            <w:tr w14:paraId="4E0546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7" w:type="pct"/>
                  <w:tcBorders>
                    <w:tl2br w:val="nil"/>
                    <w:tr2bl w:val="nil"/>
                  </w:tcBorders>
                  <w:noWrap w:val="0"/>
                  <w:vAlign w:val="center"/>
                </w:tcPr>
                <w:p w14:paraId="28F2503C">
                  <w:pPr>
                    <w:adjustRightInd w:val="0"/>
                    <w:snapToGrid w:val="0"/>
                    <w:jc w:val="center"/>
                    <w:rPr>
                      <w:rFonts w:hint="default"/>
                      <w:color w:val="auto"/>
                      <w:szCs w:val="21"/>
                      <w:lang w:val="en-US" w:eastAsia="zh-CN"/>
                    </w:rPr>
                  </w:pPr>
                  <w:r>
                    <w:rPr>
                      <w:rFonts w:hint="eastAsia"/>
                      <w:color w:val="auto"/>
                      <w:szCs w:val="21"/>
                      <w:lang w:val="en-US" w:eastAsia="zh-CN"/>
                    </w:rPr>
                    <w:t>甲苯</w:t>
                  </w:r>
                </w:p>
              </w:tc>
              <w:tc>
                <w:tcPr>
                  <w:tcW w:w="1220" w:type="pct"/>
                  <w:tcBorders>
                    <w:tl2br w:val="nil"/>
                    <w:tr2bl w:val="nil"/>
                  </w:tcBorders>
                  <w:noWrap w:val="0"/>
                  <w:vAlign w:val="center"/>
                </w:tcPr>
                <w:p w14:paraId="0F4019CA">
                  <w:pPr>
                    <w:adjustRightInd w:val="0"/>
                    <w:snapToGrid w:val="0"/>
                    <w:jc w:val="center"/>
                    <w:rPr>
                      <w:rFonts w:hint="default" w:eastAsia="宋体"/>
                      <w:color w:val="auto"/>
                      <w:szCs w:val="21"/>
                      <w:lang w:val="en-US" w:eastAsia="zh-CN"/>
                    </w:rPr>
                  </w:pPr>
                  <w:r>
                    <w:rPr>
                      <w:rFonts w:hint="eastAsia"/>
                      <w:color w:val="auto"/>
                      <w:szCs w:val="21"/>
                      <w:lang w:val="en-US" w:eastAsia="zh-CN"/>
                    </w:rPr>
                    <w:t>0.02t</w:t>
                  </w:r>
                </w:p>
              </w:tc>
              <w:tc>
                <w:tcPr>
                  <w:tcW w:w="1220" w:type="pct"/>
                  <w:tcBorders>
                    <w:tl2br w:val="nil"/>
                    <w:tr2bl w:val="nil"/>
                  </w:tcBorders>
                  <w:noWrap w:val="0"/>
                  <w:vAlign w:val="center"/>
                </w:tcPr>
                <w:p w14:paraId="031F6205">
                  <w:pPr>
                    <w:adjustRightInd w:val="0"/>
                    <w:snapToGrid w:val="0"/>
                    <w:jc w:val="center"/>
                    <w:rPr>
                      <w:rFonts w:hint="eastAsia"/>
                      <w:color w:val="auto"/>
                      <w:szCs w:val="21"/>
                      <w:lang w:val="en-US" w:eastAsia="zh-CN"/>
                    </w:rPr>
                  </w:pPr>
                  <w:r>
                    <w:rPr>
                      <w:rFonts w:hint="eastAsia"/>
                      <w:color w:val="auto"/>
                      <w:szCs w:val="21"/>
                      <w:lang w:val="en-US" w:eastAsia="zh-CN"/>
                    </w:rPr>
                    <w:t>10</w:t>
                  </w:r>
                  <w:r>
                    <w:rPr>
                      <w:rFonts w:hint="eastAsia"/>
                      <w:color w:val="auto"/>
                      <w:szCs w:val="21"/>
                    </w:rPr>
                    <w:t>t</w:t>
                  </w:r>
                </w:p>
              </w:tc>
              <w:tc>
                <w:tcPr>
                  <w:tcW w:w="1221" w:type="pct"/>
                  <w:tcBorders>
                    <w:tl2br w:val="nil"/>
                    <w:tr2bl w:val="nil"/>
                  </w:tcBorders>
                  <w:noWrap w:val="0"/>
                  <w:vAlign w:val="center"/>
                </w:tcPr>
                <w:p w14:paraId="46CC5B75">
                  <w:pPr>
                    <w:adjustRightInd w:val="0"/>
                    <w:snapToGrid w:val="0"/>
                    <w:jc w:val="center"/>
                    <w:rPr>
                      <w:rFonts w:hint="default" w:eastAsia="宋体"/>
                      <w:color w:val="auto"/>
                      <w:szCs w:val="21"/>
                      <w:lang w:val="en-US" w:eastAsia="zh-CN"/>
                    </w:rPr>
                  </w:pPr>
                  <w:r>
                    <w:rPr>
                      <w:rFonts w:hint="eastAsia"/>
                      <w:color w:val="auto"/>
                      <w:szCs w:val="21"/>
                      <w:lang w:val="en-US" w:eastAsia="zh-CN"/>
                    </w:rPr>
                    <w:t>0.002</w:t>
                  </w:r>
                </w:p>
              </w:tc>
            </w:tr>
          </w:tbl>
          <w:p w14:paraId="1B8BFBD9">
            <w:pPr>
              <w:adjustRightInd w:val="0"/>
              <w:snapToGrid w:val="0"/>
              <w:spacing w:line="360" w:lineRule="auto"/>
              <w:ind w:firstLine="480" w:firstLineChars="200"/>
              <w:rPr>
                <w:color w:val="auto"/>
                <w:sz w:val="24"/>
              </w:rPr>
            </w:pPr>
            <w:r>
              <w:rPr>
                <w:rFonts w:hint="eastAsia"/>
                <w:color w:val="auto"/>
                <w:sz w:val="24"/>
              </w:rPr>
              <w:t>根据上表计算项目</w:t>
            </w:r>
            <w:r>
              <w:rPr>
                <w:rFonts w:hint="eastAsia"/>
                <w:color w:val="auto"/>
                <w:sz w:val="24"/>
                <w:lang w:val="en-US" w:eastAsia="zh-CN"/>
              </w:rPr>
              <w:t>危险</w:t>
            </w:r>
            <w:r>
              <w:rPr>
                <w:rFonts w:hint="eastAsia"/>
                <w:color w:val="auto"/>
                <w:sz w:val="24"/>
              </w:rPr>
              <w:t>物质Q值为</w:t>
            </w:r>
            <w:r>
              <w:rPr>
                <w:rFonts w:hint="eastAsia"/>
                <w:color w:val="auto"/>
                <w:sz w:val="24"/>
                <w:lang w:val="en-US" w:eastAsia="zh-CN"/>
              </w:rPr>
              <w:t>0.0098735</w:t>
            </w:r>
            <w:r>
              <w:rPr>
                <w:rFonts w:hint="eastAsia"/>
                <w:color w:val="auto"/>
                <w:sz w:val="24"/>
              </w:rPr>
              <w:t>＜1，故本项目环境风险评价等级为简</w:t>
            </w:r>
            <w:r>
              <w:rPr>
                <w:rFonts w:hint="eastAsia"/>
                <w:color w:val="auto"/>
                <w:sz w:val="24"/>
                <w:lang w:val="en-US" w:eastAsia="zh-CN"/>
              </w:rPr>
              <w:t>要</w:t>
            </w:r>
            <w:r>
              <w:rPr>
                <w:rFonts w:hint="eastAsia"/>
                <w:color w:val="auto"/>
                <w:sz w:val="24"/>
              </w:rPr>
              <w:t>分析。</w:t>
            </w:r>
          </w:p>
          <w:p w14:paraId="0198F14E">
            <w:pPr>
              <w:spacing w:line="360" w:lineRule="auto"/>
              <w:ind w:firstLine="480" w:firstLineChars="200"/>
              <w:rPr>
                <w:color w:val="auto"/>
                <w:sz w:val="24"/>
              </w:rPr>
            </w:pPr>
            <w:r>
              <w:rPr>
                <w:rFonts w:hint="eastAsia"/>
                <w:color w:val="auto"/>
                <w:sz w:val="24"/>
              </w:rPr>
              <w:t>本项目</w:t>
            </w:r>
            <w:r>
              <w:rPr>
                <w:rFonts w:hint="eastAsia"/>
                <w:color w:val="auto"/>
                <w:sz w:val="24"/>
                <w:lang w:val="en-US" w:eastAsia="zh-CN"/>
              </w:rPr>
              <w:t>风险物质</w:t>
            </w:r>
            <w:r>
              <w:rPr>
                <w:rFonts w:hint="eastAsia"/>
                <w:color w:val="auto"/>
                <w:sz w:val="24"/>
              </w:rPr>
              <w:t>库存量较小，使用周期短，同时</w:t>
            </w:r>
            <w:r>
              <w:rPr>
                <w:rFonts w:hint="eastAsia"/>
                <w:color w:val="auto"/>
                <w:sz w:val="24"/>
                <w:lang w:val="en-US" w:eastAsia="zh-CN"/>
              </w:rPr>
              <w:t>配</w:t>
            </w:r>
            <w:r>
              <w:rPr>
                <w:rFonts w:hint="eastAsia"/>
                <w:color w:val="auto"/>
                <w:sz w:val="24"/>
              </w:rPr>
              <w:t>有专人保管，有严格的购置、存储、使用等操作规程，</w:t>
            </w:r>
            <w:r>
              <w:rPr>
                <w:rFonts w:hint="eastAsia"/>
                <w:color w:val="auto"/>
                <w:sz w:val="24"/>
                <w:lang w:val="en-US" w:eastAsia="zh-CN"/>
              </w:rPr>
              <w:t>故</w:t>
            </w:r>
            <w:r>
              <w:rPr>
                <w:rFonts w:hint="eastAsia"/>
                <w:color w:val="auto"/>
                <w:sz w:val="24"/>
              </w:rPr>
              <w:t>风险可控</w:t>
            </w:r>
            <w:r>
              <w:rPr>
                <w:color w:val="auto"/>
                <w:sz w:val="24"/>
              </w:rPr>
              <w:t>。</w:t>
            </w:r>
          </w:p>
          <w:p w14:paraId="452A9818">
            <w:pPr>
              <w:spacing w:line="360" w:lineRule="auto"/>
              <w:ind w:firstLine="480" w:firstLineChars="200"/>
              <w:rPr>
                <w:bCs/>
                <w:color w:val="auto"/>
                <w:sz w:val="24"/>
              </w:rPr>
            </w:pPr>
            <w:r>
              <w:rPr>
                <w:bCs/>
                <w:color w:val="auto"/>
                <w:sz w:val="24"/>
              </w:rPr>
              <w:t>（</w:t>
            </w:r>
            <w:r>
              <w:rPr>
                <w:rFonts w:hint="eastAsia"/>
                <w:bCs/>
                <w:color w:val="auto"/>
                <w:sz w:val="24"/>
              </w:rPr>
              <w:t>2</w:t>
            </w:r>
            <w:r>
              <w:rPr>
                <w:bCs/>
                <w:color w:val="auto"/>
                <w:sz w:val="24"/>
              </w:rPr>
              <w:t>）</w:t>
            </w:r>
            <w:r>
              <w:rPr>
                <w:rFonts w:hint="eastAsia"/>
                <w:bCs/>
                <w:color w:val="auto"/>
                <w:sz w:val="24"/>
              </w:rPr>
              <w:t>风险源分布及可能影响途径</w:t>
            </w:r>
          </w:p>
          <w:p w14:paraId="3787191D">
            <w:pPr>
              <w:spacing w:line="360" w:lineRule="auto"/>
              <w:ind w:firstLine="480" w:firstLineChars="200"/>
              <w:rPr>
                <w:bCs/>
                <w:color w:val="auto"/>
                <w:sz w:val="24"/>
              </w:rPr>
            </w:pPr>
            <w:r>
              <w:rPr>
                <w:rFonts w:hint="eastAsia"/>
                <w:color w:val="auto"/>
                <w:sz w:val="24"/>
              </w:rPr>
              <w:t>本项目存在的环境风险主要是试剂的泄漏可能引起的腐蚀、中毒和火灾。在储存和使用过程中，由于操作不当等因素，可能会导致试剂的泄漏。由于项目使用化学品数量较少，可及时收集全部泄漏物，并转移到空置的容器内；或可及时用抹布或专用毡布进行擦洗，不会引起环境污染。对于腐蚀性物质和易燃物质，只要进行妥善收集处理，事先做好防护工作，则产生较严重环境污染和人员健康损害事故的可能性很小</w:t>
            </w:r>
            <w:r>
              <w:rPr>
                <w:rFonts w:hint="eastAsia"/>
                <w:bCs/>
                <w:color w:val="auto"/>
                <w:sz w:val="24"/>
              </w:rPr>
              <w:t>。</w:t>
            </w:r>
          </w:p>
          <w:p w14:paraId="2AFAC166">
            <w:pPr>
              <w:spacing w:line="360" w:lineRule="auto"/>
              <w:ind w:firstLine="480" w:firstLineChars="200"/>
              <w:rPr>
                <w:bCs/>
                <w:color w:val="auto"/>
                <w:sz w:val="24"/>
              </w:rPr>
            </w:pPr>
            <w:r>
              <w:rPr>
                <w:bCs/>
                <w:color w:val="auto"/>
                <w:sz w:val="24"/>
              </w:rPr>
              <w:t>（</w:t>
            </w:r>
            <w:r>
              <w:rPr>
                <w:rFonts w:hint="eastAsia"/>
                <w:bCs/>
                <w:color w:val="auto"/>
                <w:sz w:val="24"/>
              </w:rPr>
              <w:t>3</w:t>
            </w:r>
            <w:r>
              <w:rPr>
                <w:bCs/>
                <w:color w:val="auto"/>
                <w:sz w:val="24"/>
              </w:rPr>
              <w:t>）建议采取以下环境风险防范措施</w:t>
            </w:r>
          </w:p>
          <w:p w14:paraId="0F3FB203">
            <w:pPr>
              <w:spacing w:line="360" w:lineRule="auto"/>
              <w:ind w:firstLine="480" w:firstLineChars="200"/>
              <w:rPr>
                <w:color w:val="auto"/>
                <w:sz w:val="24"/>
              </w:rPr>
            </w:pPr>
            <w:r>
              <w:rPr>
                <w:rFonts w:hint="eastAsia"/>
                <w:color w:val="auto"/>
                <w:sz w:val="24"/>
              </w:rPr>
              <w:t xml:space="preserve">为使环境风险减小到最低限度，必须加强安全管理，制定完备、有效的防范措施，尽可能降低项目环境风险事故发生的概率。 </w:t>
            </w:r>
          </w:p>
          <w:p w14:paraId="2BCB9E84">
            <w:pPr>
              <w:spacing w:line="360" w:lineRule="auto"/>
              <w:ind w:firstLine="480" w:firstLineChars="200"/>
              <w:rPr>
                <w:color w:val="auto"/>
                <w:sz w:val="24"/>
              </w:rPr>
            </w:pPr>
            <w:r>
              <w:rPr>
                <w:rFonts w:hint="eastAsia"/>
                <w:color w:val="auto"/>
                <w:sz w:val="24"/>
              </w:rPr>
              <w:t>①严格按照相关设计规范和要求落实防护设施，制定安全操作规章制度，加强安全意识教育，加强监督管理，消除事故隐患；</w:t>
            </w:r>
          </w:p>
          <w:p w14:paraId="40561E56">
            <w:pPr>
              <w:spacing w:line="360" w:lineRule="auto"/>
              <w:ind w:firstLine="480" w:firstLineChars="200"/>
              <w:rPr>
                <w:color w:val="auto"/>
                <w:sz w:val="24"/>
              </w:rPr>
            </w:pPr>
            <w:r>
              <w:rPr>
                <w:rFonts w:hint="eastAsia"/>
                <w:color w:val="auto"/>
                <w:sz w:val="24"/>
              </w:rPr>
              <w:t>②各类液体化学品应包装完好无损，不同化学品之间应隔开存放。</w:t>
            </w:r>
          </w:p>
          <w:p w14:paraId="4287822E">
            <w:pPr>
              <w:widowControl/>
              <w:spacing w:line="360" w:lineRule="auto"/>
              <w:ind w:firstLine="480" w:firstLineChars="200"/>
              <w:rPr>
                <w:color w:val="auto"/>
                <w:sz w:val="24"/>
              </w:rPr>
            </w:pPr>
            <w:r>
              <w:rPr>
                <w:rFonts w:hint="eastAsia"/>
                <w:color w:val="auto"/>
                <w:sz w:val="24"/>
              </w:rPr>
              <w:t>③加强巡视检查，建立系统规范的评估、审批、作业、监护、应急程序、事故报告等管理制度。</w:t>
            </w:r>
          </w:p>
          <w:p w14:paraId="4AA650CA">
            <w:pPr>
              <w:spacing w:line="360" w:lineRule="auto"/>
              <w:ind w:firstLine="480" w:firstLineChars="200"/>
              <w:rPr>
                <w:color w:val="auto"/>
                <w:sz w:val="24"/>
                <w:szCs w:val="24"/>
              </w:rPr>
            </w:pPr>
            <w:r>
              <w:rPr>
                <w:rFonts w:hint="eastAsia"/>
                <w:color w:val="auto"/>
                <w:sz w:val="24"/>
                <w:szCs w:val="24"/>
              </w:rPr>
              <w:t>④编制突发环境事件应急预案，并按要求定期进行演练。</w:t>
            </w:r>
          </w:p>
          <w:p w14:paraId="1968BBF3">
            <w:pPr>
              <w:adjustRightInd w:val="0"/>
              <w:snapToGrid w:val="0"/>
              <w:spacing w:line="360" w:lineRule="auto"/>
              <w:ind w:firstLine="480" w:firstLineChars="200"/>
              <w:rPr>
                <w:bCs/>
                <w:color w:val="auto"/>
                <w:sz w:val="24"/>
                <w:szCs w:val="24"/>
              </w:rPr>
            </w:pPr>
            <w:r>
              <w:rPr>
                <w:bCs/>
                <w:color w:val="auto"/>
                <w:sz w:val="24"/>
                <w:szCs w:val="24"/>
              </w:rPr>
              <w:t>（</w:t>
            </w:r>
            <w:r>
              <w:rPr>
                <w:rFonts w:hint="eastAsia"/>
                <w:bCs/>
                <w:color w:val="auto"/>
                <w:sz w:val="24"/>
                <w:szCs w:val="24"/>
              </w:rPr>
              <w:t>4</w:t>
            </w:r>
            <w:r>
              <w:rPr>
                <w:bCs/>
                <w:color w:val="auto"/>
                <w:sz w:val="24"/>
                <w:szCs w:val="24"/>
              </w:rPr>
              <w:t>）分析结论</w:t>
            </w:r>
          </w:p>
          <w:p w14:paraId="4F22453E">
            <w:pPr>
              <w:numPr>
                <w:ilvl w:val="0"/>
                <w:numId w:val="0"/>
              </w:numPr>
              <w:adjustRightInd w:val="0"/>
              <w:snapToGrid w:val="0"/>
              <w:spacing w:line="360" w:lineRule="auto"/>
              <w:ind w:leftChars="0" w:firstLine="480" w:firstLineChars="200"/>
              <w:rPr>
                <w:rFonts w:hint="default" w:ascii="Times New Roman" w:hAnsi="Times New Roman" w:cs="Times New Roman"/>
                <w:bCs/>
                <w:color w:val="auto"/>
                <w:spacing w:val="0"/>
                <w:sz w:val="24"/>
                <w:szCs w:val="24"/>
                <w:lang w:val="en-US" w:eastAsia="zh-CN"/>
              </w:rPr>
            </w:pPr>
            <w:r>
              <w:rPr>
                <w:bCs/>
                <w:color w:val="auto"/>
                <w:sz w:val="24"/>
                <w:szCs w:val="24"/>
              </w:rPr>
              <w:t>通过采取以上环境风险防范措施，本项目环境风险能够控制在可接受范围之内</w:t>
            </w:r>
            <w:r>
              <w:rPr>
                <w:rFonts w:hint="default" w:ascii="Times New Roman" w:hAnsi="Times New Roman" w:eastAsia="宋体" w:cs="Times New Roman"/>
                <w:color w:val="auto"/>
                <w:sz w:val="24"/>
                <w:szCs w:val="24"/>
                <w:lang w:val="en-US" w:eastAsia="zh-CN"/>
              </w:rPr>
              <w:t>。</w:t>
            </w:r>
          </w:p>
        </w:tc>
      </w:tr>
    </w:tbl>
    <w:p w14:paraId="274076DD">
      <w:pPr>
        <w:adjustRightInd w:val="0"/>
        <w:snapToGrid w:val="0"/>
        <w:spacing w:line="360" w:lineRule="auto"/>
        <w:rPr>
          <w:rFonts w:hint="default" w:ascii="Times New Roman" w:hAnsi="Times New Roman" w:cs="Times New Roman"/>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58FAE546">
      <w:pPr>
        <w:pStyle w:val="23"/>
        <w:jc w:val="center"/>
        <w:outlineLvl w:val="0"/>
        <w:rPr>
          <w:rFonts w:hint="default" w:ascii="Times New Roman" w:hAnsi="Times New Roman" w:eastAsia="黑体" w:cs="Times New Roman"/>
          <w:snapToGrid w:val="0"/>
          <w:sz w:val="30"/>
          <w:szCs w:val="30"/>
        </w:rPr>
      </w:pPr>
      <w:bookmarkStart w:id="20" w:name="_Toc2420"/>
      <w:r>
        <w:rPr>
          <w:rFonts w:hint="default" w:ascii="Times New Roman" w:hAnsi="Times New Roman" w:eastAsia="黑体" w:cs="Times New Roman"/>
          <w:snapToGrid w:val="0"/>
          <w:sz w:val="30"/>
          <w:szCs w:val="30"/>
        </w:rPr>
        <w:t>五、</w:t>
      </w:r>
      <w:bookmarkStart w:id="21" w:name="_Hlk54167917"/>
      <w:r>
        <w:rPr>
          <w:rFonts w:hint="default" w:ascii="Times New Roman" w:hAnsi="Times New Roman" w:eastAsia="黑体" w:cs="Times New Roman"/>
          <w:snapToGrid w:val="0"/>
          <w:sz w:val="30"/>
          <w:szCs w:val="30"/>
        </w:rPr>
        <w:t>环境保护措施监督检查清单</w:t>
      </w:r>
      <w:bookmarkEnd w:id="20"/>
      <w:bookmarkEnd w:id="21"/>
    </w:p>
    <w:tbl>
      <w:tblPr>
        <w:tblStyle w:val="26"/>
        <w:tblW w:w="5002"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67"/>
        <w:gridCol w:w="1891"/>
        <w:gridCol w:w="1349"/>
        <w:gridCol w:w="1830"/>
        <w:gridCol w:w="2627"/>
      </w:tblGrid>
      <w:tr w14:paraId="5C590B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754" w:type="pct"/>
            <w:tcBorders>
              <w:tl2br w:val="single" w:color="auto" w:sz="4" w:space="0"/>
            </w:tcBorders>
            <w:noWrap w:val="0"/>
            <w:vAlign w:val="center"/>
          </w:tcPr>
          <w:p w14:paraId="484DBF7D">
            <w:pPr>
              <w:widowControl/>
              <w:jc w:val="center"/>
              <w:rPr>
                <w:b/>
                <w:bCs/>
                <w:color w:val="auto"/>
                <w:szCs w:val="21"/>
              </w:rPr>
            </w:pPr>
            <w:r>
              <w:rPr>
                <w:rFonts w:hint="eastAsia"/>
                <w:b/>
                <w:bCs/>
                <w:color w:val="auto"/>
                <w:szCs w:val="21"/>
              </w:rPr>
              <w:t xml:space="preserve">      </w:t>
            </w:r>
            <w:r>
              <w:rPr>
                <w:b/>
                <w:bCs/>
                <w:color w:val="auto"/>
                <w:szCs w:val="21"/>
              </w:rPr>
              <w:t>内容</w:t>
            </w:r>
          </w:p>
          <w:p w14:paraId="655863B2">
            <w:pPr>
              <w:widowControl/>
              <w:rPr>
                <w:b/>
                <w:bCs/>
                <w:color w:val="auto"/>
                <w:szCs w:val="21"/>
              </w:rPr>
            </w:pPr>
            <w:r>
              <w:rPr>
                <w:b/>
                <w:bCs/>
                <w:color w:val="auto"/>
                <w:szCs w:val="21"/>
              </w:rPr>
              <w:t>要素</w:t>
            </w:r>
          </w:p>
        </w:tc>
        <w:tc>
          <w:tcPr>
            <w:tcW w:w="1043" w:type="pct"/>
            <w:noWrap w:val="0"/>
            <w:vAlign w:val="center"/>
          </w:tcPr>
          <w:p w14:paraId="036A9445">
            <w:pPr>
              <w:widowControl/>
              <w:jc w:val="center"/>
              <w:rPr>
                <w:b/>
                <w:bCs/>
                <w:color w:val="auto"/>
                <w:szCs w:val="21"/>
              </w:rPr>
            </w:pPr>
            <w:r>
              <w:rPr>
                <w:b/>
                <w:bCs/>
                <w:color w:val="auto"/>
                <w:szCs w:val="21"/>
              </w:rPr>
              <w:t>排放口(编号、</w:t>
            </w:r>
          </w:p>
          <w:p w14:paraId="52476EF1">
            <w:pPr>
              <w:widowControl/>
              <w:jc w:val="center"/>
              <w:rPr>
                <w:b/>
                <w:bCs/>
                <w:color w:val="auto"/>
                <w:szCs w:val="21"/>
              </w:rPr>
            </w:pPr>
            <w:r>
              <w:rPr>
                <w:b/>
                <w:bCs/>
                <w:color w:val="auto"/>
                <w:szCs w:val="21"/>
              </w:rPr>
              <w:t>名称)/污染源</w:t>
            </w:r>
          </w:p>
        </w:tc>
        <w:tc>
          <w:tcPr>
            <w:tcW w:w="744" w:type="pct"/>
            <w:noWrap w:val="0"/>
            <w:vAlign w:val="center"/>
          </w:tcPr>
          <w:p w14:paraId="626EBED2">
            <w:pPr>
              <w:widowControl/>
              <w:jc w:val="center"/>
              <w:rPr>
                <w:b/>
                <w:bCs/>
                <w:color w:val="auto"/>
                <w:szCs w:val="21"/>
              </w:rPr>
            </w:pPr>
            <w:r>
              <w:rPr>
                <w:b/>
                <w:bCs/>
                <w:color w:val="auto"/>
                <w:szCs w:val="21"/>
              </w:rPr>
              <w:t>污染物项目</w:t>
            </w:r>
          </w:p>
        </w:tc>
        <w:tc>
          <w:tcPr>
            <w:tcW w:w="1009" w:type="pct"/>
            <w:noWrap w:val="0"/>
            <w:vAlign w:val="center"/>
          </w:tcPr>
          <w:p w14:paraId="3D7EB8BD">
            <w:pPr>
              <w:widowControl/>
              <w:jc w:val="center"/>
              <w:rPr>
                <w:b/>
                <w:bCs/>
                <w:color w:val="auto"/>
                <w:szCs w:val="21"/>
              </w:rPr>
            </w:pPr>
            <w:r>
              <w:rPr>
                <w:b/>
                <w:bCs/>
                <w:color w:val="auto"/>
                <w:szCs w:val="21"/>
              </w:rPr>
              <w:t>环境保护措施</w:t>
            </w:r>
          </w:p>
        </w:tc>
        <w:tc>
          <w:tcPr>
            <w:tcW w:w="1449" w:type="pct"/>
            <w:noWrap w:val="0"/>
            <w:vAlign w:val="center"/>
          </w:tcPr>
          <w:p w14:paraId="1E3946DB">
            <w:pPr>
              <w:widowControl/>
              <w:jc w:val="center"/>
              <w:rPr>
                <w:b/>
                <w:bCs/>
                <w:color w:val="auto"/>
                <w:szCs w:val="21"/>
              </w:rPr>
            </w:pPr>
            <w:r>
              <w:rPr>
                <w:b/>
                <w:bCs/>
                <w:color w:val="auto"/>
                <w:szCs w:val="21"/>
              </w:rPr>
              <w:t>执行标准</w:t>
            </w:r>
          </w:p>
        </w:tc>
      </w:tr>
      <w:tr w14:paraId="6F6225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54" w:type="pct"/>
            <w:vMerge w:val="restart"/>
            <w:noWrap w:val="0"/>
            <w:vAlign w:val="center"/>
          </w:tcPr>
          <w:p w14:paraId="5161D60A">
            <w:pPr>
              <w:widowControl/>
              <w:jc w:val="center"/>
              <w:rPr>
                <w:color w:val="auto"/>
                <w:szCs w:val="21"/>
              </w:rPr>
            </w:pPr>
            <w:r>
              <w:rPr>
                <w:color w:val="auto"/>
                <w:szCs w:val="21"/>
              </w:rPr>
              <w:t>大气环境</w:t>
            </w:r>
          </w:p>
        </w:tc>
        <w:tc>
          <w:tcPr>
            <w:tcW w:w="1043" w:type="pct"/>
            <w:noWrap w:val="0"/>
            <w:vAlign w:val="center"/>
          </w:tcPr>
          <w:p w14:paraId="34334BA5">
            <w:pPr>
              <w:adjustRightInd w:val="0"/>
              <w:snapToGrid w:val="0"/>
              <w:jc w:val="center"/>
              <w:rPr>
                <w:color w:val="auto"/>
                <w:szCs w:val="21"/>
              </w:rPr>
            </w:pPr>
            <w:r>
              <w:rPr>
                <w:rFonts w:hint="eastAsia"/>
                <w:color w:val="auto"/>
                <w:szCs w:val="21"/>
              </w:rPr>
              <w:t>DA001</w:t>
            </w:r>
          </w:p>
        </w:tc>
        <w:tc>
          <w:tcPr>
            <w:tcW w:w="744" w:type="pct"/>
            <w:noWrap w:val="0"/>
            <w:vAlign w:val="center"/>
          </w:tcPr>
          <w:p w14:paraId="0A7E9FCE">
            <w:pPr>
              <w:widowControl/>
              <w:jc w:val="center"/>
              <w:rPr>
                <w:rFonts w:hint="default" w:eastAsia="宋体"/>
                <w:color w:val="auto"/>
                <w:szCs w:val="21"/>
                <w:lang w:val="en-US" w:eastAsia="zh-CN"/>
              </w:rPr>
            </w:pPr>
            <w:r>
              <w:rPr>
                <w:rFonts w:hint="eastAsia"/>
                <w:color w:val="auto"/>
              </w:rPr>
              <w:t>非甲烷总烃</w:t>
            </w:r>
            <w:r>
              <w:rPr>
                <w:rFonts w:hint="eastAsia"/>
                <w:color w:val="auto"/>
                <w:lang w:eastAsia="zh-CN"/>
              </w:rPr>
              <w:t>、</w:t>
            </w:r>
            <w:r>
              <w:rPr>
                <w:rFonts w:hint="eastAsia"/>
                <w:color w:val="auto"/>
                <w:lang w:val="en-US" w:eastAsia="zh-CN"/>
              </w:rPr>
              <w:t>甲醇、甲苯</w:t>
            </w:r>
          </w:p>
        </w:tc>
        <w:tc>
          <w:tcPr>
            <w:tcW w:w="1009" w:type="pct"/>
            <w:noWrap w:val="0"/>
            <w:vAlign w:val="center"/>
          </w:tcPr>
          <w:p w14:paraId="0CF1FB29">
            <w:pPr>
              <w:widowControl/>
              <w:jc w:val="center"/>
              <w:rPr>
                <w:color w:val="auto"/>
                <w:szCs w:val="21"/>
              </w:rPr>
            </w:pPr>
            <w:r>
              <w:rPr>
                <w:rFonts w:hint="eastAsia"/>
                <w:color w:val="auto"/>
                <w:szCs w:val="21"/>
              </w:rPr>
              <w:t>通风橱</w:t>
            </w:r>
            <w:r>
              <w:rPr>
                <w:rFonts w:hint="eastAsia"/>
                <w:color w:val="auto"/>
                <w:szCs w:val="21"/>
                <w:lang w:val="en-US" w:eastAsia="zh-CN"/>
              </w:rPr>
              <w:t>/密闭式管道</w:t>
            </w:r>
            <w:r>
              <w:rPr>
                <w:rFonts w:hint="eastAsia"/>
                <w:color w:val="auto"/>
                <w:szCs w:val="21"/>
              </w:rPr>
              <w:t>+二级活性炭吸附</w:t>
            </w:r>
            <w:r>
              <w:rPr>
                <w:color w:val="auto"/>
                <w:szCs w:val="21"/>
              </w:rPr>
              <w:t>+</w:t>
            </w:r>
            <w:r>
              <w:rPr>
                <w:rFonts w:hint="eastAsia"/>
                <w:color w:val="auto"/>
                <w:szCs w:val="21"/>
                <w:lang w:val="en-US" w:eastAsia="zh-CN"/>
              </w:rPr>
              <w:t>15m</w:t>
            </w:r>
            <w:r>
              <w:rPr>
                <w:color w:val="auto"/>
                <w:szCs w:val="21"/>
              </w:rPr>
              <w:t>排气筒</w:t>
            </w:r>
            <w:r>
              <w:rPr>
                <w:rFonts w:hint="eastAsia"/>
                <w:color w:val="auto"/>
              </w:rPr>
              <w:t>（DA001）</w:t>
            </w:r>
          </w:p>
        </w:tc>
        <w:tc>
          <w:tcPr>
            <w:tcW w:w="1449" w:type="pct"/>
            <w:noWrap w:val="0"/>
            <w:vAlign w:val="center"/>
          </w:tcPr>
          <w:p w14:paraId="1DFB1F51">
            <w:pPr>
              <w:jc w:val="center"/>
              <w:rPr>
                <w:color w:val="auto"/>
                <w:szCs w:val="21"/>
                <w:highlight w:val="none"/>
              </w:rPr>
            </w:pPr>
            <w:r>
              <w:rPr>
                <w:rFonts w:hint="eastAsia"/>
                <w:color w:val="auto"/>
                <w:kern w:val="24"/>
                <w:highlight w:val="none"/>
                <w:lang w:val="en-US" w:eastAsia="zh-CN"/>
              </w:rPr>
              <w:t>《大气污染物综合排放标准》（GB16297-1996）表2二级标准</w:t>
            </w:r>
          </w:p>
        </w:tc>
      </w:tr>
      <w:tr w14:paraId="521FA7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754" w:type="pct"/>
            <w:vMerge w:val="continue"/>
            <w:noWrap w:val="0"/>
            <w:vAlign w:val="center"/>
          </w:tcPr>
          <w:p w14:paraId="32D99681">
            <w:pPr>
              <w:adjustRightInd w:val="0"/>
              <w:snapToGrid w:val="0"/>
              <w:jc w:val="center"/>
              <w:rPr>
                <w:color w:val="auto"/>
              </w:rPr>
            </w:pPr>
          </w:p>
        </w:tc>
        <w:tc>
          <w:tcPr>
            <w:tcW w:w="1043" w:type="pct"/>
            <w:vMerge w:val="restart"/>
            <w:noWrap w:val="0"/>
            <w:vAlign w:val="center"/>
          </w:tcPr>
          <w:p w14:paraId="1B4C170A">
            <w:pPr>
              <w:adjustRightInd w:val="0"/>
              <w:snapToGrid w:val="0"/>
              <w:jc w:val="center"/>
              <w:rPr>
                <w:color w:val="auto"/>
                <w:szCs w:val="21"/>
              </w:rPr>
            </w:pPr>
            <w:r>
              <w:rPr>
                <w:rFonts w:hint="eastAsia"/>
                <w:color w:val="auto"/>
              </w:rPr>
              <w:t>无组织废气</w:t>
            </w:r>
          </w:p>
        </w:tc>
        <w:tc>
          <w:tcPr>
            <w:tcW w:w="744" w:type="pct"/>
            <w:noWrap w:val="0"/>
            <w:vAlign w:val="center"/>
          </w:tcPr>
          <w:p w14:paraId="530340B3">
            <w:pPr>
              <w:jc w:val="center"/>
              <w:rPr>
                <w:color w:val="auto"/>
                <w:szCs w:val="21"/>
              </w:rPr>
            </w:pPr>
            <w:r>
              <w:rPr>
                <w:rFonts w:hint="eastAsia"/>
                <w:color w:val="auto"/>
              </w:rPr>
              <w:t>非甲烷总烃</w:t>
            </w:r>
          </w:p>
        </w:tc>
        <w:tc>
          <w:tcPr>
            <w:tcW w:w="1009" w:type="pct"/>
            <w:vMerge w:val="restart"/>
            <w:noWrap w:val="0"/>
            <w:vAlign w:val="center"/>
          </w:tcPr>
          <w:p w14:paraId="2D62ECF1">
            <w:pPr>
              <w:adjustRightInd w:val="0"/>
              <w:snapToGrid w:val="0"/>
              <w:jc w:val="center"/>
              <w:rPr>
                <w:color w:val="auto"/>
              </w:rPr>
            </w:pPr>
            <w:r>
              <w:rPr>
                <w:rFonts w:hint="eastAsia"/>
                <w:color w:val="auto"/>
              </w:rPr>
              <w:t>室内通风，无组织排出</w:t>
            </w:r>
          </w:p>
        </w:tc>
        <w:tc>
          <w:tcPr>
            <w:tcW w:w="1449" w:type="pct"/>
            <w:noWrap w:val="0"/>
            <w:vAlign w:val="center"/>
          </w:tcPr>
          <w:p w14:paraId="609B13BC">
            <w:pPr>
              <w:adjustRightInd w:val="0"/>
              <w:snapToGrid w:val="0"/>
              <w:jc w:val="center"/>
              <w:rPr>
                <w:color w:val="auto"/>
                <w:highlight w:val="none"/>
              </w:rPr>
            </w:pPr>
            <w:r>
              <w:rPr>
                <w:rFonts w:hint="eastAsia"/>
                <w:color w:val="auto"/>
                <w:kern w:val="24"/>
                <w:highlight w:val="none"/>
                <w:lang w:val="en-US" w:eastAsia="zh-CN"/>
              </w:rPr>
              <w:t>《挥发性有机物无组织排放控制标准》（GB37822-2019）附录A厂区内VOCs特别排放限值、</w:t>
            </w:r>
            <w:r>
              <w:rPr>
                <w:rFonts w:hint="eastAsia"/>
                <w:color w:val="auto"/>
                <w:szCs w:val="21"/>
                <w:highlight w:val="none"/>
                <w:lang w:val="en-US" w:eastAsia="zh-CN"/>
              </w:rPr>
              <w:t>《大气污染物综合排放标准》（GB16297-1996）表2</w:t>
            </w:r>
            <w:r>
              <w:rPr>
                <w:rFonts w:hint="eastAsia"/>
                <w:color w:val="auto"/>
                <w:szCs w:val="21"/>
                <w:highlight w:val="none"/>
              </w:rPr>
              <w:t>排放限值</w:t>
            </w:r>
          </w:p>
        </w:tc>
      </w:tr>
      <w:tr w14:paraId="27D7B8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754" w:type="pct"/>
            <w:vMerge w:val="continue"/>
            <w:noWrap w:val="0"/>
            <w:vAlign w:val="center"/>
          </w:tcPr>
          <w:p w14:paraId="68A0C541">
            <w:pPr>
              <w:jc w:val="center"/>
              <w:rPr>
                <w:color w:val="auto"/>
              </w:rPr>
            </w:pPr>
          </w:p>
        </w:tc>
        <w:tc>
          <w:tcPr>
            <w:tcW w:w="1043" w:type="pct"/>
            <w:vMerge w:val="continue"/>
            <w:noWrap w:val="0"/>
            <w:vAlign w:val="center"/>
          </w:tcPr>
          <w:p w14:paraId="588EDF76">
            <w:pPr>
              <w:jc w:val="center"/>
              <w:rPr>
                <w:color w:val="auto"/>
              </w:rPr>
            </w:pPr>
          </w:p>
        </w:tc>
        <w:tc>
          <w:tcPr>
            <w:tcW w:w="744" w:type="pct"/>
            <w:noWrap w:val="0"/>
            <w:vAlign w:val="center"/>
          </w:tcPr>
          <w:p w14:paraId="79681F3E">
            <w:pPr>
              <w:jc w:val="center"/>
              <w:rPr>
                <w:rFonts w:hint="eastAsia"/>
                <w:color w:val="auto"/>
              </w:rPr>
            </w:pPr>
            <w:r>
              <w:rPr>
                <w:rFonts w:hint="eastAsia"/>
                <w:color w:val="auto"/>
                <w:lang w:val="en-US" w:eastAsia="zh-CN"/>
              </w:rPr>
              <w:t>甲醇</w:t>
            </w:r>
          </w:p>
        </w:tc>
        <w:tc>
          <w:tcPr>
            <w:tcW w:w="1009" w:type="pct"/>
            <w:vMerge w:val="continue"/>
            <w:noWrap w:val="0"/>
            <w:vAlign w:val="center"/>
          </w:tcPr>
          <w:p w14:paraId="70A919AE">
            <w:pPr>
              <w:jc w:val="center"/>
              <w:rPr>
                <w:rFonts w:hint="eastAsia"/>
                <w:color w:val="auto"/>
              </w:rPr>
            </w:pPr>
          </w:p>
        </w:tc>
        <w:tc>
          <w:tcPr>
            <w:tcW w:w="1449" w:type="pct"/>
            <w:noWrap w:val="0"/>
            <w:vAlign w:val="center"/>
          </w:tcPr>
          <w:p w14:paraId="403FF667">
            <w:pPr>
              <w:jc w:val="center"/>
              <w:rPr>
                <w:rFonts w:hint="eastAsia"/>
                <w:color w:val="auto"/>
              </w:rPr>
            </w:pPr>
            <w:r>
              <w:rPr>
                <w:rFonts w:hint="eastAsia"/>
                <w:color w:val="auto"/>
                <w:szCs w:val="21"/>
                <w:highlight w:val="none"/>
                <w:lang w:val="en-US" w:eastAsia="zh-CN"/>
              </w:rPr>
              <w:t>《大气污染物综合排放标准》（GB16297-1996）表2</w:t>
            </w:r>
            <w:r>
              <w:rPr>
                <w:rFonts w:hint="eastAsia"/>
                <w:color w:val="auto"/>
                <w:szCs w:val="21"/>
                <w:highlight w:val="none"/>
              </w:rPr>
              <w:t>排放限值</w:t>
            </w:r>
          </w:p>
        </w:tc>
      </w:tr>
      <w:tr w14:paraId="1F5694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754" w:type="pct"/>
            <w:vMerge w:val="continue"/>
            <w:noWrap w:val="0"/>
            <w:vAlign w:val="center"/>
          </w:tcPr>
          <w:p w14:paraId="63C4F047">
            <w:pPr>
              <w:jc w:val="center"/>
              <w:rPr>
                <w:rFonts w:hint="eastAsia"/>
                <w:color w:val="auto"/>
              </w:rPr>
            </w:pPr>
          </w:p>
        </w:tc>
        <w:tc>
          <w:tcPr>
            <w:tcW w:w="1043" w:type="pct"/>
            <w:vMerge w:val="continue"/>
            <w:noWrap w:val="0"/>
            <w:vAlign w:val="center"/>
          </w:tcPr>
          <w:p w14:paraId="686784B0">
            <w:pPr>
              <w:jc w:val="center"/>
              <w:rPr>
                <w:rFonts w:hint="eastAsia"/>
                <w:color w:val="auto"/>
              </w:rPr>
            </w:pPr>
          </w:p>
        </w:tc>
        <w:tc>
          <w:tcPr>
            <w:tcW w:w="744" w:type="pct"/>
            <w:noWrap w:val="0"/>
            <w:vAlign w:val="center"/>
          </w:tcPr>
          <w:p w14:paraId="0CD78520">
            <w:pPr>
              <w:jc w:val="center"/>
              <w:rPr>
                <w:rFonts w:hint="eastAsia"/>
                <w:color w:val="auto"/>
              </w:rPr>
            </w:pPr>
            <w:r>
              <w:rPr>
                <w:rFonts w:hint="eastAsia"/>
                <w:color w:val="auto"/>
                <w:lang w:val="en-US" w:eastAsia="zh-CN"/>
              </w:rPr>
              <w:t>甲苯</w:t>
            </w:r>
          </w:p>
        </w:tc>
        <w:tc>
          <w:tcPr>
            <w:tcW w:w="1009" w:type="pct"/>
            <w:vMerge w:val="continue"/>
            <w:noWrap w:val="0"/>
            <w:vAlign w:val="center"/>
          </w:tcPr>
          <w:p w14:paraId="4EEFB68D">
            <w:pPr>
              <w:jc w:val="center"/>
              <w:rPr>
                <w:rFonts w:hint="eastAsia"/>
                <w:color w:val="auto"/>
              </w:rPr>
            </w:pPr>
          </w:p>
        </w:tc>
        <w:tc>
          <w:tcPr>
            <w:tcW w:w="1449" w:type="pct"/>
            <w:noWrap w:val="0"/>
            <w:vAlign w:val="center"/>
          </w:tcPr>
          <w:p w14:paraId="6E631C82">
            <w:pPr>
              <w:jc w:val="center"/>
              <w:rPr>
                <w:rFonts w:hint="eastAsia"/>
                <w:color w:val="auto"/>
              </w:rPr>
            </w:pPr>
            <w:r>
              <w:rPr>
                <w:rFonts w:hint="eastAsia"/>
                <w:color w:val="auto"/>
                <w:szCs w:val="21"/>
                <w:highlight w:val="none"/>
                <w:lang w:val="en-US" w:eastAsia="zh-CN"/>
              </w:rPr>
              <w:t>《大气污染物综合排放标准》（GB16297-1996）表2</w:t>
            </w:r>
            <w:r>
              <w:rPr>
                <w:rFonts w:hint="eastAsia"/>
                <w:color w:val="auto"/>
                <w:szCs w:val="21"/>
                <w:highlight w:val="none"/>
              </w:rPr>
              <w:t>排放限值</w:t>
            </w:r>
          </w:p>
        </w:tc>
      </w:tr>
      <w:tr w14:paraId="185059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754" w:type="pct"/>
            <w:noWrap w:val="0"/>
            <w:vAlign w:val="center"/>
          </w:tcPr>
          <w:p w14:paraId="3386CE26">
            <w:pPr>
              <w:widowControl/>
              <w:jc w:val="center"/>
              <w:rPr>
                <w:color w:val="auto"/>
                <w:szCs w:val="21"/>
              </w:rPr>
            </w:pPr>
            <w:r>
              <w:rPr>
                <w:color w:val="auto"/>
                <w:szCs w:val="21"/>
              </w:rPr>
              <w:t>声环境</w:t>
            </w:r>
          </w:p>
        </w:tc>
        <w:tc>
          <w:tcPr>
            <w:tcW w:w="1043" w:type="pct"/>
            <w:noWrap w:val="0"/>
            <w:vAlign w:val="center"/>
          </w:tcPr>
          <w:p w14:paraId="4BF9ADC3">
            <w:pPr>
              <w:widowControl/>
              <w:jc w:val="center"/>
              <w:rPr>
                <w:color w:val="auto"/>
                <w:szCs w:val="21"/>
              </w:rPr>
            </w:pPr>
            <w:r>
              <w:rPr>
                <w:color w:val="auto"/>
                <w:szCs w:val="21"/>
              </w:rPr>
              <w:t>生产设备及辅助设备</w:t>
            </w:r>
          </w:p>
        </w:tc>
        <w:tc>
          <w:tcPr>
            <w:tcW w:w="744" w:type="pct"/>
            <w:noWrap w:val="0"/>
            <w:vAlign w:val="center"/>
          </w:tcPr>
          <w:p w14:paraId="15992727">
            <w:pPr>
              <w:widowControl/>
              <w:jc w:val="center"/>
              <w:rPr>
                <w:color w:val="auto"/>
                <w:szCs w:val="21"/>
              </w:rPr>
            </w:pPr>
            <w:r>
              <w:rPr>
                <w:color w:val="auto"/>
                <w:szCs w:val="21"/>
              </w:rPr>
              <w:t>噪声</w:t>
            </w:r>
          </w:p>
        </w:tc>
        <w:tc>
          <w:tcPr>
            <w:tcW w:w="1009" w:type="pct"/>
            <w:noWrap w:val="0"/>
            <w:vAlign w:val="center"/>
          </w:tcPr>
          <w:p w14:paraId="55C26053">
            <w:pPr>
              <w:widowControl/>
              <w:jc w:val="center"/>
              <w:rPr>
                <w:color w:val="auto"/>
                <w:szCs w:val="21"/>
              </w:rPr>
            </w:pPr>
            <w:r>
              <w:rPr>
                <w:color w:val="auto"/>
                <w:szCs w:val="21"/>
              </w:rPr>
              <w:t>设备基础减振、</w:t>
            </w:r>
            <w:r>
              <w:rPr>
                <w:rFonts w:hint="eastAsia"/>
                <w:color w:val="auto"/>
                <w:szCs w:val="21"/>
              </w:rPr>
              <w:t>室内</w:t>
            </w:r>
            <w:r>
              <w:rPr>
                <w:color w:val="auto"/>
                <w:szCs w:val="21"/>
              </w:rPr>
              <w:t>隔声等</w:t>
            </w:r>
          </w:p>
        </w:tc>
        <w:tc>
          <w:tcPr>
            <w:tcW w:w="1449" w:type="pct"/>
            <w:noWrap w:val="0"/>
            <w:vAlign w:val="center"/>
          </w:tcPr>
          <w:p w14:paraId="37AD5B51">
            <w:pPr>
              <w:widowControl/>
              <w:jc w:val="center"/>
              <w:rPr>
                <w:color w:val="auto"/>
                <w:szCs w:val="21"/>
              </w:rPr>
            </w:pPr>
            <w:r>
              <w:rPr>
                <w:color w:val="auto"/>
                <w:szCs w:val="21"/>
              </w:rPr>
              <w:t>《工业企业厂界环境噪声排放标准》（GB12348-2008）</w:t>
            </w:r>
            <w:r>
              <w:rPr>
                <w:rFonts w:hint="eastAsia"/>
                <w:color w:val="auto"/>
                <w:szCs w:val="21"/>
                <w:lang w:val="en-US" w:eastAsia="zh-CN"/>
              </w:rPr>
              <w:t>3</w:t>
            </w:r>
            <w:r>
              <w:rPr>
                <w:color w:val="auto"/>
                <w:szCs w:val="21"/>
              </w:rPr>
              <w:t>类标准</w:t>
            </w:r>
          </w:p>
        </w:tc>
      </w:tr>
      <w:tr w14:paraId="126806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754" w:type="pct"/>
            <w:vMerge w:val="restart"/>
            <w:noWrap w:val="0"/>
            <w:vAlign w:val="center"/>
          </w:tcPr>
          <w:p w14:paraId="44F9710D">
            <w:pPr>
              <w:widowControl/>
              <w:jc w:val="center"/>
              <w:rPr>
                <w:color w:val="auto"/>
                <w:szCs w:val="21"/>
              </w:rPr>
            </w:pPr>
            <w:r>
              <w:rPr>
                <w:color w:val="auto"/>
                <w:szCs w:val="21"/>
              </w:rPr>
              <w:t>地表水环境</w:t>
            </w:r>
          </w:p>
        </w:tc>
        <w:tc>
          <w:tcPr>
            <w:tcW w:w="1043" w:type="pct"/>
            <w:vMerge w:val="restart"/>
            <w:noWrap w:val="0"/>
            <w:vAlign w:val="center"/>
          </w:tcPr>
          <w:p w14:paraId="717D5D7D">
            <w:pPr>
              <w:widowControl/>
              <w:jc w:val="center"/>
              <w:rPr>
                <w:color w:val="auto"/>
                <w:szCs w:val="21"/>
              </w:rPr>
            </w:pPr>
            <w:r>
              <w:rPr>
                <w:rFonts w:hint="eastAsia"/>
                <w:color w:val="auto"/>
                <w:szCs w:val="21"/>
                <w:lang w:val="en-US" w:eastAsia="zh-CN"/>
              </w:rPr>
              <w:t>生产</w:t>
            </w:r>
            <w:r>
              <w:rPr>
                <w:rFonts w:hint="eastAsia"/>
                <w:color w:val="auto"/>
                <w:szCs w:val="21"/>
              </w:rPr>
              <w:t>废水</w:t>
            </w:r>
          </w:p>
        </w:tc>
        <w:tc>
          <w:tcPr>
            <w:tcW w:w="744" w:type="pct"/>
            <w:noWrap w:val="0"/>
            <w:vAlign w:val="center"/>
          </w:tcPr>
          <w:p w14:paraId="3C9A33F2">
            <w:pPr>
              <w:widowControl/>
              <w:jc w:val="center"/>
              <w:rPr>
                <w:color w:val="auto"/>
                <w:szCs w:val="21"/>
              </w:rPr>
            </w:pPr>
            <w:r>
              <w:rPr>
                <w:rFonts w:hint="eastAsia"/>
                <w:color w:val="auto"/>
                <w:szCs w:val="21"/>
                <w:lang w:val="en-US" w:eastAsia="zh-CN"/>
              </w:rPr>
              <w:t>器皿清洗废水</w:t>
            </w:r>
          </w:p>
        </w:tc>
        <w:tc>
          <w:tcPr>
            <w:tcW w:w="2458" w:type="pct"/>
            <w:gridSpan w:val="2"/>
            <w:vMerge w:val="restart"/>
            <w:noWrap w:val="0"/>
            <w:vAlign w:val="center"/>
          </w:tcPr>
          <w:p w14:paraId="126DE924">
            <w:pPr>
              <w:widowControl/>
              <w:jc w:val="center"/>
              <w:rPr>
                <w:color w:val="auto"/>
                <w:szCs w:val="21"/>
              </w:rPr>
            </w:pPr>
            <w:r>
              <w:rPr>
                <w:rFonts w:hint="eastAsia"/>
                <w:color w:val="auto"/>
                <w:szCs w:val="21"/>
              </w:rPr>
              <w:t>经化粪池处理后排入市政污水管网</w:t>
            </w:r>
          </w:p>
        </w:tc>
      </w:tr>
      <w:tr w14:paraId="15D149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54" w:type="pct"/>
            <w:vMerge w:val="continue"/>
            <w:noWrap w:val="0"/>
            <w:vAlign w:val="center"/>
          </w:tcPr>
          <w:p w14:paraId="103424A1">
            <w:pPr>
              <w:widowControl/>
              <w:jc w:val="center"/>
              <w:rPr>
                <w:color w:val="auto"/>
              </w:rPr>
            </w:pPr>
          </w:p>
        </w:tc>
        <w:tc>
          <w:tcPr>
            <w:tcW w:w="1043" w:type="pct"/>
            <w:vMerge w:val="continue"/>
            <w:noWrap w:val="0"/>
            <w:vAlign w:val="center"/>
          </w:tcPr>
          <w:p w14:paraId="73F49D8E">
            <w:pPr>
              <w:widowControl/>
              <w:jc w:val="center"/>
              <w:rPr>
                <w:color w:val="auto"/>
              </w:rPr>
            </w:pPr>
          </w:p>
        </w:tc>
        <w:tc>
          <w:tcPr>
            <w:tcW w:w="744" w:type="pct"/>
            <w:noWrap w:val="0"/>
            <w:vAlign w:val="center"/>
          </w:tcPr>
          <w:p w14:paraId="1F7CD742">
            <w:pPr>
              <w:widowControl/>
              <w:jc w:val="center"/>
              <w:rPr>
                <w:rFonts w:hint="eastAsia"/>
                <w:color w:val="auto"/>
                <w:szCs w:val="21"/>
                <w:lang w:val="en-US" w:eastAsia="zh-CN"/>
              </w:rPr>
            </w:pPr>
            <w:r>
              <w:rPr>
                <w:rFonts w:hint="eastAsia"/>
                <w:color w:val="auto"/>
                <w:szCs w:val="21"/>
                <w:lang w:val="en-US" w:eastAsia="zh-CN"/>
              </w:rPr>
              <w:t>纯水机浓水</w:t>
            </w:r>
          </w:p>
        </w:tc>
        <w:tc>
          <w:tcPr>
            <w:tcW w:w="2458" w:type="pct"/>
            <w:gridSpan w:val="2"/>
            <w:vMerge w:val="continue"/>
            <w:noWrap w:val="0"/>
            <w:vAlign w:val="center"/>
          </w:tcPr>
          <w:p w14:paraId="1B0D8CF8">
            <w:pPr>
              <w:widowControl/>
              <w:jc w:val="center"/>
              <w:rPr>
                <w:color w:val="auto"/>
                <w:szCs w:val="21"/>
              </w:rPr>
            </w:pPr>
          </w:p>
        </w:tc>
      </w:tr>
      <w:tr w14:paraId="0887AF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754" w:type="pct"/>
            <w:vMerge w:val="continue"/>
            <w:noWrap w:val="0"/>
            <w:vAlign w:val="center"/>
          </w:tcPr>
          <w:p w14:paraId="5293B46D">
            <w:pPr>
              <w:widowControl/>
              <w:jc w:val="center"/>
              <w:rPr>
                <w:color w:val="auto"/>
                <w:szCs w:val="21"/>
              </w:rPr>
            </w:pPr>
          </w:p>
        </w:tc>
        <w:tc>
          <w:tcPr>
            <w:tcW w:w="1043" w:type="pct"/>
            <w:noWrap w:val="0"/>
            <w:vAlign w:val="center"/>
          </w:tcPr>
          <w:p w14:paraId="12B1328E">
            <w:pPr>
              <w:widowControl/>
              <w:jc w:val="center"/>
              <w:rPr>
                <w:color w:val="auto"/>
                <w:szCs w:val="21"/>
              </w:rPr>
            </w:pPr>
            <w:r>
              <w:rPr>
                <w:rFonts w:hint="eastAsia"/>
                <w:color w:val="auto"/>
                <w:szCs w:val="21"/>
              </w:rPr>
              <w:t>生活污水</w:t>
            </w:r>
          </w:p>
        </w:tc>
        <w:tc>
          <w:tcPr>
            <w:tcW w:w="744" w:type="pct"/>
            <w:noWrap w:val="0"/>
            <w:vAlign w:val="center"/>
          </w:tcPr>
          <w:p w14:paraId="2B6A8286">
            <w:pPr>
              <w:widowControl/>
              <w:jc w:val="center"/>
              <w:rPr>
                <w:color w:val="auto"/>
                <w:szCs w:val="21"/>
              </w:rPr>
            </w:pPr>
            <w:r>
              <w:rPr>
                <w:rFonts w:hint="eastAsia"/>
                <w:color w:val="auto"/>
                <w:szCs w:val="21"/>
              </w:rPr>
              <w:t>生活污水</w:t>
            </w:r>
          </w:p>
        </w:tc>
        <w:tc>
          <w:tcPr>
            <w:tcW w:w="2458" w:type="pct"/>
            <w:gridSpan w:val="2"/>
            <w:vMerge w:val="continue"/>
            <w:noWrap w:val="0"/>
            <w:vAlign w:val="center"/>
          </w:tcPr>
          <w:p w14:paraId="475D2D62">
            <w:pPr>
              <w:widowControl/>
              <w:jc w:val="center"/>
              <w:rPr>
                <w:color w:val="auto"/>
                <w:szCs w:val="21"/>
              </w:rPr>
            </w:pPr>
          </w:p>
        </w:tc>
      </w:tr>
      <w:tr w14:paraId="18A84F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796" w:hRule="atLeast"/>
        </w:trPr>
        <w:tc>
          <w:tcPr>
            <w:tcW w:w="754" w:type="pct"/>
            <w:vMerge w:val="restart"/>
            <w:noWrap w:val="0"/>
            <w:vAlign w:val="center"/>
          </w:tcPr>
          <w:p w14:paraId="528DF2B0">
            <w:pPr>
              <w:widowControl/>
              <w:jc w:val="center"/>
              <w:rPr>
                <w:color w:val="auto"/>
                <w:szCs w:val="21"/>
              </w:rPr>
            </w:pPr>
            <w:r>
              <w:rPr>
                <w:color w:val="auto"/>
                <w:szCs w:val="21"/>
              </w:rPr>
              <w:t>固体废物</w:t>
            </w:r>
          </w:p>
        </w:tc>
        <w:tc>
          <w:tcPr>
            <w:tcW w:w="1787" w:type="pct"/>
            <w:gridSpan w:val="2"/>
            <w:noWrap w:val="0"/>
            <w:vAlign w:val="center"/>
          </w:tcPr>
          <w:p w14:paraId="3FA44B62">
            <w:pPr>
              <w:jc w:val="center"/>
              <w:rPr>
                <w:color w:val="auto"/>
                <w:szCs w:val="21"/>
              </w:rPr>
            </w:pPr>
            <w:r>
              <w:rPr>
                <w:rFonts w:hint="eastAsia"/>
                <w:color w:val="auto"/>
                <w:szCs w:val="21"/>
              </w:rPr>
              <w:t>生活垃圾</w:t>
            </w:r>
          </w:p>
        </w:tc>
        <w:tc>
          <w:tcPr>
            <w:tcW w:w="1009" w:type="pct"/>
            <w:noWrap w:val="0"/>
            <w:vAlign w:val="center"/>
          </w:tcPr>
          <w:p w14:paraId="6A3076F5">
            <w:pPr>
              <w:jc w:val="center"/>
              <w:rPr>
                <w:color w:val="auto"/>
                <w:szCs w:val="21"/>
              </w:rPr>
            </w:pPr>
            <w:r>
              <w:rPr>
                <w:rFonts w:hint="eastAsia"/>
                <w:color w:val="auto"/>
                <w:kern w:val="0"/>
                <w:szCs w:val="21"/>
                <w:lang w:bidi="ar"/>
              </w:rPr>
              <w:t>分类收集后统一交由环卫部门处置</w:t>
            </w:r>
          </w:p>
        </w:tc>
        <w:tc>
          <w:tcPr>
            <w:tcW w:w="1449" w:type="pct"/>
            <w:noWrap w:val="0"/>
            <w:vAlign w:val="center"/>
          </w:tcPr>
          <w:p w14:paraId="41CEB81E">
            <w:pPr>
              <w:widowControl/>
              <w:jc w:val="center"/>
              <w:rPr>
                <w:color w:val="auto"/>
                <w:szCs w:val="21"/>
              </w:rPr>
            </w:pPr>
            <w:r>
              <w:rPr>
                <w:color w:val="auto"/>
                <w:szCs w:val="21"/>
              </w:rPr>
              <w:t>处置率100%</w:t>
            </w:r>
          </w:p>
        </w:tc>
      </w:tr>
      <w:tr w14:paraId="461541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754" w:type="pct"/>
            <w:vMerge w:val="continue"/>
            <w:noWrap w:val="0"/>
            <w:vAlign w:val="center"/>
          </w:tcPr>
          <w:p w14:paraId="08F1C14B">
            <w:pPr>
              <w:widowControl/>
              <w:jc w:val="center"/>
              <w:rPr>
                <w:color w:val="auto"/>
                <w:szCs w:val="21"/>
              </w:rPr>
            </w:pPr>
          </w:p>
        </w:tc>
        <w:tc>
          <w:tcPr>
            <w:tcW w:w="1787" w:type="pct"/>
            <w:gridSpan w:val="2"/>
            <w:noWrap w:val="0"/>
            <w:vAlign w:val="center"/>
          </w:tcPr>
          <w:p w14:paraId="016D5D6A">
            <w:pPr>
              <w:jc w:val="center"/>
              <w:rPr>
                <w:rFonts w:hint="default"/>
                <w:color w:val="auto"/>
                <w:szCs w:val="21"/>
                <w:lang w:val="en-US"/>
              </w:rPr>
            </w:pPr>
            <w:r>
              <w:rPr>
                <w:rFonts w:hint="eastAsia"/>
                <w:color w:val="auto"/>
                <w:szCs w:val="21"/>
                <w:lang w:val="en-US" w:eastAsia="zh-CN"/>
              </w:rPr>
              <w:t>废</w:t>
            </w:r>
            <w:r>
              <w:rPr>
                <w:rFonts w:hint="default"/>
                <w:color w:val="auto"/>
                <w:szCs w:val="21"/>
                <w:lang w:val="en-US" w:eastAsia="zh-CN"/>
              </w:rPr>
              <w:t>边角料</w:t>
            </w:r>
            <w:r>
              <w:rPr>
                <w:rFonts w:hint="eastAsia"/>
                <w:color w:val="auto"/>
                <w:szCs w:val="21"/>
                <w:lang w:val="en-US" w:eastAsia="zh-CN"/>
              </w:rPr>
              <w:t>、</w:t>
            </w:r>
            <w:r>
              <w:rPr>
                <w:rFonts w:hint="default"/>
                <w:color w:val="auto"/>
                <w:szCs w:val="21"/>
                <w:lang w:val="en-US" w:eastAsia="zh-CN"/>
              </w:rPr>
              <w:t>废包装</w:t>
            </w:r>
            <w:r>
              <w:rPr>
                <w:rFonts w:hint="eastAsia"/>
                <w:color w:val="auto"/>
                <w:szCs w:val="21"/>
                <w:lang w:val="en-US" w:eastAsia="zh-CN"/>
              </w:rPr>
              <w:t>材料、不合格品、废反渗透膜、废滤芯</w:t>
            </w:r>
          </w:p>
        </w:tc>
        <w:tc>
          <w:tcPr>
            <w:tcW w:w="1009" w:type="pct"/>
            <w:noWrap w:val="0"/>
            <w:vAlign w:val="center"/>
          </w:tcPr>
          <w:p w14:paraId="7719B9FD">
            <w:pPr>
              <w:widowControl/>
              <w:jc w:val="center"/>
              <w:rPr>
                <w:color w:val="auto"/>
                <w:szCs w:val="21"/>
              </w:rPr>
            </w:pPr>
            <w:r>
              <w:rPr>
                <w:rFonts w:hint="eastAsia"/>
                <w:color w:val="auto"/>
                <w:szCs w:val="21"/>
                <w:lang w:val="en-US" w:eastAsia="zh-CN"/>
              </w:rPr>
              <w:t>废</w:t>
            </w:r>
            <w:r>
              <w:rPr>
                <w:rFonts w:hint="default"/>
                <w:color w:val="auto"/>
                <w:szCs w:val="21"/>
                <w:lang w:val="en-US" w:eastAsia="zh-CN"/>
              </w:rPr>
              <w:t>边角料</w:t>
            </w:r>
            <w:r>
              <w:rPr>
                <w:rFonts w:hint="eastAsia"/>
                <w:color w:val="auto"/>
                <w:szCs w:val="21"/>
                <w:lang w:val="en-US" w:eastAsia="zh-CN"/>
              </w:rPr>
              <w:t>、</w:t>
            </w:r>
            <w:r>
              <w:rPr>
                <w:rFonts w:hint="default"/>
                <w:color w:val="auto"/>
                <w:szCs w:val="21"/>
                <w:lang w:val="en-US" w:eastAsia="zh-CN"/>
              </w:rPr>
              <w:t>废包装</w:t>
            </w:r>
            <w:r>
              <w:rPr>
                <w:rFonts w:hint="eastAsia"/>
                <w:color w:val="auto"/>
                <w:szCs w:val="21"/>
                <w:lang w:val="en-US" w:eastAsia="zh-CN"/>
              </w:rPr>
              <w:t>材料、不合格品</w:t>
            </w:r>
            <w:r>
              <w:rPr>
                <w:rFonts w:hint="default" w:ascii="Times New Roman" w:hAnsi="Times New Roman"/>
                <w:color w:val="auto"/>
                <w:sz w:val="21"/>
                <w:szCs w:val="21"/>
                <w:lang w:val="en-US" w:eastAsia="zh-CN"/>
              </w:rPr>
              <w:t>集中收集后外售</w:t>
            </w:r>
            <w:r>
              <w:rPr>
                <w:rFonts w:hint="eastAsia" w:ascii="Times New Roman" w:hAnsi="Times New Roman"/>
                <w:color w:val="auto"/>
                <w:sz w:val="21"/>
                <w:szCs w:val="21"/>
                <w:lang w:val="en-US" w:eastAsia="zh-CN"/>
              </w:rPr>
              <w:t>，</w:t>
            </w:r>
            <w:r>
              <w:rPr>
                <w:rFonts w:hint="eastAsia"/>
                <w:color w:val="auto"/>
                <w:szCs w:val="21"/>
                <w:lang w:val="en-US" w:eastAsia="zh-CN"/>
              </w:rPr>
              <w:t>废反渗透膜和废滤芯</w:t>
            </w:r>
            <w:r>
              <w:rPr>
                <w:rFonts w:hint="eastAsia"/>
                <w:color w:val="auto"/>
                <w:sz w:val="21"/>
                <w:szCs w:val="21"/>
                <w:lang w:val="en-US" w:eastAsia="zh-CN"/>
              </w:rPr>
              <w:t>交供应商回收利用</w:t>
            </w:r>
          </w:p>
        </w:tc>
        <w:tc>
          <w:tcPr>
            <w:tcW w:w="1449" w:type="pct"/>
            <w:noWrap w:val="0"/>
            <w:vAlign w:val="center"/>
          </w:tcPr>
          <w:p w14:paraId="2D131FBD">
            <w:pPr>
              <w:widowControl/>
              <w:jc w:val="center"/>
              <w:rPr>
                <w:color w:val="auto"/>
                <w:szCs w:val="21"/>
              </w:rPr>
            </w:pPr>
            <w:r>
              <w:rPr>
                <w:rFonts w:hint="eastAsia"/>
                <w:color w:val="auto"/>
                <w:szCs w:val="21"/>
                <w:lang w:eastAsia="zh-CN"/>
              </w:rPr>
              <w:t>《中华人民共和国固体废物污染环境防治法》（</w:t>
            </w:r>
            <w:r>
              <w:rPr>
                <w:rFonts w:hint="eastAsia"/>
                <w:color w:val="auto"/>
                <w:szCs w:val="21"/>
                <w:lang w:val="en-US" w:eastAsia="zh-CN"/>
              </w:rPr>
              <w:t>2020年修订</w:t>
            </w:r>
            <w:r>
              <w:rPr>
                <w:rFonts w:hint="eastAsia"/>
                <w:color w:val="auto"/>
                <w:szCs w:val="21"/>
                <w:lang w:eastAsia="zh-CN"/>
              </w:rPr>
              <w:t>）、</w:t>
            </w:r>
            <w:r>
              <w:rPr>
                <w:color w:val="auto"/>
                <w:szCs w:val="21"/>
              </w:rPr>
              <w:t>《一般工业固体废物贮存和填埋污染控制标准》（GB18599-2020）</w:t>
            </w:r>
          </w:p>
        </w:tc>
      </w:tr>
      <w:tr w14:paraId="7BEB56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754" w:type="pct"/>
            <w:vMerge w:val="continue"/>
            <w:noWrap w:val="0"/>
            <w:vAlign w:val="center"/>
          </w:tcPr>
          <w:p w14:paraId="7A4A9E41">
            <w:pPr>
              <w:widowControl/>
              <w:jc w:val="center"/>
              <w:rPr>
                <w:color w:val="auto"/>
                <w:szCs w:val="21"/>
              </w:rPr>
            </w:pPr>
          </w:p>
        </w:tc>
        <w:tc>
          <w:tcPr>
            <w:tcW w:w="1787" w:type="pct"/>
            <w:gridSpan w:val="2"/>
            <w:noWrap w:val="0"/>
            <w:vAlign w:val="center"/>
          </w:tcPr>
          <w:p w14:paraId="14BAB315">
            <w:pPr>
              <w:widowControl/>
              <w:jc w:val="center"/>
              <w:rPr>
                <w:color w:val="auto"/>
                <w:szCs w:val="21"/>
              </w:rPr>
            </w:pPr>
            <w:r>
              <w:rPr>
                <w:rFonts w:hint="eastAsia"/>
                <w:color w:val="auto"/>
                <w:szCs w:val="21"/>
              </w:rPr>
              <w:t>废液</w:t>
            </w:r>
            <w:r>
              <w:rPr>
                <w:rFonts w:hint="eastAsia"/>
                <w:color w:val="auto"/>
                <w:szCs w:val="21"/>
                <w:lang w:eastAsia="zh-CN"/>
              </w:rPr>
              <w:t>、</w:t>
            </w:r>
            <w:r>
              <w:rPr>
                <w:rFonts w:hint="eastAsia"/>
                <w:color w:val="auto"/>
                <w:szCs w:val="21"/>
                <w:lang w:val="en-US" w:eastAsia="zh-CN"/>
              </w:rPr>
              <w:t>废试剂瓶、</w:t>
            </w:r>
            <w:r>
              <w:rPr>
                <w:rFonts w:hint="default"/>
                <w:color w:val="auto"/>
                <w:szCs w:val="21"/>
              </w:rPr>
              <w:t>废活性炭</w:t>
            </w:r>
          </w:p>
        </w:tc>
        <w:tc>
          <w:tcPr>
            <w:tcW w:w="1009" w:type="pct"/>
            <w:noWrap w:val="0"/>
            <w:vAlign w:val="center"/>
          </w:tcPr>
          <w:p w14:paraId="00EE99A0">
            <w:pPr>
              <w:widowControl/>
              <w:jc w:val="center"/>
              <w:rPr>
                <w:color w:val="auto"/>
                <w:szCs w:val="21"/>
              </w:rPr>
            </w:pPr>
            <w:r>
              <w:rPr>
                <w:rFonts w:hint="eastAsia"/>
                <w:color w:val="auto"/>
                <w:szCs w:val="21"/>
              </w:rPr>
              <w:t>危废贮存库暂存，定期交有资质单位处置</w:t>
            </w:r>
          </w:p>
        </w:tc>
        <w:tc>
          <w:tcPr>
            <w:tcW w:w="1449" w:type="pct"/>
            <w:noWrap w:val="0"/>
            <w:vAlign w:val="center"/>
          </w:tcPr>
          <w:p w14:paraId="70066F47">
            <w:pPr>
              <w:widowControl/>
              <w:jc w:val="center"/>
              <w:rPr>
                <w:color w:val="auto"/>
                <w:szCs w:val="21"/>
              </w:rPr>
            </w:pPr>
            <w:r>
              <w:rPr>
                <w:color w:val="auto"/>
                <w:szCs w:val="21"/>
              </w:rPr>
              <w:t>《危险废物贮存污染控制标准》（GB 18597-2023）、《危险废物收集贮存运输技术规范》（HJ 2025-2012）中相关规定</w:t>
            </w:r>
          </w:p>
        </w:tc>
      </w:tr>
      <w:tr w14:paraId="080E4D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754" w:type="pct"/>
            <w:noWrap w:val="0"/>
            <w:vAlign w:val="center"/>
          </w:tcPr>
          <w:p w14:paraId="0717281F">
            <w:pPr>
              <w:widowControl/>
              <w:jc w:val="center"/>
              <w:rPr>
                <w:color w:val="auto"/>
                <w:szCs w:val="21"/>
              </w:rPr>
            </w:pPr>
            <w:r>
              <w:rPr>
                <w:color w:val="auto"/>
                <w:szCs w:val="21"/>
              </w:rPr>
              <w:t>土壤及地下水污染防治措施</w:t>
            </w:r>
          </w:p>
        </w:tc>
        <w:tc>
          <w:tcPr>
            <w:tcW w:w="4245" w:type="pct"/>
            <w:gridSpan w:val="4"/>
            <w:noWrap w:val="0"/>
            <w:vAlign w:val="center"/>
          </w:tcPr>
          <w:p w14:paraId="25DC1C80">
            <w:pPr>
              <w:widowControl/>
              <w:jc w:val="center"/>
              <w:rPr>
                <w:color w:val="auto"/>
                <w:szCs w:val="21"/>
              </w:rPr>
            </w:pPr>
            <w:r>
              <w:rPr>
                <w:color w:val="auto"/>
                <w:szCs w:val="21"/>
              </w:rPr>
              <w:t>地面进行防渗</w:t>
            </w:r>
            <w:r>
              <w:rPr>
                <w:rFonts w:hint="eastAsia"/>
                <w:color w:val="auto"/>
                <w:szCs w:val="21"/>
              </w:rPr>
              <w:t>防腐处理</w:t>
            </w:r>
          </w:p>
        </w:tc>
      </w:tr>
      <w:tr w14:paraId="471762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754" w:type="pct"/>
            <w:noWrap w:val="0"/>
            <w:vAlign w:val="center"/>
          </w:tcPr>
          <w:p w14:paraId="0F29E8B5">
            <w:pPr>
              <w:widowControl/>
              <w:jc w:val="center"/>
              <w:rPr>
                <w:color w:val="auto"/>
                <w:szCs w:val="21"/>
              </w:rPr>
            </w:pPr>
            <w:r>
              <w:rPr>
                <w:color w:val="auto"/>
                <w:szCs w:val="21"/>
              </w:rPr>
              <w:t>生态保</w:t>
            </w:r>
          </w:p>
          <w:p w14:paraId="303EA182">
            <w:pPr>
              <w:widowControl/>
              <w:jc w:val="center"/>
              <w:rPr>
                <w:color w:val="auto"/>
                <w:szCs w:val="21"/>
              </w:rPr>
            </w:pPr>
            <w:r>
              <w:rPr>
                <w:color w:val="auto"/>
                <w:szCs w:val="21"/>
              </w:rPr>
              <w:t>护措施</w:t>
            </w:r>
          </w:p>
        </w:tc>
        <w:tc>
          <w:tcPr>
            <w:tcW w:w="4245" w:type="pct"/>
            <w:gridSpan w:val="4"/>
            <w:noWrap w:val="0"/>
            <w:vAlign w:val="center"/>
          </w:tcPr>
          <w:p w14:paraId="7C401F75">
            <w:pPr>
              <w:widowControl/>
              <w:jc w:val="center"/>
              <w:rPr>
                <w:color w:val="auto"/>
                <w:szCs w:val="21"/>
              </w:rPr>
            </w:pPr>
            <w:r>
              <w:rPr>
                <w:rFonts w:hint="eastAsia"/>
                <w:color w:val="auto"/>
                <w:szCs w:val="21"/>
              </w:rPr>
              <w:t>无，不存在生态环境问题</w:t>
            </w:r>
          </w:p>
        </w:tc>
      </w:tr>
      <w:tr w14:paraId="3F270E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54" w:type="pct"/>
            <w:noWrap w:val="0"/>
            <w:vAlign w:val="center"/>
          </w:tcPr>
          <w:p w14:paraId="1A26172B">
            <w:pPr>
              <w:widowControl/>
              <w:jc w:val="center"/>
              <w:rPr>
                <w:color w:val="auto"/>
                <w:szCs w:val="21"/>
              </w:rPr>
            </w:pPr>
            <w:r>
              <w:rPr>
                <w:color w:val="auto"/>
                <w:szCs w:val="21"/>
              </w:rPr>
              <w:t>环境风险</w:t>
            </w:r>
          </w:p>
          <w:p w14:paraId="042E13CE">
            <w:pPr>
              <w:widowControl/>
              <w:jc w:val="center"/>
              <w:rPr>
                <w:color w:val="auto"/>
                <w:szCs w:val="21"/>
              </w:rPr>
            </w:pPr>
            <w:r>
              <w:rPr>
                <w:color w:val="auto"/>
                <w:szCs w:val="21"/>
              </w:rPr>
              <w:t>防范措施</w:t>
            </w:r>
          </w:p>
        </w:tc>
        <w:tc>
          <w:tcPr>
            <w:tcW w:w="4245" w:type="pct"/>
            <w:gridSpan w:val="4"/>
            <w:noWrap w:val="0"/>
            <w:vAlign w:val="center"/>
          </w:tcPr>
          <w:p w14:paraId="1099525A">
            <w:pPr>
              <w:pStyle w:val="68"/>
              <w:spacing w:before="24" w:beforeLines="10" w:line="360" w:lineRule="auto"/>
              <w:jc w:val="left"/>
              <w:rPr>
                <w:rFonts w:ascii="宋体" w:hAnsi="宋体" w:cs="宋体"/>
                <w:color w:val="auto"/>
              </w:rPr>
            </w:pPr>
            <w:r>
              <w:rPr>
                <w:rFonts w:ascii="宋体" w:hAnsi="宋体" w:cs="宋体"/>
                <w:color w:val="auto"/>
              </w:rPr>
              <w:t>①</w:t>
            </w:r>
            <w:r>
              <w:rPr>
                <w:rFonts w:hint="eastAsia" w:ascii="宋体" w:hAnsi="宋体" w:cs="宋体"/>
                <w:color w:val="auto"/>
              </w:rPr>
              <w:t>工作</w:t>
            </w:r>
            <w:r>
              <w:rPr>
                <w:rFonts w:ascii="宋体" w:hAnsi="宋体" w:cs="宋体"/>
                <w:color w:val="auto"/>
              </w:rPr>
              <w:t>人员定时巡视，一旦发现泄漏情况立即启动应急报警系统。</w:t>
            </w:r>
          </w:p>
          <w:p w14:paraId="63D7454D">
            <w:pPr>
              <w:pStyle w:val="68"/>
              <w:spacing w:before="24" w:beforeLines="10" w:line="360" w:lineRule="auto"/>
              <w:jc w:val="left"/>
              <w:rPr>
                <w:rFonts w:ascii="宋体" w:hAnsi="宋体" w:cs="宋体"/>
                <w:color w:val="auto"/>
              </w:rPr>
            </w:pPr>
            <w:r>
              <w:rPr>
                <w:rFonts w:ascii="宋体" w:hAnsi="宋体" w:cs="宋体"/>
                <w:color w:val="auto"/>
              </w:rPr>
              <w:t>②加强安全管理，制定相应的定期检查制度，定期检查装置各</w:t>
            </w:r>
            <w:r>
              <w:rPr>
                <w:rFonts w:hint="eastAsia" w:ascii="宋体" w:hAnsi="宋体" w:cs="宋体"/>
                <w:color w:val="auto"/>
              </w:rPr>
              <w:t>设备</w:t>
            </w:r>
            <w:r>
              <w:rPr>
                <w:rFonts w:ascii="宋体" w:hAnsi="宋体" w:cs="宋体"/>
                <w:color w:val="auto"/>
              </w:rPr>
              <w:t>有无渗漏。</w:t>
            </w:r>
          </w:p>
          <w:p w14:paraId="68D4FB03">
            <w:pPr>
              <w:pStyle w:val="68"/>
              <w:spacing w:before="24" w:beforeLines="10" w:line="360" w:lineRule="auto"/>
              <w:jc w:val="left"/>
              <w:rPr>
                <w:rFonts w:ascii="宋体" w:hAnsi="宋体" w:cs="宋体"/>
                <w:color w:val="auto"/>
              </w:rPr>
            </w:pPr>
            <w:r>
              <w:rPr>
                <w:rFonts w:ascii="宋体" w:hAnsi="宋体" w:cs="宋体"/>
                <w:color w:val="auto"/>
              </w:rPr>
              <w:t>③建立完善的安全生产制度和安全操作规范，并做到制度上墙。</w:t>
            </w:r>
          </w:p>
          <w:p w14:paraId="309DE7E3">
            <w:pPr>
              <w:pStyle w:val="68"/>
              <w:spacing w:before="24" w:beforeLines="10" w:line="360" w:lineRule="auto"/>
              <w:jc w:val="left"/>
              <w:rPr>
                <w:rFonts w:ascii="宋体" w:hAnsi="宋体" w:cs="宋体"/>
                <w:color w:val="auto"/>
              </w:rPr>
            </w:pPr>
            <w:r>
              <w:rPr>
                <w:rFonts w:ascii="宋体" w:hAnsi="宋体" w:cs="宋体"/>
                <w:color w:val="auto"/>
              </w:rPr>
              <w:t>④</w:t>
            </w:r>
            <w:r>
              <w:rPr>
                <w:rFonts w:hint="eastAsia" w:ascii="宋体" w:hAnsi="宋体" w:cs="宋体"/>
                <w:color w:val="auto"/>
                <w:highlight w:val="none"/>
                <w:lang w:val="en-US" w:eastAsia="zh-CN"/>
              </w:rPr>
              <w:t>厂房</w:t>
            </w:r>
            <w:r>
              <w:rPr>
                <w:rFonts w:ascii="宋体" w:hAnsi="宋体" w:cs="宋体"/>
                <w:color w:val="auto"/>
              </w:rPr>
              <w:t>设置禁止火源等标识。</w:t>
            </w:r>
          </w:p>
          <w:p w14:paraId="75034BDB">
            <w:pPr>
              <w:widowControl/>
              <w:spacing w:line="360" w:lineRule="auto"/>
              <w:rPr>
                <w:color w:val="auto"/>
                <w:szCs w:val="21"/>
              </w:rPr>
            </w:pPr>
            <w:r>
              <w:rPr>
                <w:rFonts w:ascii="宋体" w:hAnsi="宋体" w:cs="宋体"/>
                <w:color w:val="auto"/>
                <w:szCs w:val="20"/>
              </w:rPr>
              <w:t>⑤按照规定配备灭火器。</w:t>
            </w:r>
          </w:p>
        </w:tc>
      </w:tr>
      <w:tr w14:paraId="006598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754" w:type="pct"/>
            <w:noWrap w:val="0"/>
            <w:vAlign w:val="center"/>
          </w:tcPr>
          <w:p w14:paraId="08DE79DB">
            <w:pPr>
              <w:widowControl/>
              <w:jc w:val="center"/>
              <w:rPr>
                <w:color w:val="auto"/>
                <w:szCs w:val="21"/>
                <w:lang w:bidi="ar"/>
              </w:rPr>
            </w:pPr>
            <w:r>
              <w:rPr>
                <w:color w:val="auto"/>
                <w:szCs w:val="21"/>
                <w:lang w:bidi="ar"/>
              </w:rPr>
              <w:t>其他环境</w:t>
            </w:r>
          </w:p>
          <w:p w14:paraId="66139E98">
            <w:pPr>
              <w:widowControl/>
              <w:jc w:val="center"/>
              <w:rPr>
                <w:color w:val="auto"/>
                <w:szCs w:val="21"/>
                <w:lang w:bidi="ar"/>
              </w:rPr>
            </w:pPr>
            <w:r>
              <w:rPr>
                <w:color w:val="auto"/>
                <w:szCs w:val="21"/>
                <w:lang w:bidi="ar"/>
              </w:rPr>
              <w:t>管理要求</w:t>
            </w:r>
          </w:p>
        </w:tc>
        <w:tc>
          <w:tcPr>
            <w:tcW w:w="4245" w:type="pct"/>
            <w:gridSpan w:val="4"/>
            <w:noWrap w:val="0"/>
            <w:vAlign w:val="center"/>
          </w:tcPr>
          <w:p w14:paraId="2E10AD9B">
            <w:pPr>
              <w:snapToGrid w:val="0"/>
              <w:spacing w:line="360" w:lineRule="auto"/>
              <w:rPr>
                <w:color w:val="auto"/>
                <w:szCs w:val="21"/>
                <w:lang w:bidi="ar"/>
              </w:rPr>
            </w:pPr>
            <w:r>
              <w:rPr>
                <w:color w:val="auto"/>
                <w:szCs w:val="21"/>
                <w:lang w:bidi="ar"/>
              </w:rPr>
              <w:t>建立环保档案，</w:t>
            </w:r>
            <w:r>
              <w:rPr>
                <w:rFonts w:hint="eastAsia"/>
                <w:color w:val="auto"/>
                <w:szCs w:val="21"/>
                <w:lang w:bidi="ar"/>
              </w:rPr>
              <w:t>设置厂内人员（可兼职）进行</w:t>
            </w:r>
            <w:r>
              <w:rPr>
                <w:color w:val="auto"/>
                <w:szCs w:val="21"/>
                <w:lang w:bidi="ar"/>
              </w:rPr>
              <w:t>环境管理</w:t>
            </w:r>
            <w:r>
              <w:rPr>
                <w:rFonts w:hint="eastAsia"/>
                <w:color w:val="auto"/>
                <w:szCs w:val="21"/>
                <w:lang w:bidi="ar"/>
              </w:rPr>
              <w:t>，</w:t>
            </w:r>
            <w:r>
              <w:rPr>
                <w:color w:val="auto"/>
                <w:szCs w:val="21"/>
                <w:lang w:bidi="ar"/>
              </w:rPr>
              <w:t>具体内容如下：</w:t>
            </w:r>
          </w:p>
          <w:p w14:paraId="3ADC5040">
            <w:pPr>
              <w:snapToGrid w:val="0"/>
              <w:spacing w:line="360" w:lineRule="auto"/>
              <w:rPr>
                <w:rFonts w:hint="eastAsia"/>
                <w:color w:val="auto"/>
                <w:szCs w:val="21"/>
                <w:lang w:bidi="ar"/>
              </w:rPr>
            </w:pPr>
            <w:r>
              <w:rPr>
                <w:rFonts w:hint="eastAsia"/>
                <w:color w:val="auto"/>
                <w:szCs w:val="21"/>
                <w:lang w:bidi="ar"/>
              </w:rPr>
              <w:t>①“三同时”制度：</w:t>
            </w:r>
          </w:p>
          <w:p w14:paraId="595F01FF">
            <w:pPr>
              <w:snapToGrid w:val="0"/>
              <w:spacing w:line="360" w:lineRule="auto"/>
              <w:rPr>
                <w:rFonts w:hint="eastAsia"/>
                <w:color w:val="auto"/>
                <w:szCs w:val="21"/>
                <w:lang w:bidi="ar"/>
              </w:rPr>
            </w:pPr>
            <w:r>
              <w:rPr>
                <w:rFonts w:hint="eastAsia"/>
                <w:color w:val="auto"/>
                <w:szCs w:val="21"/>
                <w:lang w:bidi="ar"/>
              </w:rPr>
              <w:t>建设单位认真落实废气、污（废）水、固废、噪声等防治措施。</w:t>
            </w:r>
          </w:p>
          <w:p w14:paraId="5D0ED2F5">
            <w:pPr>
              <w:snapToGrid w:val="0"/>
              <w:spacing w:line="360" w:lineRule="auto"/>
              <w:rPr>
                <w:rFonts w:hint="eastAsia"/>
                <w:color w:val="auto"/>
                <w:szCs w:val="21"/>
                <w:lang w:bidi="ar"/>
              </w:rPr>
            </w:pPr>
            <w:r>
              <w:rPr>
                <w:rFonts w:hint="eastAsia"/>
                <w:color w:val="auto"/>
                <w:szCs w:val="21"/>
                <w:lang w:bidi="ar"/>
              </w:rPr>
              <w:t>②环境管理制度：</w:t>
            </w:r>
          </w:p>
          <w:p w14:paraId="1E4A8AC6">
            <w:pPr>
              <w:snapToGrid w:val="0"/>
              <w:spacing w:line="360" w:lineRule="auto"/>
              <w:rPr>
                <w:rFonts w:hint="eastAsia"/>
                <w:color w:val="auto"/>
                <w:szCs w:val="21"/>
                <w:lang w:bidi="ar"/>
              </w:rPr>
            </w:pPr>
            <w:r>
              <w:rPr>
                <w:rFonts w:hint="eastAsia"/>
                <w:color w:val="auto"/>
                <w:szCs w:val="21"/>
                <w:lang w:bidi="ar"/>
              </w:rPr>
              <w:t>加强环保设施的管理，落实废气、固废等的治理。建立岗位责任制和工作台账制度，对污染防治情况进行定时监测，及时掌握污染治理设施的运行情况，做好各项污染物的达标排放工作。</w:t>
            </w:r>
          </w:p>
          <w:p w14:paraId="6B14712B">
            <w:pPr>
              <w:snapToGrid w:val="0"/>
              <w:spacing w:line="360" w:lineRule="auto"/>
              <w:rPr>
                <w:rFonts w:hint="eastAsia"/>
                <w:color w:val="auto"/>
                <w:szCs w:val="21"/>
                <w:lang w:bidi="ar"/>
              </w:rPr>
            </w:pPr>
            <w:r>
              <w:rPr>
                <w:rFonts w:hint="eastAsia"/>
                <w:color w:val="auto"/>
                <w:szCs w:val="21"/>
                <w:lang w:bidi="ar"/>
              </w:rPr>
              <w:t>③排污许可制度：</w:t>
            </w:r>
          </w:p>
          <w:p w14:paraId="27EE1E4D">
            <w:pPr>
              <w:snapToGrid w:val="0"/>
              <w:spacing w:line="360" w:lineRule="auto"/>
              <w:rPr>
                <w:rFonts w:hint="eastAsia"/>
                <w:color w:val="auto"/>
                <w:szCs w:val="21"/>
                <w:lang w:bidi="ar"/>
              </w:rPr>
            </w:pPr>
            <w:r>
              <w:rPr>
                <w:rFonts w:hint="eastAsia"/>
                <w:color w:val="auto"/>
                <w:szCs w:val="21"/>
                <w:lang w:bidi="ar"/>
              </w:rPr>
              <w:t>根据《固定污染源排污许可分类管理名录（2019年版）》要求，建设单位应及时完成排污许可手续，合法排污。</w:t>
            </w:r>
          </w:p>
          <w:p w14:paraId="050CAD46">
            <w:pPr>
              <w:snapToGrid w:val="0"/>
              <w:spacing w:line="360" w:lineRule="auto"/>
              <w:rPr>
                <w:rFonts w:hint="eastAsia"/>
                <w:color w:val="auto"/>
                <w:szCs w:val="21"/>
                <w:lang w:bidi="ar"/>
              </w:rPr>
            </w:pPr>
            <w:r>
              <w:rPr>
                <w:rFonts w:hint="eastAsia"/>
                <w:color w:val="auto"/>
                <w:szCs w:val="21"/>
                <w:lang w:bidi="ar"/>
              </w:rPr>
              <w:t>④环境监测：</w:t>
            </w:r>
          </w:p>
          <w:p w14:paraId="6D7B76B6">
            <w:pPr>
              <w:snapToGrid w:val="0"/>
              <w:spacing w:line="360" w:lineRule="auto"/>
              <w:rPr>
                <w:rFonts w:hint="eastAsia"/>
                <w:color w:val="auto"/>
                <w:szCs w:val="21"/>
                <w:lang w:val="en-US" w:eastAsia="zh-CN" w:bidi="ar"/>
              </w:rPr>
            </w:pPr>
            <w:r>
              <w:rPr>
                <w:rFonts w:hint="eastAsia"/>
                <w:color w:val="auto"/>
                <w:szCs w:val="21"/>
                <w:lang w:val="en-US" w:eastAsia="zh-CN" w:bidi="ar"/>
              </w:rPr>
              <w:t>根据《排污单位污染物排放口监测点位设置技术规范》（HJ1405-2024）要求，应在废气排放口设置科学、规范、便于采样监测的监测点位，避开对测试人员操作有危险的场所；在流场均匀稳定的监测断面规范开设监测孔，设置工作平台、梯架及相应安全防护设施等。在手工监测断面处设置1个手工监测孔，其内径一般应≥80 mm，且符合排气筒的密封要求，封闭形式宜优先参照HG/T 21533、HG/T 21534、HG/T 21535设计为快开方式，采用盖板、管堵或管帽等封闭的，应在监测时便于开启。监测断面距离坠落高度基准面2 m以上时，应配套建设永久、安全、便于采样和测试的工作平台，宜设置在监测孔的正下方1.2 m~1.3 m处，工作平台长度应≥2 m，宽度应保证人员及采样探杆操作的空间，与排气筒的间隙距离≤10 mm，工作平台及通道的制造安装应符合GB 4053.3相关要求，距离坠落高度基准面1.2 m以上的工作平台及通道的所有敞开边缘应设置防护栏杆，高度应≥1.2 m，扶手宜选用外径30 mm~50 mm钢管，扶手后应有不少于75 mm净空间。</w:t>
            </w:r>
          </w:p>
          <w:p w14:paraId="3867469E">
            <w:pPr>
              <w:snapToGrid w:val="0"/>
              <w:spacing w:line="360" w:lineRule="auto"/>
              <w:rPr>
                <w:rFonts w:hint="eastAsia"/>
                <w:color w:val="auto"/>
                <w:szCs w:val="21"/>
                <w:lang w:bidi="ar"/>
              </w:rPr>
            </w:pPr>
            <w:r>
              <w:rPr>
                <w:rFonts w:hint="eastAsia"/>
                <w:color w:val="auto"/>
                <w:szCs w:val="21"/>
                <w:lang w:bidi="ar"/>
              </w:rPr>
              <w:t>按照监测计划的频次和要求进行监测，并保留监测原始记录，每次数据应及时由专人整理、统计，如有异常，立即向上级有关部门通报，并做好监测资料的归档、备查工作，建议建设单位定期将监测数据上墙公示，接受公众监督。</w:t>
            </w:r>
          </w:p>
          <w:p w14:paraId="47C7D1EC">
            <w:pPr>
              <w:snapToGrid w:val="0"/>
              <w:spacing w:line="360" w:lineRule="auto"/>
              <w:rPr>
                <w:rFonts w:hint="eastAsia"/>
                <w:color w:val="auto"/>
                <w:szCs w:val="21"/>
                <w:lang w:bidi="ar"/>
              </w:rPr>
            </w:pPr>
            <w:r>
              <w:rPr>
                <w:rFonts w:hint="eastAsia"/>
                <w:color w:val="auto"/>
                <w:szCs w:val="21"/>
                <w:lang w:bidi="ar"/>
              </w:rPr>
              <w:t>⑤竣工验收</w:t>
            </w:r>
          </w:p>
          <w:p w14:paraId="10980D89">
            <w:pPr>
              <w:snapToGrid w:val="0"/>
              <w:spacing w:line="360" w:lineRule="auto"/>
              <w:rPr>
                <w:rFonts w:hint="eastAsia"/>
                <w:color w:val="auto"/>
                <w:szCs w:val="21"/>
                <w:lang w:bidi="ar"/>
              </w:rPr>
            </w:pPr>
            <w:r>
              <w:rPr>
                <w:rFonts w:hint="eastAsia"/>
                <w:color w:val="auto"/>
                <w:szCs w:val="21"/>
                <w:lang w:bidi="ar"/>
              </w:rPr>
              <w:t>根据《建设项目竣工环境保护验收暂行办法》（国环规环评〔2017〕4号），建设单位自行验收。验收合格后，方可投入生产或使用。</w:t>
            </w:r>
          </w:p>
          <w:p w14:paraId="28CCBD07">
            <w:pPr>
              <w:snapToGrid w:val="0"/>
              <w:spacing w:line="360" w:lineRule="auto"/>
              <w:rPr>
                <w:color w:val="auto"/>
                <w:szCs w:val="21"/>
                <w:lang w:bidi="ar"/>
              </w:rPr>
            </w:pPr>
            <w:r>
              <w:rPr>
                <w:rFonts w:hint="eastAsia"/>
                <w:color w:val="auto"/>
                <w:szCs w:val="21"/>
                <w:lang w:bidi="ar"/>
              </w:rPr>
              <w:t>⑥突发环境事件应急预案</w:t>
            </w:r>
          </w:p>
          <w:p w14:paraId="02385F5F">
            <w:pPr>
              <w:snapToGrid w:val="0"/>
              <w:spacing w:line="360" w:lineRule="auto"/>
              <w:rPr>
                <w:rFonts w:hint="eastAsia"/>
                <w:color w:val="auto"/>
                <w:szCs w:val="21"/>
                <w:lang w:bidi="ar"/>
              </w:rPr>
            </w:pPr>
            <w:r>
              <w:rPr>
                <w:rFonts w:hint="eastAsia"/>
                <w:color w:val="auto"/>
                <w:szCs w:val="21"/>
                <w:lang w:val="en-US" w:eastAsia="zh-CN" w:bidi="ar"/>
              </w:rPr>
              <w:t>及时编制企业</w:t>
            </w:r>
            <w:r>
              <w:rPr>
                <w:rFonts w:hint="eastAsia"/>
                <w:color w:val="auto"/>
                <w:szCs w:val="21"/>
                <w:lang w:bidi="ar"/>
              </w:rPr>
              <w:t>突发环境事件应急预案。</w:t>
            </w:r>
          </w:p>
          <w:p w14:paraId="2EB1004F">
            <w:pPr>
              <w:snapToGrid w:val="0"/>
              <w:spacing w:line="360" w:lineRule="auto"/>
              <w:rPr>
                <w:rFonts w:hint="eastAsia"/>
                <w:color w:val="auto"/>
                <w:szCs w:val="21"/>
                <w:lang w:bidi="ar"/>
              </w:rPr>
            </w:pPr>
            <w:r>
              <w:rPr>
                <w:rFonts w:hint="eastAsia"/>
                <w:color w:val="auto"/>
                <w:szCs w:val="21"/>
                <w:lang w:bidi="ar"/>
              </w:rPr>
              <w:t>⑦环境信息公开的要求</w:t>
            </w:r>
          </w:p>
          <w:p w14:paraId="0D914661">
            <w:pPr>
              <w:snapToGrid w:val="0"/>
              <w:spacing w:line="360" w:lineRule="auto"/>
              <w:rPr>
                <w:color w:val="auto"/>
                <w:szCs w:val="21"/>
                <w:lang w:bidi="ar"/>
              </w:rPr>
            </w:pPr>
            <w:r>
              <w:rPr>
                <w:rFonts w:hint="eastAsia"/>
                <w:color w:val="auto"/>
                <w:szCs w:val="21"/>
                <w:lang w:bidi="ar"/>
              </w:rPr>
              <w:t>按照《建设项目环境影响评价政府信息公开指南（试行）》有关要求进行信息公开。</w:t>
            </w:r>
          </w:p>
        </w:tc>
      </w:tr>
    </w:tbl>
    <w:p w14:paraId="69F4D269">
      <w:pPr>
        <w:pStyle w:val="23"/>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cs="Times New Roman"/>
          <w:snapToGrid w:val="0"/>
          <w:color w:val="auto"/>
        </w:rPr>
        <w:br w:type="page"/>
      </w:r>
      <w:bookmarkStart w:id="22" w:name="_Toc10658"/>
      <w:r>
        <w:rPr>
          <w:rFonts w:hint="default" w:ascii="Times New Roman" w:hAnsi="Times New Roman" w:eastAsia="黑体" w:cs="Times New Roman"/>
          <w:snapToGrid w:val="0"/>
          <w:color w:val="auto"/>
          <w:sz w:val="30"/>
          <w:szCs w:val="30"/>
        </w:rPr>
        <w:t>六、结论</w:t>
      </w:r>
      <w:bookmarkEnd w:id="22"/>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7F41A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67A69995">
            <w:pPr>
              <w:spacing w:line="360" w:lineRule="auto"/>
              <w:ind w:firstLine="480" w:firstLineChars="200"/>
              <w:jc w:val="both"/>
              <w:rPr>
                <w:rFonts w:hint="default" w:ascii="Times New Roman" w:hAnsi="Times New Roman" w:cs="Times New Roman"/>
                <w:color w:val="auto"/>
                <w:sz w:val="24"/>
              </w:rPr>
            </w:pPr>
            <w:r>
              <w:rPr>
                <w:rFonts w:hint="eastAsia"/>
                <w:color w:val="auto"/>
                <w:kern w:val="0"/>
                <w:sz w:val="24"/>
                <w:lang w:val="en-US" w:eastAsia="zh-CN" w:bidi="ar"/>
              </w:rPr>
              <w:t>综上，</w:t>
            </w:r>
            <w:r>
              <w:rPr>
                <w:rFonts w:hint="eastAsia"/>
                <w:color w:val="auto"/>
                <w:kern w:val="0"/>
                <w:sz w:val="24"/>
                <w:lang w:bidi="ar"/>
              </w:rPr>
              <w:t>从环境保护角度分析，该项目建设环境影响可行。</w:t>
            </w:r>
          </w:p>
        </w:tc>
      </w:tr>
    </w:tbl>
    <w:p w14:paraId="74548E0C">
      <w:pPr>
        <w:rPr>
          <w:rFonts w:hint="default" w:ascii="Times New Roman" w:hAnsi="Times New Roman" w:cs="Times New Roma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2E243D0C">
      <w:pPr>
        <w:pStyle w:val="23"/>
        <w:adjustRightInd w:val="0"/>
        <w:snapToGrid w:val="0"/>
        <w:spacing w:before="0" w:beforeAutospacing="0" w:after="0" w:afterAutospacing="0" w:line="240" w:lineRule="auto"/>
        <w:outlineLvl w:val="0"/>
        <w:rPr>
          <w:rFonts w:hint="default" w:ascii="Times New Roman" w:hAnsi="Times New Roman" w:eastAsia="黑体" w:cs="Times New Roman"/>
          <w:snapToGrid w:val="0"/>
          <w:sz w:val="32"/>
          <w:szCs w:val="32"/>
        </w:rPr>
      </w:pPr>
      <w:bookmarkStart w:id="23" w:name="_Toc11661"/>
      <w:r>
        <w:rPr>
          <w:rFonts w:hint="default" w:ascii="Times New Roman" w:hAnsi="Times New Roman" w:eastAsia="黑体" w:cs="Times New Roman"/>
          <w:snapToGrid w:val="0"/>
          <w:sz w:val="32"/>
          <w:szCs w:val="32"/>
        </w:rPr>
        <w:t>附表</w:t>
      </w:r>
      <w:bookmarkEnd w:id="23"/>
    </w:p>
    <w:p w14:paraId="5CA252E5">
      <w:pPr>
        <w:pStyle w:val="23"/>
        <w:adjustRightInd w:val="0"/>
        <w:snapToGrid w:val="0"/>
        <w:spacing w:before="0" w:beforeAutospacing="0" w:after="0" w:afterAutospacing="0" w:line="240" w:lineRule="auto"/>
        <w:jc w:val="center"/>
        <w:outlineLvl w:val="0"/>
        <w:rPr>
          <w:rFonts w:hint="default" w:ascii="Times New Roman" w:hAnsi="Times New Roman" w:eastAsia="方正小标宋_GBK" w:cs="Times New Roman"/>
          <w:snapToGrid w:val="0"/>
          <w:color w:val="auto"/>
          <w:sz w:val="28"/>
          <w:szCs w:val="28"/>
        </w:rPr>
      </w:pPr>
      <w:bookmarkStart w:id="24" w:name="_Toc26906"/>
      <w:r>
        <w:rPr>
          <w:rFonts w:hint="default" w:ascii="Times New Roman" w:hAnsi="Times New Roman" w:eastAsia="方正小标宋_GBK" w:cs="Times New Roman"/>
          <w:snapToGrid w:val="0"/>
          <w:color w:val="auto"/>
          <w:sz w:val="28"/>
          <w:szCs w:val="28"/>
        </w:rPr>
        <w:t>建设项目污染物排放量汇总表</w:t>
      </w:r>
      <w:bookmarkEnd w:id="24"/>
    </w:p>
    <w:tbl>
      <w:tblPr>
        <w:tblStyle w:val="26"/>
        <w:tblW w:w="1365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1935"/>
        <w:gridCol w:w="1592"/>
        <w:gridCol w:w="1263"/>
        <w:gridCol w:w="1570"/>
        <w:gridCol w:w="1650"/>
        <w:gridCol w:w="1615"/>
        <w:gridCol w:w="1817"/>
        <w:gridCol w:w="1080"/>
      </w:tblGrid>
      <w:tr w14:paraId="00E951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33" w:type="dxa"/>
            <w:tcBorders>
              <w:tl2br w:val="single" w:color="auto" w:sz="4" w:space="0"/>
            </w:tcBorders>
            <w:noWrap w:val="0"/>
            <w:tcMar>
              <w:left w:w="28" w:type="dxa"/>
              <w:right w:w="28" w:type="dxa"/>
            </w:tcMar>
            <w:vAlign w:val="center"/>
          </w:tcPr>
          <w:p w14:paraId="6D59B5F6">
            <w:pPr>
              <w:pStyle w:val="50"/>
              <w:spacing w:beforeLines="0" w:afterLines="0" w:line="240" w:lineRule="auto"/>
              <w:jc w:val="center"/>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lang w:val="en-US" w:eastAsia="zh-CN"/>
              </w:rPr>
              <w:t xml:space="preserve">     </w:t>
            </w:r>
            <w:r>
              <w:rPr>
                <w:rFonts w:hint="default" w:ascii="Times New Roman" w:hAnsi="Times New Roman" w:eastAsia="宋体" w:cs="Times New Roman"/>
                <w:b/>
                <w:bCs/>
                <w:snapToGrid w:val="0"/>
                <w:color w:val="auto"/>
                <w:spacing w:val="-6"/>
                <w:kern w:val="21"/>
                <w:sz w:val="21"/>
                <w:szCs w:val="21"/>
              </w:rPr>
              <w:t>项目</w:t>
            </w:r>
          </w:p>
          <w:p w14:paraId="486FB6FD">
            <w:pPr>
              <w:pStyle w:val="50"/>
              <w:spacing w:beforeLines="0" w:afterLines="0" w:line="240" w:lineRule="auto"/>
              <w:ind w:firstLine="199" w:firstLineChars="100"/>
              <w:jc w:val="both"/>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分类</w:t>
            </w:r>
          </w:p>
        </w:tc>
        <w:tc>
          <w:tcPr>
            <w:tcW w:w="1935" w:type="dxa"/>
            <w:noWrap w:val="0"/>
            <w:tcMar>
              <w:left w:w="28" w:type="dxa"/>
              <w:right w:w="28" w:type="dxa"/>
            </w:tcMar>
            <w:vAlign w:val="center"/>
          </w:tcPr>
          <w:p w14:paraId="68FA7344">
            <w:pPr>
              <w:pStyle w:val="50"/>
              <w:spacing w:beforeLines="0" w:afterLines="0" w:line="240" w:lineRule="auto"/>
              <w:jc w:val="center"/>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污染物名称</w:t>
            </w:r>
          </w:p>
        </w:tc>
        <w:tc>
          <w:tcPr>
            <w:tcW w:w="1592" w:type="dxa"/>
            <w:noWrap w:val="0"/>
            <w:tcMar>
              <w:left w:w="28" w:type="dxa"/>
              <w:right w:w="28" w:type="dxa"/>
            </w:tcMar>
            <w:vAlign w:val="center"/>
          </w:tcPr>
          <w:p w14:paraId="6440348E">
            <w:pPr>
              <w:pStyle w:val="50"/>
              <w:spacing w:beforeLines="0" w:afterLines="0" w:line="240" w:lineRule="auto"/>
              <w:jc w:val="center"/>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现有工程</w:t>
            </w:r>
          </w:p>
          <w:p w14:paraId="2E60D872">
            <w:pPr>
              <w:pStyle w:val="50"/>
              <w:spacing w:beforeLines="0" w:afterLines="0" w:line="240" w:lineRule="auto"/>
              <w:jc w:val="center"/>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排放量（固体废物产生量）</w:t>
            </w:r>
            <w:r>
              <w:rPr>
                <w:rFonts w:hint="default" w:ascii="Times New Roman" w:hAnsi="Times New Roman" w:eastAsia="宋体" w:cs="Times New Roman"/>
                <w:b/>
                <w:bCs/>
                <w:snapToGrid w:val="0"/>
                <w:color w:val="auto"/>
                <w:spacing w:val="-6"/>
                <w:kern w:val="21"/>
                <w:sz w:val="21"/>
                <w:szCs w:val="21"/>
              </w:rPr>
              <w:fldChar w:fldCharType="begin"/>
            </w:r>
            <w:r>
              <w:rPr>
                <w:rFonts w:hint="default" w:ascii="Times New Roman" w:hAnsi="Times New Roman" w:eastAsia="宋体" w:cs="Times New Roman"/>
                <w:b/>
                <w:bCs/>
                <w:snapToGrid w:val="0"/>
                <w:color w:val="auto"/>
                <w:spacing w:val="-6"/>
                <w:kern w:val="21"/>
                <w:sz w:val="21"/>
                <w:szCs w:val="21"/>
              </w:rPr>
              <w:instrText xml:space="preserve"> = 1 \* GB3 \* MERGEFORMAT </w:instrText>
            </w:r>
            <w:r>
              <w:rPr>
                <w:rFonts w:hint="default" w:ascii="Times New Roman" w:hAnsi="Times New Roman" w:eastAsia="宋体" w:cs="Times New Roman"/>
                <w:b/>
                <w:bCs/>
                <w:snapToGrid w:val="0"/>
                <w:color w:val="auto"/>
                <w:spacing w:val="-6"/>
                <w:kern w:val="21"/>
                <w:sz w:val="21"/>
                <w:szCs w:val="21"/>
              </w:rPr>
              <w:fldChar w:fldCharType="separate"/>
            </w:r>
            <w:r>
              <w:rPr>
                <w:rFonts w:hint="default" w:ascii="Times New Roman" w:hAnsi="Times New Roman" w:eastAsia="宋体" w:cs="Times New Roman"/>
                <w:b/>
                <w:bCs/>
                <w:color w:val="auto"/>
                <w:kern w:val="2"/>
                <w:sz w:val="21"/>
                <w:szCs w:val="21"/>
              </w:rPr>
              <w:t>①</w:t>
            </w:r>
            <w:r>
              <w:rPr>
                <w:rFonts w:hint="default" w:ascii="Times New Roman" w:hAnsi="Times New Roman" w:eastAsia="宋体" w:cs="Times New Roman"/>
                <w:b/>
                <w:bCs/>
                <w:snapToGrid w:val="0"/>
                <w:color w:val="auto"/>
                <w:spacing w:val="-6"/>
                <w:kern w:val="21"/>
                <w:sz w:val="21"/>
                <w:szCs w:val="21"/>
              </w:rPr>
              <w:fldChar w:fldCharType="end"/>
            </w:r>
          </w:p>
        </w:tc>
        <w:tc>
          <w:tcPr>
            <w:tcW w:w="1263" w:type="dxa"/>
            <w:noWrap w:val="0"/>
            <w:tcMar>
              <w:left w:w="28" w:type="dxa"/>
              <w:right w:w="28" w:type="dxa"/>
            </w:tcMar>
            <w:vAlign w:val="center"/>
          </w:tcPr>
          <w:p w14:paraId="428DF0BC">
            <w:pPr>
              <w:pStyle w:val="50"/>
              <w:spacing w:beforeLines="0" w:afterLines="0" w:line="240" w:lineRule="auto"/>
              <w:jc w:val="center"/>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现有工程</w:t>
            </w:r>
          </w:p>
          <w:p w14:paraId="5B94C447">
            <w:pPr>
              <w:pStyle w:val="50"/>
              <w:spacing w:beforeLines="0" w:afterLines="0" w:line="240" w:lineRule="auto"/>
              <w:jc w:val="center"/>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许可排放量</w:t>
            </w:r>
          </w:p>
          <w:p w14:paraId="3E8C0B3E">
            <w:pPr>
              <w:pStyle w:val="50"/>
              <w:spacing w:beforeLines="0" w:afterLines="0"/>
              <w:jc w:val="center"/>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fldChar w:fldCharType="begin"/>
            </w:r>
            <w:r>
              <w:rPr>
                <w:rFonts w:hint="default" w:ascii="Times New Roman" w:hAnsi="Times New Roman" w:eastAsia="宋体" w:cs="Times New Roman"/>
                <w:b/>
                <w:bCs/>
                <w:snapToGrid w:val="0"/>
                <w:color w:val="auto"/>
                <w:spacing w:val="-6"/>
                <w:kern w:val="21"/>
                <w:sz w:val="21"/>
                <w:szCs w:val="21"/>
              </w:rPr>
              <w:instrText xml:space="preserve"> = 2 \* GB3 \* MERGEFORMAT </w:instrText>
            </w:r>
            <w:r>
              <w:rPr>
                <w:rFonts w:hint="default" w:ascii="Times New Roman" w:hAnsi="Times New Roman" w:eastAsia="宋体" w:cs="Times New Roman"/>
                <w:b/>
                <w:bCs/>
                <w:snapToGrid w:val="0"/>
                <w:color w:val="auto"/>
                <w:spacing w:val="-6"/>
                <w:kern w:val="21"/>
                <w:sz w:val="21"/>
                <w:szCs w:val="21"/>
              </w:rPr>
              <w:fldChar w:fldCharType="separate"/>
            </w:r>
            <w:r>
              <w:rPr>
                <w:rFonts w:hint="default" w:ascii="Times New Roman" w:hAnsi="Times New Roman" w:eastAsia="宋体" w:cs="Times New Roman"/>
                <w:b/>
                <w:bCs/>
                <w:snapToGrid w:val="0"/>
                <w:color w:val="auto"/>
                <w:spacing w:val="-6"/>
                <w:kern w:val="21"/>
                <w:sz w:val="21"/>
                <w:szCs w:val="21"/>
              </w:rPr>
              <w:t>②</w:t>
            </w:r>
            <w:r>
              <w:rPr>
                <w:rFonts w:hint="default" w:ascii="Times New Roman" w:hAnsi="Times New Roman" w:eastAsia="宋体" w:cs="Times New Roman"/>
                <w:b/>
                <w:bCs/>
                <w:snapToGrid w:val="0"/>
                <w:color w:val="auto"/>
                <w:spacing w:val="-6"/>
                <w:kern w:val="21"/>
                <w:sz w:val="21"/>
                <w:szCs w:val="21"/>
              </w:rPr>
              <w:fldChar w:fldCharType="end"/>
            </w:r>
          </w:p>
        </w:tc>
        <w:tc>
          <w:tcPr>
            <w:tcW w:w="1570" w:type="dxa"/>
            <w:noWrap w:val="0"/>
            <w:tcMar>
              <w:left w:w="28" w:type="dxa"/>
              <w:right w:w="28" w:type="dxa"/>
            </w:tcMar>
            <w:vAlign w:val="center"/>
          </w:tcPr>
          <w:p w14:paraId="61BB985D">
            <w:pPr>
              <w:pStyle w:val="50"/>
              <w:spacing w:beforeLines="0" w:afterLines="0" w:line="240" w:lineRule="auto"/>
              <w:jc w:val="center"/>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在建工程</w:t>
            </w:r>
          </w:p>
          <w:p w14:paraId="4AB5073E">
            <w:pPr>
              <w:pStyle w:val="50"/>
              <w:spacing w:beforeLines="0" w:afterLines="0" w:line="240" w:lineRule="auto"/>
              <w:jc w:val="center"/>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排放量（固体废物产生量）</w:t>
            </w:r>
            <w:r>
              <w:rPr>
                <w:rFonts w:hint="default" w:ascii="Times New Roman" w:hAnsi="Times New Roman" w:eastAsia="宋体" w:cs="Times New Roman"/>
                <w:b/>
                <w:bCs/>
                <w:snapToGrid w:val="0"/>
                <w:color w:val="auto"/>
                <w:spacing w:val="-6"/>
                <w:kern w:val="21"/>
                <w:sz w:val="21"/>
                <w:szCs w:val="21"/>
              </w:rPr>
              <w:fldChar w:fldCharType="begin"/>
            </w:r>
            <w:r>
              <w:rPr>
                <w:rFonts w:hint="default" w:ascii="Times New Roman" w:hAnsi="Times New Roman" w:eastAsia="宋体" w:cs="Times New Roman"/>
                <w:b/>
                <w:bCs/>
                <w:snapToGrid w:val="0"/>
                <w:color w:val="auto"/>
                <w:spacing w:val="-6"/>
                <w:kern w:val="21"/>
                <w:sz w:val="21"/>
                <w:szCs w:val="21"/>
              </w:rPr>
              <w:instrText xml:space="preserve"> = 3 \* GB3 \* MERGEFORMAT </w:instrText>
            </w:r>
            <w:r>
              <w:rPr>
                <w:rFonts w:hint="default" w:ascii="Times New Roman" w:hAnsi="Times New Roman" w:eastAsia="宋体" w:cs="Times New Roman"/>
                <w:b/>
                <w:bCs/>
                <w:snapToGrid w:val="0"/>
                <w:color w:val="auto"/>
                <w:spacing w:val="-6"/>
                <w:kern w:val="21"/>
                <w:sz w:val="21"/>
                <w:szCs w:val="21"/>
              </w:rPr>
              <w:fldChar w:fldCharType="separate"/>
            </w:r>
            <w:r>
              <w:rPr>
                <w:rFonts w:hint="default" w:ascii="Times New Roman" w:hAnsi="Times New Roman" w:eastAsia="宋体" w:cs="Times New Roman"/>
                <w:b/>
                <w:bCs/>
                <w:color w:val="auto"/>
                <w:kern w:val="2"/>
                <w:sz w:val="21"/>
                <w:szCs w:val="21"/>
              </w:rPr>
              <w:t>③</w:t>
            </w:r>
            <w:r>
              <w:rPr>
                <w:rFonts w:hint="default" w:ascii="Times New Roman" w:hAnsi="Times New Roman" w:eastAsia="宋体" w:cs="Times New Roman"/>
                <w:b/>
                <w:bCs/>
                <w:snapToGrid w:val="0"/>
                <w:color w:val="auto"/>
                <w:spacing w:val="-6"/>
                <w:kern w:val="21"/>
                <w:sz w:val="21"/>
                <w:szCs w:val="21"/>
              </w:rPr>
              <w:fldChar w:fldCharType="end"/>
            </w:r>
          </w:p>
        </w:tc>
        <w:tc>
          <w:tcPr>
            <w:tcW w:w="1650" w:type="dxa"/>
            <w:noWrap w:val="0"/>
            <w:tcMar>
              <w:left w:w="28" w:type="dxa"/>
              <w:right w:w="28" w:type="dxa"/>
            </w:tcMar>
            <w:vAlign w:val="center"/>
          </w:tcPr>
          <w:p w14:paraId="4ACF2C82">
            <w:pPr>
              <w:pStyle w:val="50"/>
              <w:spacing w:beforeLines="0" w:afterLines="0" w:line="240" w:lineRule="auto"/>
              <w:jc w:val="center"/>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本项目</w:t>
            </w:r>
          </w:p>
          <w:p w14:paraId="5CB43E36">
            <w:pPr>
              <w:pStyle w:val="50"/>
              <w:spacing w:beforeLines="0" w:afterLines="0" w:line="240" w:lineRule="auto"/>
              <w:jc w:val="center"/>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排放量（固体废物产生量）</w:t>
            </w:r>
            <w:r>
              <w:rPr>
                <w:rFonts w:hint="default" w:ascii="Times New Roman" w:hAnsi="Times New Roman" w:eastAsia="宋体" w:cs="Times New Roman"/>
                <w:b/>
                <w:bCs/>
                <w:snapToGrid w:val="0"/>
                <w:color w:val="auto"/>
                <w:spacing w:val="-6"/>
                <w:kern w:val="21"/>
                <w:sz w:val="21"/>
                <w:szCs w:val="21"/>
              </w:rPr>
              <w:fldChar w:fldCharType="begin"/>
            </w:r>
            <w:r>
              <w:rPr>
                <w:rFonts w:hint="default" w:ascii="Times New Roman" w:hAnsi="Times New Roman" w:eastAsia="宋体" w:cs="Times New Roman"/>
                <w:b/>
                <w:bCs/>
                <w:snapToGrid w:val="0"/>
                <w:color w:val="auto"/>
                <w:spacing w:val="-6"/>
                <w:kern w:val="21"/>
                <w:sz w:val="21"/>
                <w:szCs w:val="21"/>
              </w:rPr>
              <w:instrText xml:space="preserve"> = 4 \* GB3 \* MERGEFORMAT </w:instrText>
            </w:r>
            <w:r>
              <w:rPr>
                <w:rFonts w:hint="default" w:ascii="Times New Roman" w:hAnsi="Times New Roman" w:eastAsia="宋体" w:cs="Times New Roman"/>
                <w:b/>
                <w:bCs/>
                <w:snapToGrid w:val="0"/>
                <w:color w:val="auto"/>
                <w:spacing w:val="-6"/>
                <w:kern w:val="21"/>
                <w:sz w:val="21"/>
                <w:szCs w:val="21"/>
              </w:rPr>
              <w:fldChar w:fldCharType="separate"/>
            </w:r>
            <w:r>
              <w:rPr>
                <w:rFonts w:hint="default" w:ascii="Times New Roman" w:hAnsi="Times New Roman" w:eastAsia="宋体" w:cs="Times New Roman"/>
                <w:b/>
                <w:bCs/>
                <w:color w:val="auto"/>
                <w:kern w:val="2"/>
                <w:sz w:val="21"/>
                <w:szCs w:val="21"/>
              </w:rPr>
              <w:t>④</w:t>
            </w:r>
            <w:r>
              <w:rPr>
                <w:rFonts w:hint="default" w:ascii="Times New Roman" w:hAnsi="Times New Roman" w:eastAsia="宋体" w:cs="Times New Roman"/>
                <w:b/>
                <w:bCs/>
                <w:snapToGrid w:val="0"/>
                <w:color w:val="auto"/>
                <w:spacing w:val="-6"/>
                <w:kern w:val="21"/>
                <w:sz w:val="21"/>
                <w:szCs w:val="21"/>
              </w:rPr>
              <w:fldChar w:fldCharType="end"/>
            </w:r>
          </w:p>
        </w:tc>
        <w:tc>
          <w:tcPr>
            <w:tcW w:w="1615" w:type="dxa"/>
            <w:noWrap w:val="0"/>
            <w:tcMar>
              <w:left w:w="28" w:type="dxa"/>
              <w:right w:w="28" w:type="dxa"/>
            </w:tcMar>
            <w:vAlign w:val="center"/>
          </w:tcPr>
          <w:p w14:paraId="126B50E6">
            <w:pPr>
              <w:pStyle w:val="50"/>
              <w:spacing w:beforeLines="0" w:afterLines="0" w:line="240" w:lineRule="auto"/>
              <w:jc w:val="center"/>
              <w:rPr>
                <w:rFonts w:hint="default" w:ascii="Times New Roman" w:hAnsi="Times New Roman" w:eastAsia="宋体" w:cs="Times New Roman"/>
                <w:b/>
                <w:bCs/>
                <w:snapToGrid w:val="0"/>
                <w:color w:val="auto"/>
                <w:spacing w:val="-16"/>
                <w:kern w:val="21"/>
                <w:sz w:val="21"/>
                <w:szCs w:val="21"/>
              </w:rPr>
            </w:pPr>
            <w:r>
              <w:rPr>
                <w:rFonts w:hint="default" w:ascii="Times New Roman" w:hAnsi="Times New Roman" w:eastAsia="宋体" w:cs="Times New Roman"/>
                <w:b/>
                <w:bCs/>
                <w:snapToGrid w:val="0"/>
                <w:color w:val="auto"/>
                <w:spacing w:val="-16"/>
                <w:kern w:val="21"/>
                <w:sz w:val="21"/>
                <w:szCs w:val="21"/>
              </w:rPr>
              <w:t>以新带老削减量</w:t>
            </w:r>
          </w:p>
          <w:p w14:paraId="1A0B2F6B">
            <w:pPr>
              <w:pStyle w:val="50"/>
              <w:spacing w:beforeLines="0" w:afterLines="0" w:line="240" w:lineRule="auto"/>
              <w:jc w:val="center"/>
              <w:rPr>
                <w:rFonts w:hint="default" w:ascii="Times New Roman" w:hAnsi="Times New Roman" w:eastAsia="宋体" w:cs="Times New Roman"/>
                <w:b/>
                <w:bCs/>
                <w:snapToGrid w:val="0"/>
                <w:color w:val="auto"/>
                <w:spacing w:val="-16"/>
                <w:kern w:val="21"/>
                <w:sz w:val="21"/>
                <w:szCs w:val="21"/>
              </w:rPr>
            </w:pPr>
            <w:r>
              <w:rPr>
                <w:rFonts w:hint="default" w:ascii="Times New Roman" w:hAnsi="Times New Roman" w:eastAsia="宋体" w:cs="Times New Roman"/>
                <w:b/>
                <w:bCs/>
                <w:snapToGrid w:val="0"/>
                <w:color w:val="auto"/>
                <w:spacing w:val="-16"/>
                <w:kern w:val="21"/>
                <w:sz w:val="21"/>
                <w:szCs w:val="21"/>
              </w:rPr>
              <w:t>（新建项目不填）</w:t>
            </w:r>
          </w:p>
          <w:p w14:paraId="4BC0519A">
            <w:pPr>
              <w:pStyle w:val="50"/>
              <w:spacing w:beforeLines="0" w:afterLines="0" w:line="240" w:lineRule="auto"/>
              <w:jc w:val="center"/>
              <w:rPr>
                <w:rFonts w:hint="default" w:ascii="Times New Roman" w:hAnsi="Times New Roman" w:eastAsia="宋体" w:cs="Times New Roman"/>
                <w:b/>
                <w:bCs/>
                <w:snapToGrid w:val="0"/>
                <w:color w:val="auto"/>
                <w:spacing w:val="-16"/>
                <w:kern w:val="21"/>
                <w:sz w:val="21"/>
                <w:szCs w:val="21"/>
              </w:rPr>
            </w:pPr>
            <w:r>
              <w:rPr>
                <w:rFonts w:hint="default" w:ascii="Times New Roman" w:hAnsi="Times New Roman" w:eastAsia="宋体" w:cs="Times New Roman"/>
                <w:b/>
                <w:bCs/>
                <w:snapToGrid w:val="0"/>
                <w:color w:val="auto"/>
                <w:spacing w:val="-16"/>
                <w:kern w:val="21"/>
                <w:sz w:val="21"/>
                <w:szCs w:val="21"/>
              </w:rPr>
              <w:fldChar w:fldCharType="begin"/>
            </w:r>
            <w:r>
              <w:rPr>
                <w:rFonts w:hint="default" w:ascii="Times New Roman" w:hAnsi="Times New Roman" w:eastAsia="宋体" w:cs="Times New Roman"/>
                <w:b/>
                <w:bCs/>
                <w:snapToGrid w:val="0"/>
                <w:color w:val="auto"/>
                <w:spacing w:val="-16"/>
                <w:kern w:val="21"/>
                <w:sz w:val="21"/>
                <w:szCs w:val="21"/>
              </w:rPr>
              <w:instrText xml:space="preserve"> = 5 \* GB3 \* MERGEFORMAT </w:instrText>
            </w:r>
            <w:r>
              <w:rPr>
                <w:rFonts w:hint="default" w:ascii="Times New Roman" w:hAnsi="Times New Roman" w:eastAsia="宋体" w:cs="Times New Roman"/>
                <w:b/>
                <w:bCs/>
                <w:snapToGrid w:val="0"/>
                <w:color w:val="auto"/>
                <w:spacing w:val="-16"/>
                <w:kern w:val="21"/>
                <w:sz w:val="21"/>
                <w:szCs w:val="21"/>
              </w:rPr>
              <w:fldChar w:fldCharType="separate"/>
            </w:r>
            <w:r>
              <w:rPr>
                <w:rFonts w:hint="default" w:ascii="Times New Roman" w:hAnsi="Times New Roman" w:eastAsia="宋体" w:cs="Times New Roman"/>
                <w:b/>
                <w:bCs/>
                <w:color w:val="auto"/>
                <w:kern w:val="2"/>
                <w:sz w:val="21"/>
                <w:szCs w:val="21"/>
              </w:rPr>
              <w:t>⑤</w:t>
            </w:r>
            <w:r>
              <w:rPr>
                <w:rFonts w:hint="default" w:ascii="Times New Roman" w:hAnsi="Times New Roman" w:eastAsia="宋体" w:cs="Times New Roman"/>
                <w:b/>
                <w:bCs/>
                <w:snapToGrid w:val="0"/>
                <w:color w:val="auto"/>
                <w:spacing w:val="-16"/>
                <w:kern w:val="21"/>
                <w:sz w:val="21"/>
                <w:szCs w:val="21"/>
              </w:rPr>
              <w:fldChar w:fldCharType="end"/>
            </w:r>
          </w:p>
        </w:tc>
        <w:tc>
          <w:tcPr>
            <w:tcW w:w="1817" w:type="dxa"/>
            <w:noWrap w:val="0"/>
            <w:tcMar>
              <w:left w:w="28" w:type="dxa"/>
              <w:right w:w="28" w:type="dxa"/>
            </w:tcMar>
            <w:vAlign w:val="center"/>
          </w:tcPr>
          <w:p w14:paraId="2469904F">
            <w:pPr>
              <w:pStyle w:val="50"/>
              <w:spacing w:beforeLines="0" w:afterLines="0" w:line="240" w:lineRule="auto"/>
              <w:jc w:val="center"/>
              <w:rPr>
                <w:rFonts w:hint="default" w:ascii="Times New Roman" w:hAnsi="Times New Roman" w:eastAsia="宋体" w:cs="Times New Roman"/>
                <w:b/>
                <w:bCs/>
                <w:snapToGrid w:val="0"/>
                <w:color w:val="auto"/>
                <w:spacing w:val="-16"/>
                <w:kern w:val="21"/>
                <w:sz w:val="21"/>
                <w:szCs w:val="21"/>
              </w:rPr>
            </w:pPr>
            <w:r>
              <w:rPr>
                <w:rFonts w:hint="default" w:ascii="Times New Roman" w:hAnsi="Times New Roman" w:eastAsia="宋体" w:cs="Times New Roman"/>
                <w:b/>
                <w:bCs/>
                <w:snapToGrid w:val="0"/>
                <w:color w:val="auto"/>
                <w:spacing w:val="-16"/>
                <w:kern w:val="21"/>
                <w:sz w:val="21"/>
                <w:szCs w:val="21"/>
              </w:rPr>
              <w:t>本项目建成后</w:t>
            </w:r>
          </w:p>
          <w:p w14:paraId="51564DBC">
            <w:pPr>
              <w:pStyle w:val="50"/>
              <w:spacing w:beforeLines="0" w:afterLines="0" w:line="240" w:lineRule="auto"/>
              <w:jc w:val="center"/>
              <w:rPr>
                <w:rFonts w:hint="default" w:ascii="Times New Roman" w:hAnsi="Times New Roman" w:eastAsia="宋体" w:cs="Times New Roman"/>
                <w:b/>
                <w:bCs/>
                <w:snapToGrid w:val="0"/>
                <w:color w:val="auto"/>
                <w:spacing w:val="-16"/>
                <w:kern w:val="21"/>
                <w:sz w:val="21"/>
                <w:szCs w:val="21"/>
              </w:rPr>
            </w:pPr>
            <w:r>
              <w:rPr>
                <w:rFonts w:hint="default" w:ascii="Times New Roman" w:hAnsi="Times New Roman" w:eastAsia="宋体" w:cs="Times New Roman"/>
                <w:b/>
                <w:bCs/>
                <w:snapToGrid w:val="0"/>
                <w:color w:val="auto"/>
                <w:spacing w:val="-16"/>
                <w:kern w:val="21"/>
                <w:sz w:val="21"/>
                <w:szCs w:val="21"/>
              </w:rPr>
              <w:t>全厂排放量（固体废物产生量）</w:t>
            </w:r>
            <w:r>
              <w:rPr>
                <w:rFonts w:hint="default" w:ascii="Times New Roman" w:hAnsi="Times New Roman" w:eastAsia="宋体" w:cs="Times New Roman"/>
                <w:b/>
                <w:bCs/>
                <w:snapToGrid w:val="0"/>
                <w:color w:val="auto"/>
                <w:spacing w:val="-16"/>
                <w:kern w:val="21"/>
                <w:sz w:val="21"/>
                <w:szCs w:val="21"/>
              </w:rPr>
              <w:fldChar w:fldCharType="begin"/>
            </w:r>
            <w:r>
              <w:rPr>
                <w:rFonts w:hint="default" w:ascii="Times New Roman" w:hAnsi="Times New Roman" w:eastAsia="宋体" w:cs="Times New Roman"/>
                <w:b/>
                <w:bCs/>
                <w:snapToGrid w:val="0"/>
                <w:color w:val="auto"/>
                <w:spacing w:val="-16"/>
                <w:kern w:val="21"/>
                <w:sz w:val="21"/>
                <w:szCs w:val="21"/>
              </w:rPr>
              <w:instrText xml:space="preserve"> = 6 \* GB3 \* MERGEFORMAT </w:instrText>
            </w:r>
            <w:r>
              <w:rPr>
                <w:rFonts w:hint="default" w:ascii="Times New Roman" w:hAnsi="Times New Roman" w:eastAsia="宋体" w:cs="Times New Roman"/>
                <w:b/>
                <w:bCs/>
                <w:snapToGrid w:val="0"/>
                <w:color w:val="auto"/>
                <w:spacing w:val="-16"/>
                <w:kern w:val="21"/>
                <w:sz w:val="21"/>
                <w:szCs w:val="21"/>
              </w:rPr>
              <w:fldChar w:fldCharType="separate"/>
            </w:r>
            <w:r>
              <w:rPr>
                <w:rFonts w:hint="default" w:ascii="Times New Roman" w:hAnsi="Times New Roman" w:eastAsia="宋体" w:cs="Times New Roman"/>
                <w:b/>
                <w:bCs/>
                <w:color w:val="auto"/>
                <w:kern w:val="2"/>
                <w:sz w:val="21"/>
                <w:szCs w:val="21"/>
              </w:rPr>
              <w:t>⑥</w:t>
            </w:r>
            <w:r>
              <w:rPr>
                <w:rFonts w:hint="default" w:ascii="Times New Roman" w:hAnsi="Times New Roman" w:eastAsia="宋体" w:cs="Times New Roman"/>
                <w:b/>
                <w:bCs/>
                <w:snapToGrid w:val="0"/>
                <w:color w:val="auto"/>
                <w:spacing w:val="-16"/>
                <w:kern w:val="21"/>
                <w:sz w:val="21"/>
                <w:szCs w:val="21"/>
              </w:rPr>
              <w:fldChar w:fldCharType="end"/>
            </w:r>
          </w:p>
        </w:tc>
        <w:tc>
          <w:tcPr>
            <w:tcW w:w="1080" w:type="dxa"/>
            <w:noWrap w:val="0"/>
            <w:tcMar>
              <w:left w:w="28" w:type="dxa"/>
              <w:right w:w="28" w:type="dxa"/>
            </w:tcMar>
            <w:vAlign w:val="center"/>
          </w:tcPr>
          <w:p w14:paraId="21D54350">
            <w:pPr>
              <w:pStyle w:val="50"/>
              <w:spacing w:beforeLines="0" w:afterLines="0" w:line="240" w:lineRule="auto"/>
              <w:jc w:val="center"/>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变化量</w:t>
            </w:r>
          </w:p>
          <w:p w14:paraId="7E639D65">
            <w:pPr>
              <w:pStyle w:val="50"/>
              <w:spacing w:beforeLines="0" w:afterLines="0" w:line="240" w:lineRule="auto"/>
              <w:jc w:val="center"/>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fldChar w:fldCharType="begin"/>
            </w:r>
            <w:r>
              <w:rPr>
                <w:rFonts w:hint="default" w:ascii="Times New Roman" w:hAnsi="Times New Roman" w:eastAsia="宋体" w:cs="Times New Roman"/>
                <w:b/>
                <w:bCs/>
                <w:snapToGrid w:val="0"/>
                <w:color w:val="auto"/>
                <w:spacing w:val="-6"/>
                <w:kern w:val="21"/>
                <w:sz w:val="21"/>
                <w:szCs w:val="21"/>
              </w:rPr>
              <w:instrText xml:space="preserve"> = 7 \* GB3 \* MERGEFORMAT </w:instrText>
            </w:r>
            <w:r>
              <w:rPr>
                <w:rFonts w:hint="default" w:ascii="Times New Roman" w:hAnsi="Times New Roman" w:eastAsia="宋体" w:cs="Times New Roman"/>
                <w:b/>
                <w:bCs/>
                <w:snapToGrid w:val="0"/>
                <w:color w:val="auto"/>
                <w:spacing w:val="-6"/>
                <w:kern w:val="21"/>
                <w:sz w:val="21"/>
                <w:szCs w:val="21"/>
              </w:rPr>
              <w:fldChar w:fldCharType="separate"/>
            </w:r>
            <w:r>
              <w:rPr>
                <w:rFonts w:hint="default" w:ascii="Times New Roman" w:hAnsi="Times New Roman" w:eastAsia="宋体" w:cs="Times New Roman"/>
                <w:b/>
                <w:bCs/>
                <w:color w:val="auto"/>
                <w:kern w:val="2"/>
                <w:sz w:val="21"/>
                <w:szCs w:val="21"/>
              </w:rPr>
              <w:t>⑦</w:t>
            </w:r>
            <w:r>
              <w:rPr>
                <w:rFonts w:hint="default" w:ascii="Times New Roman" w:hAnsi="Times New Roman" w:eastAsia="宋体" w:cs="Times New Roman"/>
                <w:b/>
                <w:bCs/>
                <w:snapToGrid w:val="0"/>
                <w:color w:val="auto"/>
                <w:spacing w:val="-6"/>
                <w:kern w:val="21"/>
                <w:sz w:val="21"/>
                <w:szCs w:val="21"/>
              </w:rPr>
              <w:fldChar w:fldCharType="end"/>
            </w:r>
          </w:p>
        </w:tc>
      </w:tr>
      <w:tr w14:paraId="197D68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33" w:type="dxa"/>
            <w:vMerge w:val="restart"/>
            <w:noWrap w:val="0"/>
            <w:vAlign w:val="center"/>
          </w:tcPr>
          <w:p w14:paraId="6513E93C">
            <w:pPr>
              <w:pStyle w:val="50"/>
              <w:spacing w:beforeLines="0" w:afterLines="0" w:line="240" w:lineRule="auto"/>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废气</w:t>
            </w:r>
          </w:p>
        </w:tc>
        <w:tc>
          <w:tcPr>
            <w:tcW w:w="1935" w:type="dxa"/>
            <w:noWrap w:val="0"/>
            <w:vAlign w:val="center"/>
          </w:tcPr>
          <w:p w14:paraId="7BE94408">
            <w:pPr>
              <w:pStyle w:val="50"/>
              <w:spacing w:beforeLines="0" w:afterLines="0" w:line="240" w:lineRule="auto"/>
              <w:jc w:val="center"/>
              <w:rPr>
                <w:rFonts w:hint="default" w:ascii="Times New Roman" w:hAnsi="Times New Roman" w:eastAsia="宋体" w:cs="Times New Roman"/>
                <w:snapToGrid w:val="0"/>
                <w:color w:val="auto"/>
                <w:kern w:val="21"/>
                <w:sz w:val="21"/>
                <w:szCs w:val="21"/>
                <w:highlight w:val="none"/>
                <w:lang w:eastAsia="zh-CN"/>
              </w:rPr>
            </w:pPr>
            <w:r>
              <w:rPr>
                <w:rFonts w:hint="default" w:ascii="Times New Roman" w:hAnsi="Times New Roman" w:eastAsia="宋体" w:cs="Times New Roman"/>
                <w:snapToGrid w:val="0"/>
                <w:color w:val="auto"/>
                <w:kern w:val="21"/>
                <w:sz w:val="21"/>
                <w:szCs w:val="21"/>
                <w:highlight w:val="none"/>
                <w:lang w:eastAsia="zh-CN"/>
              </w:rPr>
              <w:t>非甲烷总烃</w:t>
            </w:r>
          </w:p>
        </w:tc>
        <w:tc>
          <w:tcPr>
            <w:tcW w:w="1592" w:type="dxa"/>
            <w:noWrap w:val="0"/>
            <w:vAlign w:val="center"/>
          </w:tcPr>
          <w:p w14:paraId="7D465519">
            <w:pPr>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263" w:type="dxa"/>
            <w:noWrap w:val="0"/>
            <w:vAlign w:val="center"/>
          </w:tcPr>
          <w:p w14:paraId="21356010">
            <w:pPr>
              <w:spacing w:beforeLines="0" w:afterLines="0" w:line="240" w:lineRule="auto"/>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570" w:type="dxa"/>
            <w:noWrap w:val="0"/>
            <w:vAlign w:val="center"/>
          </w:tcPr>
          <w:p w14:paraId="71E503F0">
            <w:pPr>
              <w:spacing w:beforeLines="0" w:afterLines="0" w:line="240" w:lineRule="auto"/>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650" w:type="dxa"/>
            <w:noWrap w:val="0"/>
            <w:vAlign w:val="center"/>
          </w:tcPr>
          <w:p w14:paraId="1B4E62DE">
            <w:pPr>
              <w:keepNext w:val="0"/>
              <w:keepLines w:val="0"/>
              <w:widowControl/>
              <w:suppressLineNumbers w:val="0"/>
              <w:jc w:val="center"/>
              <w:textAlignment w:val="center"/>
              <w:rPr>
                <w:rFonts w:hint="default" w:ascii="Times New Roman" w:hAnsi="Times New Roman" w:cs="Times New Roman"/>
                <w:color w:val="auto"/>
                <w:lang w:val="en-US" w:eastAsia="zh-CN"/>
              </w:rPr>
            </w:pPr>
            <w:r>
              <w:rPr>
                <w:rFonts w:hint="eastAsia" w:cs="Times New Roman"/>
                <w:i w:val="0"/>
                <w:iCs w:val="0"/>
                <w:color w:val="auto"/>
                <w:kern w:val="0"/>
                <w:sz w:val="21"/>
                <w:szCs w:val="21"/>
                <w:u w:val="none"/>
                <w:lang w:val="en-US" w:eastAsia="zh-CN" w:bidi="ar"/>
              </w:rPr>
              <w:t>0.11833</w:t>
            </w:r>
            <w:r>
              <w:rPr>
                <w:rFonts w:hint="default" w:ascii="Times New Roman" w:hAnsi="Times New Roman" w:eastAsia="宋体" w:cs="Times New Roman"/>
                <w:i w:val="0"/>
                <w:iCs w:val="0"/>
                <w:color w:val="auto"/>
                <w:kern w:val="0"/>
                <w:sz w:val="21"/>
                <w:szCs w:val="21"/>
                <w:u w:val="none"/>
                <w:lang w:val="en-US" w:eastAsia="zh-CN" w:bidi="ar"/>
              </w:rPr>
              <w:t>t/a</w:t>
            </w:r>
          </w:p>
        </w:tc>
        <w:tc>
          <w:tcPr>
            <w:tcW w:w="1615" w:type="dxa"/>
            <w:noWrap w:val="0"/>
            <w:vAlign w:val="center"/>
          </w:tcPr>
          <w:p w14:paraId="57704FE7">
            <w:pPr>
              <w:spacing w:beforeLines="0" w:afterLines="0" w:line="240" w:lineRule="auto"/>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817" w:type="dxa"/>
            <w:noWrap w:val="0"/>
            <w:vAlign w:val="center"/>
          </w:tcPr>
          <w:p w14:paraId="3FF6B81C">
            <w:pPr>
              <w:keepNext w:val="0"/>
              <w:keepLines w:val="0"/>
              <w:widowControl/>
              <w:suppressLineNumbers w:val="0"/>
              <w:jc w:val="center"/>
              <w:textAlignment w:val="center"/>
              <w:rPr>
                <w:rFonts w:hint="default" w:ascii="Times New Roman" w:hAnsi="Times New Roman" w:cs="Times New Roman"/>
                <w:color w:val="auto"/>
                <w:kern w:val="2"/>
                <w:sz w:val="21"/>
                <w:szCs w:val="24"/>
                <w:lang w:val="en-US" w:eastAsia="zh-CN" w:bidi="ar-SA"/>
              </w:rPr>
            </w:pPr>
            <w:r>
              <w:rPr>
                <w:rFonts w:hint="eastAsia" w:cs="Times New Roman"/>
                <w:i w:val="0"/>
                <w:iCs w:val="0"/>
                <w:color w:val="auto"/>
                <w:kern w:val="0"/>
                <w:sz w:val="21"/>
                <w:szCs w:val="21"/>
                <w:u w:val="none"/>
                <w:lang w:val="en-US" w:eastAsia="zh-CN" w:bidi="ar"/>
              </w:rPr>
              <w:t>0.11833</w:t>
            </w:r>
            <w:r>
              <w:rPr>
                <w:rFonts w:hint="default" w:ascii="Times New Roman" w:hAnsi="Times New Roman" w:eastAsia="宋体" w:cs="Times New Roman"/>
                <w:i w:val="0"/>
                <w:iCs w:val="0"/>
                <w:color w:val="auto"/>
                <w:kern w:val="0"/>
                <w:sz w:val="21"/>
                <w:szCs w:val="21"/>
                <w:u w:val="none"/>
                <w:lang w:val="en-US" w:eastAsia="zh-CN" w:bidi="ar"/>
              </w:rPr>
              <w:t>t/a</w:t>
            </w:r>
          </w:p>
        </w:tc>
        <w:tc>
          <w:tcPr>
            <w:tcW w:w="1080" w:type="dxa"/>
            <w:noWrap w:val="0"/>
            <w:vAlign w:val="center"/>
          </w:tcPr>
          <w:p w14:paraId="4ABDE9A4">
            <w:pPr>
              <w:spacing w:beforeLines="0" w:afterLines="0" w:line="240" w:lineRule="auto"/>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r>
      <w:tr w14:paraId="3CB08D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33" w:type="dxa"/>
            <w:vMerge w:val="continue"/>
            <w:noWrap w:val="0"/>
            <w:vAlign w:val="center"/>
          </w:tcPr>
          <w:p w14:paraId="435DC56E">
            <w:pPr>
              <w:pStyle w:val="50"/>
              <w:spacing w:beforeLines="0" w:afterLines="0" w:line="240" w:lineRule="auto"/>
              <w:jc w:val="center"/>
              <w:rPr>
                <w:rFonts w:hint="default" w:ascii="Times New Roman" w:hAnsi="Times New Roman" w:eastAsia="宋体" w:cs="Times New Roman"/>
                <w:snapToGrid w:val="0"/>
                <w:color w:val="auto"/>
                <w:kern w:val="21"/>
                <w:sz w:val="21"/>
                <w:szCs w:val="21"/>
                <w:highlight w:val="none"/>
              </w:rPr>
            </w:pPr>
          </w:p>
        </w:tc>
        <w:tc>
          <w:tcPr>
            <w:tcW w:w="1935" w:type="dxa"/>
            <w:noWrap w:val="0"/>
            <w:vAlign w:val="center"/>
          </w:tcPr>
          <w:p w14:paraId="39CF6427">
            <w:pPr>
              <w:pStyle w:val="50"/>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甲醇</w:t>
            </w:r>
          </w:p>
        </w:tc>
        <w:tc>
          <w:tcPr>
            <w:tcW w:w="1592" w:type="dxa"/>
            <w:shd w:val="clear" w:color="auto" w:fill="auto"/>
            <w:noWrap w:val="0"/>
            <w:vAlign w:val="center"/>
          </w:tcPr>
          <w:p w14:paraId="3F8FA36C">
            <w:pPr>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263" w:type="dxa"/>
            <w:shd w:val="clear" w:color="auto" w:fill="auto"/>
            <w:noWrap w:val="0"/>
            <w:vAlign w:val="center"/>
          </w:tcPr>
          <w:p w14:paraId="24B7F2F3">
            <w:pPr>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570" w:type="dxa"/>
            <w:shd w:val="clear" w:color="auto" w:fill="auto"/>
            <w:noWrap w:val="0"/>
            <w:vAlign w:val="center"/>
          </w:tcPr>
          <w:p w14:paraId="5CBF2BFE">
            <w:pPr>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650" w:type="dxa"/>
            <w:noWrap w:val="0"/>
            <w:vAlign w:val="center"/>
          </w:tcPr>
          <w:p w14:paraId="56517E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0.032</w:t>
            </w:r>
            <w:r>
              <w:rPr>
                <w:rFonts w:hint="default" w:ascii="Times New Roman" w:hAnsi="Times New Roman" w:eastAsia="宋体" w:cs="Times New Roman"/>
                <w:i w:val="0"/>
                <w:iCs w:val="0"/>
                <w:color w:val="auto"/>
                <w:kern w:val="0"/>
                <w:sz w:val="21"/>
                <w:szCs w:val="21"/>
                <w:u w:val="none"/>
                <w:lang w:val="en-US" w:eastAsia="zh-CN" w:bidi="ar"/>
              </w:rPr>
              <w:t>t/a</w:t>
            </w:r>
          </w:p>
        </w:tc>
        <w:tc>
          <w:tcPr>
            <w:tcW w:w="1615" w:type="dxa"/>
            <w:shd w:val="clear" w:color="auto" w:fill="auto"/>
            <w:noWrap w:val="0"/>
            <w:vAlign w:val="center"/>
          </w:tcPr>
          <w:p w14:paraId="7273832D">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817" w:type="dxa"/>
            <w:noWrap w:val="0"/>
            <w:vAlign w:val="center"/>
          </w:tcPr>
          <w:p w14:paraId="0CE8BA32">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0.032</w:t>
            </w:r>
            <w:r>
              <w:rPr>
                <w:rFonts w:hint="default" w:ascii="Times New Roman" w:hAnsi="Times New Roman" w:eastAsia="宋体" w:cs="Times New Roman"/>
                <w:i w:val="0"/>
                <w:iCs w:val="0"/>
                <w:color w:val="auto"/>
                <w:kern w:val="0"/>
                <w:sz w:val="21"/>
                <w:szCs w:val="21"/>
                <w:u w:val="none"/>
                <w:lang w:val="en-US" w:eastAsia="zh-CN" w:bidi="ar"/>
              </w:rPr>
              <w:t>t/a</w:t>
            </w:r>
          </w:p>
        </w:tc>
        <w:tc>
          <w:tcPr>
            <w:tcW w:w="1080" w:type="dxa"/>
            <w:shd w:val="clear" w:color="auto" w:fill="auto"/>
            <w:noWrap w:val="0"/>
            <w:vAlign w:val="center"/>
          </w:tcPr>
          <w:p w14:paraId="7094461B">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r>
      <w:tr w14:paraId="731397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33" w:type="dxa"/>
            <w:vMerge w:val="continue"/>
            <w:noWrap w:val="0"/>
            <w:vAlign w:val="center"/>
          </w:tcPr>
          <w:p w14:paraId="1745189E">
            <w:pPr>
              <w:pStyle w:val="50"/>
              <w:spacing w:beforeLines="0" w:afterLines="0" w:line="240" w:lineRule="auto"/>
              <w:jc w:val="center"/>
              <w:rPr>
                <w:rFonts w:hint="default" w:ascii="Times New Roman" w:hAnsi="Times New Roman" w:eastAsia="宋体" w:cs="Times New Roman"/>
                <w:snapToGrid w:val="0"/>
                <w:color w:val="auto"/>
                <w:kern w:val="21"/>
                <w:sz w:val="21"/>
                <w:szCs w:val="21"/>
                <w:highlight w:val="none"/>
              </w:rPr>
            </w:pPr>
          </w:p>
        </w:tc>
        <w:tc>
          <w:tcPr>
            <w:tcW w:w="1935" w:type="dxa"/>
            <w:noWrap w:val="0"/>
            <w:vAlign w:val="center"/>
          </w:tcPr>
          <w:p w14:paraId="228C2DEB">
            <w:pPr>
              <w:pStyle w:val="50"/>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甲苯</w:t>
            </w:r>
          </w:p>
        </w:tc>
        <w:tc>
          <w:tcPr>
            <w:tcW w:w="1592" w:type="dxa"/>
            <w:shd w:val="clear" w:color="auto" w:fill="auto"/>
            <w:noWrap w:val="0"/>
            <w:vAlign w:val="center"/>
          </w:tcPr>
          <w:p w14:paraId="3B2758AE">
            <w:pPr>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263" w:type="dxa"/>
            <w:shd w:val="clear" w:color="auto" w:fill="auto"/>
            <w:noWrap w:val="0"/>
            <w:vAlign w:val="center"/>
          </w:tcPr>
          <w:p w14:paraId="1BC35571">
            <w:pPr>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570" w:type="dxa"/>
            <w:shd w:val="clear" w:color="auto" w:fill="auto"/>
            <w:noWrap w:val="0"/>
            <w:vAlign w:val="center"/>
          </w:tcPr>
          <w:p w14:paraId="2963F020">
            <w:pPr>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650" w:type="dxa"/>
            <w:noWrap w:val="0"/>
            <w:vAlign w:val="center"/>
          </w:tcPr>
          <w:p w14:paraId="75B783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0.032</w:t>
            </w:r>
            <w:r>
              <w:rPr>
                <w:rFonts w:hint="default" w:ascii="Times New Roman" w:hAnsi="Times New Roman" w:eastAsia="宋体" w:cs="Times New Roman"/>
                <w:i w:val="0"/>
                <w:iCs w:val="0"/>
                <w:color w:val="auto"/>
                <w:kern w:val="0"/>
                <w:sz w:val="21"/>
                <w:szCs w:val="21"/>
                <w:u w:val="none"/>
                <w:lang w:val="en-US" w:eastAsia="zh-CN" w:bidi="ar"/>
              </w:rPr>
              <w:t>t/a</w:t>
            </w:r>
          </w:p>
        </w:tc>
        <w:tc>
          <w:tcPr>
            <w:tcW w:w="1615" w:type="dxa"/>
            <w:shd w:val="clear" w:color="auto" w:fill="auto"/>
            <w:noWrap w:val="0"/>
            <w:vAlign w:val="center"/>
          </w:tcPr>
          <w:p w14:paraId="49242427">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817" w:type="dxa"/>
            <w:noWrap w:val="0"/>
            <w:vAlign w:val="center"/>
          </w:tcPr>
          <w:p w14:paraId="3EE1FEF2">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0.032</w:t>
            </w:r>
            <w:r>
              <w:rPr>
                <w:rFonts w:hint="default" w:ascii="Times New Roman" w:hAnsi="Times New Roman" w:eastAsia="宋体" w:cs="Times New Roman"/>
                <w:i w:val="0"/>
                <w:iCs w:val="0"/>
                <w:color w:val="auto"/>
                <w:kern w:val="0"/>
                <w:sz w:val="21"/>
                <w:szCs w:val="21"/>
                <w:u w:val="none"/>
                <w:lang w:val="en-US" w:eastAsia="zh-CN" w:bidi="ar"/>
              </w:rPr>
              <w:t>t/a</w:t>
            </w:r>
          </w:p>
        </w:tc>
        <w:tc>
          <w:tcPr>
            <w:tcW w:w="1080" w:type="dxa"/>
            <w:shd w:val="clear" w:color="auto" w:fill="auto"/>
            <w:noWrap w:val="0"/>
            <w:vAlign w:val="center"/>
          </w:tcPr>
          <w:p w14:paraId="46DD968C">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r>
      <w:tr w14:paraId="6E1C49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33" w:type="dxa"/>
            <w:vMerge w:val="restart"/>
            <w:noWrap w:val="0"/>
            <w:vAlign w:val="center"/>
          </w:tcPr>
          <w:p w14:paraId="1DB1B66D">
            <w:pPr>
              <w:pStyle w:val="50"/>
              <w:spacing w:beforeLines="0" w:afterLines="0" w:line="240" w:lineRule="auto"/>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废水</w:t>
            </w:r>
          </w:p>
        </w:tc>
        <w:tc>
          <w:tcPr>
            <w:tcW w:w="1935" w:type="dxa"/>
            <w:noWrap w:val="0"/>
            <w:vAlign w:val="center"/>
          </w:tcPr>
          <w:p w14:paraId="187B0AFB">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水量</w:t>
            </w:r>
          </w:p>
        </w:tc>
        <w:tc>
          <w:tcPr>
            <w:tcW w:w="1592" w:type="dxa"/>
            <w:shd w:val="clear" w:color="auto" w:fill="auto"/>
            <w:noWrap w:val="0"/>
            <w:vAlign w:val="center"/>
          </w:tcPr>
          <w:p w14:paraId="1C13C56D">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b/>
                <w:bCs/>
                <w:color w:val="auto"/>
                <w:kern w:val="0"/>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263" w:type="dxa"/>
            <w:shd w:val="clear" w:color="auto" w:fill="auto"/>
            <w:noWrap w:val="0"/>
            <w:vAlign w:val="center"/>
          </w:tcPr>
          <w:p w14:paraId="2A8CE54E">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570" w:type="dxa"/>
            <w:shd w:val="clear" w:color="auto" w:fill="auto"/>
            <w:noWrap w:val="0"/>
            <w:vAlign w:val="center"/>
          </w:tcPr>
          <w:p w14:paraId="4A5E55F1">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650" w:type="dxa"/>
            <w:noWrap w:val="0"/>
            <w:vAlign w:val="center"/>
          </w:tcPr>
          <w:p w14:paraId="16EB3673">
            <w:pPr>
              <w:pStyle w:val="68"/>
              <w:jc w:val="center"/>
              <w:rPr>
                <w:rFonts w:hint="eastAsia" w:ascii="Times New Roman" w:hAnsi="Times New Roman" w:eastAsia="宋体" w:cs="Times New Roman"/>
                <w:color w:val="auto"/>
                <w:sz w:val="21"/>
                <w:szCs w:val="21"/>
                <w:lang w:val="en-US" w:eastAsia="zh-CN"/>
              </w:rPr>
            </w:pPr>
            <w:r>
              <w:rPr>
                <w:rFonts w:hint="eastAsia" w:cs="Times New Roman"/>
                <w:snapToGrid w:val="0"/>
                <w:color w:val="auto"/>
                <w:kern w:val="21"/>
                <w:sz w:val="21"/>
                <w:szCs w:val="21"/>
                <w:highlight w:val="none"/>
                <w:lang w:val="en-US" w:eastAsia="zh-CN"/>
              </w:rPr>
              <w:t>204.78</w:t>
            </w:r>
            <w:r>
              <w:rPr>
                <w:rFonts w:hint="default" w:ascii="Times New Roman" w:hAnsi="Times New Roman" w:eastAsia="宋体" w:cs="Times New Roman"/>
                <w:i w:val="0"/>
                <w:iCs w:val="0"/>
                <w:color w:val="auto"/>
                <w:kern w:val="0"/>
                <w:sz w:val="21"/>
                <w:szCs w:val="21"/>
                <w:u w:val="none"/>
                <w:lang w:val="en-US" w:eastAsia="zh-CN" w:bidi="ar"/>
              </w:rPr>
              <w:t>t/a</w:t>
            </w:r>
          </w:p>
        </w:tc>
        <w:tc>
          <w:tcPr>
            <w:tcW w:w="1615" w:type="dxa"/>
            <w:shd w:val="clear" w:color="auto" w:fill="auto"/>
            <w:noWrap w:val="0"/>
            <w:vAlign w:val="center"/>
          </w:tcPr>
          <w:p w14:paraId="0055E506">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817" w:type="dxa"/>
            <w:noWrap w:val="0"/>
            <w:vAlign w:val="center"/>
          </w:tcPr>
          <w:p w14:paraId="30B69208">
            <w:pPr>
              <w:pStyle w:val="68"/>
              <w:jc w:val="center"/>
              <w:rPr>
                <w:rFonts w:hint="eastAsia" w:ascii="Times New Roman" w:hAnsi="Times New Roman" w:eastAsia="宋体" w:cs="Times New Roman"/>
                <w:color w:val="auto"/>
                <w:sz w:val="21"/>
                <w:szCs w:val="21"/>
                <w:lang w:val="en-US" w:eastAsia="zh-CN"/>
              </w:rPr>
            </w:pPr>
            <w:r>
              <w:rPr>
                <w:rFonts w:hint="eastAsia" w:cs="Times New Roman"/>
                <w:snapToGrid w:val="0"/>
                <w:color w:val="auto"/>
                <w:kern w:val="21"/>
                <w:sz w:val="21"/>
                <w:szCs w:val="21"/>
                <w:highlight w:val="none"/>
                <w:lang w:val="en-US" w:eastAsia="zh-CN"/>
              </w:rPr>
              <w:t>204.78</w:t>
            </w:r>
            <w:r>
              <w:rPr>
                <w:rFonts w:hint="default" w:ascii="Times New Roman" w:hAnsi="Times New Roman" w:eastAsia="宋体" w:cs="Times New Roman"/>
                <w:i w:val="0"/>
                <w:iCs w:val="0"/>
                <w:color w:val="auto"/>
                <w:kern w:val="0"/>
                <w:sz w:val="21"/>
                <w:szCs w:val="21"/>
                <w:u w:val="none"/>
                <w:lang w:val="en-US" w:eastAsia="zh-CN" w:bidi="ar"/>
              </w:rPr>
              <w:t>t/a</w:t>
            </w:r>
          </w:p>
        </w:tc>
        <w:tc>
          <w:tcPr>
            <w:tcW w:w="1080" w:type="dxa"/>
            <w:shd w:val="clear" w:color="auto" w:fill="auto"/>
            <w:noWrap w:val="0"/>
            <w:vAlign w:val="center"/>
          </w:tcPr>
          <w:p w14:paraId="33C02A55">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r>
      <w:tr w14:paraId="2E976B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33" w:type="dxa"/>
            <w:vMerge w:val="continue"/>
            <w:noWrap w:val="0"/>
            <w:vAlign w:val="center"/>
          </w:tcPr>
          <w:p w14:paraId="3378C82C">
            <w:pPr>
              <w:pStyle w:val="50"/>
              <w:spacing w:beforeLines="0" w:afterLines="0" w:line="240" w:lineRule="auto"/>
              <w:jc w:val="center"/>
              <w:rPr>
                <w:rFonts w:hint="default" w:ascii="Times New Roman" w:hAnsi="Times New Roman" w:eastAsia="宋体" w:cs="Times New Roman"/>
                <w:snapToGrid w:val="0"/>
                <w:color w:val="auto"/>
                <w:kern w:val="21"/>
                <w:sz w:val="21"/>
                <w:szCs w:val="21"/>
              </w:rPr>
            </w:pPr>
          </w:p>
        </w:tc>
        <w:tc>
          <w:tcPr>
            <w:tcW w:w="1935" w:type="dxa"/>
            <w:noWrap w:val="0"/>
            <w:vAlign w:val="center"/>
          </w:tcPr>
          <w:p w14:paraId="18FFEAD8">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pH</w:t>
            </w:r>
          </w:p>
        </w:tc>
        <w:tc>
          <w:tcPr>
            <w:tcW w:w="1592" w:type="dxa"/>
            <w:shd w:val="clear" w:color="auto" w:fill="auto"/>
            <w:noWrap w:val="0"/>
            <w:vAlign w:val="center"/>
          </w:tcPr>
          <w:p w14:paraId="4B115C3A">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263" w:type="dxa"/>
            <w:shd w:val="clear" w:color="auto" w:fill="auto"/>
            <w:noWrap w:val="0"/>
            <w:vAlign w:val="center"/>
          </w:tcPr>
          <w:p w14:paraId="654893D0">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570" w:type="dxa"/>
            <w:shd w:val="clear" w:color="auto" w:fill="auto"/>
            <w:noWrap w:val="0"/>
            <w:vAlign w:val="center"/>
          </w:tcPr>
          <w:p w14:paraId="2A376F08">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650" w:type="dxa"/>
            <w:noWrap w:val="0"/>
            <w:vAlign w:val="center"/>
          </w:tcPr>
          <w:p w14:paraId="3DD6C688">
            <w:pPr>
              <w:pStyle w:val="68"/>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615" w:type="dxa"/>
            <w:shd w:val="clear" w:color="auto" w:fill="auto"/>
            <w:noWrap w:val="0"/>
            <w:vAlign w:val="center"/>
          </w:tcPr>
          <w:p w14:paraId="7D4382B5">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817" w:type="dxa"/>
            <w:noWrap w:val="0"/>
            <w:vAlign w:val="center"/>
          </w:tcPr>
          <w:p w14:paraId="357D5CFC">
            <w:pPr>
              <w:pStyle w:val="68"/>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080" w:type="dxa"/>
            <w:shd w:val="clear" w:color="auto" w:fill="auto"/>
            <w:noWrap w:val="0"/>
            <w:vAlign w:val="center"/>
          </w:tcPr>
          <w:p w14:paraId="2EFF6F00">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r>
      <w:tr w14:paraId="79D7F5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33" w:type="dxa"/>
            <w:vMerge w:val="continue"/>
            <w:noWrap w:val="0"/>
            <w:vAlign w:val="center"/>
          </w:tcPr>
          <w:p w14:paraId="20495B9F">
            <w:pPr>
              <w:pStyle w:val="50"/>
              <w:spacing w:beforeLines="0" w:afterLines="0" w:line="240" w:lineRule="auto"/>
              <w:jc w:val="center"/>
              <w:rPr>
                <w:rFonts w:hint="default" w:ascii="Times New Roman" w:hAnsi="Times New Roman" w:eastAsia="宋体" w:cs="Times New Roman"/>
                <w:snapToGrid w:val="0"/>
                <w:color w:val="auto"/>
                <w:kern w:val="21"/>
                <w:sz w:val="21"/>
                <w:szCs w:val="21"/>
              </w:rPr>
            </w:pPr>
          </w:p>
        </w:tc>
        <w:tc>
          <w:tcPr>
            <w:tcW w:w="1935" w:type="dxa"/>
            <w:noWrap w:val="0"/>
            <w:vAlign w:val="center"/>
          </w:tcPr>
          <w:p w14:paraId="32BDF8F1">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b w:val="0"/>
                <w:bCs w:val="0"/>
                <w:color w:val="auto"/>
                <w:kern w:val="0"/>
                <w:sz w:val="21"/>
                <w:szCs w:val="21"/>
                <w:lang w:val="en-US" w:eastAsia="zh-CN" w:bidi="ar-SA"/>
              </w:rPr>
            </w:pPr>
            <w:r>
              <w:rPr>
                <w:rFonts w:hint="default" w:ascii="Times New Roman" w:hAnsi="Times New Roman" w:cs="Times New Roman"/>
                <w:b w:val="0"/>
                <w:bCs w:val="0"/>
                <w:color w:val="auto"/>
                <w:sz w:val="21"/>
                <w:szCs w:val="21"/>
              </w:rPr>
              <w:t>COD</w:t>
            </w:r>
          </w:p>
        </w:tc>
        <w:tc>
          <w:tcPr>
            <w:tcW w:w="1592" w:type="dxa"/>
            <w:noWrap w:val="0"/>
            <w:vAlign w:val="center"/>
          </w:tcPr>
          <w:p w14:paraId="2A7BA981">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b/>
                <w:bCs/>
                <w:color w:val="auto"/>
                <w:kern w:val="0"/>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263" w:type="dxa"/>
            <w:noWrap w:val="0"/>
            <w:vAlign w:val="center"/>
          </w:tcPr>
          <w:p w14:paraId="4F23B330">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570" w:type="dxa"/>
            <w:noWrap w:val="0"/>
            <w:vAlign w:val="center"/>
          </w:tcPr>
          <w:p w14:paraId="43A04C97">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650" w:type="dxa"/>
            <w:noWrap w:val="0"/>
            <w:vAlign w:val="center"/>
          </w:tcPr>
          <w:p w14:paraId="3F396665">
            <w:pPr>
              <w:pStyle w:val="68"/>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color w:val="auto"/>
                <w:sz w:val="21"/>
                <w:szCs w:val="21"/>
                <w:lang w:val="en-US" w:eastAsia="zh-CN"/>
              </w:rPr>
              <w:t>0.071</w:t>
            </w:r>
            <w:r>
              <w:rPr>
                <w:rFonts w:hint="default" w:ascii="Times New Roman" w:hAnsi="Times New Roman" w:eastAsia="宋体" w:cs="Times New Roman"/>
                <w:i w:val="0"/>
                <w:iCs w:val="0"/>
                <w:color w:val="auto"/>
                <w:kern w:val="0"/>
                <w:sz w:val="21"/>
                <w:szCs w:val="21"/>
                <w:u w:val="none"/>
                <w:lang w:val="en-US" w:eastAsia="zh-CN" w:bidi="ar"/>
              </w:rPr>
              <w:t>t/a</w:t>
            </w:r>
          </w:p>
        </w:tc>
        <w:tc>
          <w:tcPr>
            <w:tcW w:w="1615" w:type="dxa"/>
            <w:noWrap w:val="0"/>
            <w:vAlign w:val="center"/>
          </w:tcPr>
          <w:p w14:paraId="00E10431">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817" w:type="dxa"/>
            <w:noWrap w:val="0"/>
            <w:vAlign w:val="center"/>
          </w:tcPr>
          <w:p w14:paraId="13B103A3">
            <w:pPr>
              <w:pStyle w:val="68"/>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color w:val="auto"/>
                <w:sz w:val="21"/>
                <w:szCs w:val="21"/>
                <w:lang w:val="en-US" w:eastAsia="zh-CN"/>
              </w:rPr>
              <w:t>0.071</w:t>
            </w:r>
            <w:r>
              <w:rPr>
                <w:rFonts w:hint="default" w:ascii="Times New Roman" w:hAnsi="Times New Roman" w:eastAsia="宋体" w:cs="Times New Roman"/>
                <w:i w:val="0"/>
                <w:iCs w:val="0"/>
                <w:color w:val="auto"/>
                <w:kern w:val="0"/>
                <w:sz w:val="21"/>
                <w:szCs w:val="21"/>
                <w:u w:val="none"/>
                <w:lang w:val="en-US" w:eastAsia="zh-CN" w:bidi="ar"/>
              </w:rPr>
              <w:t>t/a</w:t>
            </w:r>
          </w:p>
        </w:tc>
        <w:tc>
          <w:tcPr>
            <w:tcW w:w="1080" w:type="dxa"/>
            <w:noWrap w:val="0"/>
            <w:vAlign w:val="center"/>
          </w:tcPr>
          <w:p w14:paraId="57C894B0">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r>
      <w:tr w14:paraId="39A114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33" w:type="dxa"/>
            <w:vMerge w:val="continue"/>
            <w:noWrap w:val="0"/>
            <w:vAlign w:val="center"/>
          </w:tcPr>
          <w:p w14:paraId="70667C15">
            <w:pPr>
              <w:pStyle w:val="50"/>
              <w:spacing w:beforeLines="0" w:afterLines="0" w:line="240" w:lineRule="auto"/>
              <w:jc w:val="center"/>
              <w:rPr>
                <w:rFonts w:hint="default" w:ascii="Times New Roman" w:hAnsi="Times New Roman" w:eastAsia="宋体" w:cs="Times New Roman"/>
                <w:snapToGrid w:val="0"/>
                <w:color w:val="auto"/>
                <w:kern w:val="21"/>
                <w:sz w:val="21"/>
                <w:szCs w:val="21"/>
              </w:rPr>
            </w:pPr>
          </w:p>
        </w:tc>
        <w:tc>
          <w:tcPr>
            <w:tcW w:w="1935" w:type="dxa"/>
            <w:noWrap w:val="0"/>
            <w:vAlign w:val="center"/>
          </w:tcPr>
          <w:p w14:paraId="1FB35176">
            <w:pPr>
              <w:spacing w:beforeLines="0" w:afterLines="0" w:line="240" w:lineRule="auto"/>
              <w:jc w:val="center"/>
              <w:rPr>
                <w:rFonts w:hint="default" w:ascii="Times New Roman" w:hAnsi="Times New Roman" w:eastAsia="宋体" w:cs="Times New Roman"/>
                <w:b w:val="0"/>
                <w:bCs w:val="0"/>
                <w:snapToGrid w:val="0"/>
                <w:color w:val="auto"/>
                <w:kern w:val="21"/>
                <w:sz w:val="21"/>
                <w:szCs w:val="21"/>
                <w:lang w:val="en-US" w:eastAsia="zh-CN" w:bidi="ar-SA"/>
              </w:rPr>
            </w:pPr>
            <w:r>
              <w:rPr>
                <w:rFonts w:hint="default" w:ascii="Times New Roman" w:hAnsi="Times New Roman" w:cs="Times New Roman"/>
                <w:b w:val="0"/>
                <w:bCs w:val="0"/>
                <w:color w:val="auto"/>
                <w:sz w:val="21"/>
                <w:szCs w:val="21"/>
              </w:rPr>
              <w:t>BOD</w:t>
            </w:r>
            <w:r>
              <w:rPr>
                <w:rFonts w:hint="default" w:ascii="Times New Roman" w:hAnsi="Times New Roman" w:cs="Times New Roman"/>
                <w:b w:val="0"/>
                <w:bCs w:val="0"/>
                <w:color w:val="auto"/>
                <w:sz w:val="21"/>
                <w:szCs w:val="21"/>
                <w:vertAlign w:val="subscript"/>
                <w:lang w:val="en-US" w:eastAsia="zh-CN"/>
              </w:rPr>
              <w:t>5</w:t>
            </w:r>
          </w:p>
        </w:tc>
        <w:tc>
          <w:tcPr>
            <w:tcW w:w="1592" w:type="dxa"/>
            <w:noWrap w:val="0"/>
            <w:vAlign w:val="center"/>
          </w:tcPr>
          <w:p w14:paraId="73AB7DB5">
            <w:pPr>
              <w:spacing w:beforeLines="0" w:afterLines="0" w:line="240" w:lineRule="auto"/>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highlight w:val="none"/>
                <w:lang w:val="en-US" w:eastAsia="zh-CN"/>
              </w:rPr>
              <w:t>/</w:t>
            </w:r>
          </w:p>
        </w:tc>
        <w:tc>
          <w:tcPr>
            <w:tcW w:w="1263" w:type="dxa"/>
            <w:noWrap w:val="0"/>
            <w:vAlign w:val="center"/>
          </w:tcPr>
          <w:p w14:paraId="67BB6482">
            <w:pPr>
              <w:spacing w:beforeLines="0" w:afterLines="0" w:line="240" w:lineRule="auto"/>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highlight w:val="none"/>
                <w:lang w:val="en-US" w:eastAsia="zh-CN"/>
              </w:rPr>
              <w:t>/</w:t>
            </w:r>
          </w:p>
        </w:tc>
        <w:tc>
          <w:tcPr>
            <w:tcW w:w="1570" w:type="dxa"/>
            <w:noWrap w:val="0"/>
            <w:vAlign w:val="center"/>
          </w:tcPr>
          <w:p w14:paraId="6BC9D49A">
            <w:pPr>
              <w:spacing w:beforeLines="0" w:afterLines="0" w:line="240" w:lineRule="auto"/>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highlight w:val="none"/>
                <w:lang w:val="en-US" w:eastAsia="zh-CN"/>
              </w:rPr>
              <w:t>/</w:t>
            </w:r>
          </w:p>
        </w:tc>
        <w:tc>
          <w:tcPr>
            <w:tcW w:w="1650" w:type="dxa"/>
            <w:noWrap w:val="0"/>
            <w:vAlign w:val="center"/>
          </w:tcPr>
          <w:p w14:paraId="1934FA95">
            <w:pPr>
              <w:pStyle w:val="68"/>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color w:val="auto"/>
                <w:sz w:val="21"/>
                <w:szCs w:val="21"/>
                <w:lang w:val="en-US" w:eastAsia="zh-CN"/>
              </w:rPr>
              <w:t>0.016</w:t>
            </w:r>
            <w:r>
              <w:rPr>
                <w:rFonts w:hint="default" w:ascii="Times New Roman" w:hAnsi="Times New Roman" w:eastAsia="宋体" w:cs="Times New Roman"/>
                <w:i w:val="0"/>
                <w:iCs w:val="0"/>
                <w:color w:val="auto"/>
                <w:kern w:val="0"/>
                <w:sz w:val="21"/>
                <w:szCs w:val="21"/>
                <w:u w:val="none"/>
                <w:lang w:val="en-US" w:eastAsia="zh-CN" w:bidi="ar"/>
              </w:rPr>
              <w:t>t/a</w:t>
            </w:r>
          </w:p>
        </w:tc>
        <w:tc>
          <w:tcPr>
            <w:tcW w:w="1615" w:type="dxa"/>
            <w:noWrap w:val="0"/>
            <w:vAlign w:val="center"/>
          </w:tcPr>
          <w:p w14:paraId="34BBCB58">
            <w:pPr>
              <w:spacing w:beforeLines="0" w:afterLines="0" w:line="240" w:lineRule="auto"/>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highlight w:val="none"/>
                <w:lang w:val="en-US" w:eastAsia="zh-CN"/>
              </w:rPr>
              <w:t>/</w:t>
            </w:r>
          </w:p>
        </w:tc>
        <w:tc>
          <w:tcPr>
            <w:tcW w:w="1817" w:type="dxa"/>
            <w:noWrap w:val="0"/>
            <w:vAlign w:val="center"/>
          </w:tcPr>
          <w:p w14:paraId="6DA8D845">
            <w:pPr>
              <w:pStyle w:val="68"/>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color w:val="auto"/>
                <w:sz w:val="21"/>
                <w:szCs w:val="21"/>
                <w:lang w:val="en-US" w:eastAsia="zh-CN"/>
              </w:rPr>
              <w:t>0.016</w:t>
            </w:r>
            <w:r>
              <w:rPr>
                <w:rFonts w:hint="default" w:ascii="Times New Roman" w:hAnsi="Times New Roman" w:eastAsia="宋体" w:cs="Times New Roman"/>
                <w:i w:val="0"/>
                <w:iCs w:val="0"/>
                <w:color w:val="auto"/>
                <w:kern w:val="0"/>
                <w:sz w:val="21"/>
                <w:szCs w:val="21"/>
                <w:u w:val="none"/>
                <w:lang w:val="en-US" w:eastAsia="zh-CN" w:bidi="ar"/>
              </w:rPr>
              <w:t>t/a</w:t>
            </w:r>
          </w:p>
        </w:tc>
        <w:tc>
          <w:tcPr>
            <w:tcW w:w="1080" w:type="dxa"/>
            <w:noWrap w:val="0"/>
            <w:vAlign w:val="center"/>
          </w:tcPr>
          <w:p w14:paraId="20D9A974">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r>
      <w:tr w14:paraId="6F46D2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33" w:type="dxa"/>
            <w:vMerge w:val="continue"/>
            <w:noWrap w:val="0"/>
            <w:vAlign w:val="center"/>
          </w:tcPr>
          <w:p w14:paraId="50231FE1">
            <w:pPr>
              <w:pStyle w:val="50"/>
              <w:spacing w:beforeLines="0" w:afterLines="0" w:line="240" w:lineRule="auto"/>
              <w:jc w:val="center"/>
              <w:rPr>
                <w:rFonts w:hint="default" w:ascii="Times New Roman" w:hAnsi="Times New Roman" w:eastAsia="宋体" w:cs="Times New Roman"/>
                <w:snapToGrid w:val="0"/>
                <w:color w:val="auto"/>
                <w:kern w:val="21"/>
                <w:sz w:val="21"/>
                <w:szCs w:val="21"/>
              </w:rPr>
            </w:pPr>
          </w:p>
        </w:tc>
        <w:tc>
          <w:tcPr>
            <w:tcW w:w="1935" w:type="dxa"/>
            <w:noWrap w:val="0"/>
            <w:vAlign w:val="center"/>
          </w:tcPr>
          <w:p w14:paraId="2B5543C4">
            <w:pPr>
              <w:spacing w:beforeLines="0" w:afterLines="0" w:line="240" w:lineRule="auto"/>
              <w:jc w:val="center"/>
              <w:rPr>
                <w:rFonts w:hint="default" w:ascii="Times New Roman" w:hAnsi="Times New Roman" w:eastAsia="宋体" w:cs="Times New Roman"/>
                <w:b w:val="0"/>
                <w:bCs w:val="0"/>
                <w:snapToGrid w:val="0"/>
                <w:color w:val="auto"/>
                <w:kern w:val="21"/>
                <w:sz w:val="21"/>
                <w:szCs w:val="21"/>
                <w:lang w:val="en-US" w:eastAsia="zh-CN" w:bidi="ar-SA"/>
              </w:rPr>
            </w:pPr>
            <w:r>
              <w:rPr>
                <w:rFonts w:hint="default" w:ascii="Times New Roman" w:hAnsi="Times New Roman" w:cs="Times New Roman"/>
                <w:b w:val="0"/>
                <w:bCs w:val="0"/>
                <w:color w:val="auto"/>
                <w:sz w:val="21"/>
                <w:szCs w:val="21"/>
              </w:rPr>
              <w:t>SS</w:t>
            </w:r>
          </w:p>
        </w:tc>
        <w:tc>
          <w:tcPr>
            <w:tcW w:w="1592" w:type="dxa"/>
            <w:noWrap w:val="0"/>
            <w:vAlign w:val="center"/>
          </w:tcPr>
          <w:p w14:paraId="72C4E210">
            <w:pPr>
              <w:spacing w:beforeLines="0" w:afterLines="0" w:line="240" w:lineRule="auto"/>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highlight w:val="none"/>
                <w:lang w:val="en-US" w:eastAsia="zh-CN"/>
              </w:rPr>
              <w:t>/</w:t>
            </w:r>
          </w:p>
        </w:tc>
        <w:tc>
          <w:tcPr>
            <w:tcW w:w="1263" w:type="dxa"/>
            <w:noWrap w:val="0"/>
            <w:vAlign w:val="center"/>
          </w:tcPr>
          <w:p w14:paraId="03229741">
            <w:pPr>
              <w:spacing w:beforeLines="0" w:afterLines="0" w:line="240" w:lineRule="auto"/>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highlight w:val="none"/>
                <w:lang w:val="en-US" w:eastAsia="zh-CN"/>
              </w:rPr>
              <w:t>/</w:t>
            </w:r>
          </w:p>
        </w:tc>
        <w:tc>
          <w:tcPr>
            <w:tcW w:w="1570" w:type="dxa"/>
            <w:noWrap w:val="0"/>
            <w:vAlign w:val="center"/>
          </w:tcPr>
          <w:p w14:paraId="455F4294">
            <w:pPr>
              <w:spacing w:beforeLines="0" w:afterLines="0" w:line="240" w:lineRule="auto"/>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highlight w:val="none"/>
                <w:lang w:val="en-US" w:eastAsia="zh-CN"/>
              </w:rPr>
              <w:t>/</w:t>
            </w:r>
          </w:p>
        </w:tc>
        <w:tc>
          <w:tcPr>
            <w:tcW w:w="1650" w:type="dxa"/>
            <w:noWrap w:val="0"/>
            <w:vAlign w:val="center"/>
          </w:tcPr>
          <w:p w14:paraId="59A5184A">
            <w:pPr>
              <w:pStyle w:val="68"/>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color w:val="auto"/>
                <w:sz w:val="21"/>
                <w:szCs w:val="21"/>
                <w:lang w:val="en-US" w:eastAsia="zh-CN"/>
              </w:rPr>
              <w:t>0.014</w:t>
            </w:r>
            <w:r>
              <w:rPr>
                <w:rFonts w:hint="default" w:ascii="Times New Roman" w:hAnsi="Times New Roman" w:eastAsia="宋体" w:cs="Times New Roman"/>
                <w:i w:val="0"/>
                <w:iCs w:val="0"/>
                <w:color w:val="auto"/>
                <w:kern w:val="0"/>
                <w:sz w:val="21"/>
                <w:szCs w:val="21"/>
                <w:u w:val="none"/>
                <w:lang w:val="en-US" w:eastAsia="zh-CN" w:bidi="ar"/>
              </w:rPr>
              <w:t>t/a</w:t>
            </w:r>
          </w:p>
        </w:tc>
        <w:tc>
          <w:tcPr>
            <w:tcW w:w="1615" w:type="dxa"/>
            <w:noWrap w:val="0"/>
            <w:vAlign w:val="center"/>
          </w:tcPr>
          <w:p w14:paraId="40D22AB8">
            <w:pPr>
              <w:spacing w:beforeLines="0" w:afterLines="0" w:line="240" w:lineRule="auto"/>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highlight w:val="none"/>
                <w:lang w:val="en-US" w:eastAsia="zh-CN"/>
              </w:rPr>
              <w:t>/</w:t>
            </w:r>
          </w:p>
        </w:tc>
        <w:tc>
          <w:tcPr>
            <w:tcW w:w="1817" w:type="dxa"/>
            <w:noWrap w:val="0"/>
            <w:vAlign w:val="center"/>
          </w:tcPr>
          <w:p w14:paraId="3A256F52">
            <w:pPr>
              <w:pStyle w:val="68"/>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color w:val="auto"/>
                <w:sz w:val="21"/>
                <w:szCs w:val="21"/>
                <w:lang w:val="en-US" w:eastAsia="zh-CN"/>
              </w:rPr>
              <w:t>0.014</w:t>
            </w:r>
            <w:r>
              <w:rPr>
                <w:rFonts w:hint="default" w:ascii="Times New Roman" w:hAnsi="Times New Roman" w:eastAsia="宋体" w:cs="Times New Roman"/>
                <w:i w:val="0"/>
                <w:iCs w:val="0"/>
                <w:color w:val="auto"/>
                <w:kern w:val="0"/>
                <w:sz w:val="21"/>
                <w:szCs w:val="21"/>
                <w:u w:val="none"/>
                <w:lang w:val="en-US" w:eastAsia="zh-CN" w:bidi="ar"/>
              </w:rPr>
              <w:t>t/a</w:t>
            </w:r>
          </w:p>
        </w:tc>
        <w:tc>
          <w:tcPr>
            <w:tcW w:w="1080" w:type="dxa"/>
            <w:noWrap w:val="0"/>
            <w:vAlign w:val="center"/>
          </w:tcPr>
          <w:p w14:paraId="47B4B63B">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r>
      <w:tr w14:paraId="07627A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33" w:type="dxa"/>
            <w:vMerge w:val="continue"/>
            <w:noWrap w:val="0"/>
            <w:vAlign w:val="center"/>
          </w:tcPr>
          <w:p w14:paraId="3725560B">
            <w:pPr>
              <w:pStyle w:val="50"/>
              <w:spacing w:beforeLines="0" w:afterLines="0" w:line="240" w:lineRule="auto"/>
              <w:jc w:val="center"/>
              <w:rPr>
                <w:rFonts w:hint="default" w:ascii="Times New Roman" w:hAnsi="Times New Roman" w:eastAsia="宋体" w:cs="Times New Roman"/>
                <w:snapToGrid w:val="0"/>
                <w:color w:val="auto"/>
                <w:kern w:val="21"/>
                <w:sz w:val="21"/>
                <w:szCs w:val="21"/>
              </w:rPr>
            </w:pPr>
          </w:p>
        </w:tc>
        <w:tc>
          <w:tcPr>
            <w:tcW w:w="1935" w:type="dxa"/>
            <w:noWrap w:val="0"/>
            <w:vAlign w:val="center"/>
          </w:tcPr>
          <w:p w14:paraId="4BB89D16">
            <w:pPr>
              <w:spacing w:beforeLines="0" w:afterLines="0" w:line="240" w:lineRule="auto"/>
              <w:jc w:val="center"/>
              <w:rPr>
                <w:rFonts w:hint="default" w:ascii="Times New Roman" w:hAnsi="Times New Roman" w:eastAsia="宋体" w:cs="Times New Roman"/>
                <w:b w:val="0"/>
                <w:bCs w:val="0"/>
                <w:snapToGrid w:val="0"/>
                <w:color w:val="auto"/>
                <w:kern w:val="21"/>
                <w:sz w:val="21"/>
                <w:szCs w:val="21"/>
                <w:lang w:val="en-US" w:eastAsia="zh-CN" w:bidi="ar-SA"/>
              </w:rPr>
            </w:pPr>
            <w:r>
              <w:rPr>
                <w:rFonts w:hint="default" w:ascii="Times New Roman" w:hAnsi="Times New Roman" w:cs="Times New Roman"/>
                <w:b w:val="0"/>
                <w:bCs w:val="0"/>
                <w:color w:val="auto"/>
                <w:sz w:val="21"/>
                <w:szCs w:val="21"/>
              </w:rPr>
              <w:t>氨氮</w:t>
            </w:r>
          </w:p>
        </w:tc>
        <w:tc>
          <w:tcPr>
            <w:tcW w:w="1592" w:type="dxa"/>
            <w:noWrap w:val="0"/>
            <w:vAlign w:val="center"/>
          </w:tcPr>
          <w:p w14:paraId="02FFA7BF">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263" w:type="dxa"/>
            <w:noWrap w:val="0"/>
            <w:vAlign w:val="center"/>
          </w:tcPr>
          <w:p w14:paraId="496DA622">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70" w:type="dxa"/>
            <w:noWrap w:val="0"/>
            <w:vAlign w:val="center"/>
          </w:tcPr>
          <w:p w14:paraId="54B4A428">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650" w:type="dxa"/>
            <w:noWrap w:val="0"/>
            <w:vAlign w:val="center"/>
          </w:tcPr>
          <w:p w14:paraId="6B9AEC13">
            <w:pPr>
              <w:pStyle w:val="68"/>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color w:val="auto"/>
                <w:sz w:val="21"/>
                <w:szCs w:val="21"/>
                <w:lang w:val="en-US" w:eastAsia="zh-CN"/>
              </w:rPr>
              <w:t>0.004</w:t>
            </w:r>
            <w:r>
              <w:rPr>
                <w:rFonts w:hint="default" w:ascii="Times New Roman" w:hAnsi="Times New Roman" w:eastAsia="宋体" w:cs="Times New Roman"/>
                <w:i w:val="0"/>
                <w:iCs w:val="0"/>
                <w:color w:val="auto"/>
                <w:kern w:val="0"/>
                <w:sz w:val="21"/>
                <w:szCs w:val="21"/>
                <w:u w:val="none"/>
                <w:lang w:val="en-US" w:eastAsia="zh-CN" w:bidi="ar"/>
              </w:rPr>
              <w:t>t/a</w:t>
            </w:r>
          </w:p>
        </w:tc>
        <w:tc>
          <w:tcPr>
            <w:tcW w:w="1615" w:type="dxa"/>
            <w:noWrap w:val="0"/>
            <w:vAlign w:val="center"/>
          </w:tcPr>
          <w:p w14:paraId="4BB31797">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817" w:type="dxa"/>
            <w:noWrap w:val="0"/>
            <w:vAlign w:val="center"/>
          </w:tcPr>
          <w:p w14:paraId="74D99AFB">
            <w:pPr>
              <w:pStyle w:val="68"/>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color w:val="auto"/>
                <w:sz w:val="21"/>
                <w:szCs w:val="21"/>
                <w:lang w:val="en-US" w:eastAsia="zh-CN"/>
              </w:rPr>
              <w:t>0.004</w:t>
            </w:r>
            <w:r>
              <w:rPr>
                <w:rFonts w:hint="default" w:ascii="Times New Roman" w:hAnsi="Times New Roman" w:eastAsia="宋体" w:cs="Times New Roman"/>
                <w:i w:val="0"/>
                <w:iCs w:val="0"/>
                <w:color w:val="auto"/>
                <w:kern w:val="0"/>
                <w:sz w:val="21"/>
                <w:szCs w:val="21"/>
                <w:u w:val="none"/>
                <w:lang w:val="en-US" w:eastAsia="zh-CN" w:bidi="ar"/>
              </w:rPr>
              <w:t>t/a</w:t>
            </w:r>
          </w:p>
        </w:tc>
        <w:tc>
          <w:tcPr>
            <w:tcW w:w="1080" w:type="dxa"/>
            <w:noWrap w:val="0"/>
            <w:vAlign w:val="center"/>
          </w:tcPr>
          <w:p w14:paraId="5058568A">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r>
      <w:tr w14:paraId="17E625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33" w:type="dxa"/>
            <w:vMerge w:val="continue"/>
            <w:noWrap w:val="0"/>
            <w:vAlign w:val="center"/>
          </w:tcPr>
          <w:p w14:paraId="1EA4F81C">
            <w:pPr>
              <w:pStyle w:val="50"/>
              <w:spacing w:beforeLines="0" w:afterLines="0" w:line="240" w:lineRule="auto"/>
              <w:jc w:val="center"/>
              <w:rPr>
                <w:rFonts w:hint="default" w:ascii="Times New Roman" w:hAnsi="Times New Roman" w:eastAsia="宋体" w:cs="Times New Roman"/>
                <w:snapToGrid w:val="0"/>
                <w:color w:val="auto"/>
                <w:kern w:val="21"/>
                <w:sz w:val="21"/>
                <w:szCs w:val="21"/>
              </w:rPr>
            </w:pPr>
          </w:p>
        </w:tc>
        <w:tc>
          <w:tcPr>
            <w:tcW w:w="1935" w:type="dxa"/>
            <w:noWrap w:val="0"/>
            <w:vAlign w:val="center"/>
          </w:tcPr>
          <w:p w14:paraId="3D11F234">
            <w:pPr>
              <w:spacing w:beforeLines="0" w:afterLines="0" w:line="240" w:lineRule="auto"/>
              <w:jc w:val="center"/>
              <w:rPr>
                <w:rFonts w:hint="default" w:ascii="Times New Roman" w:hAnsi="Times New Roman" w:eastAsia="宋体" w:cs="Times New Roman"/>
                <w:b w:val="0"/>
                <w:bCs w:val="0"/>
                <w:snapToGrid w:val="0"/>
                <w:color w:val="auto"/>
                <w:kern w:val="21"/>
                <w:sz w:val="21"/>
                <w:szCs w:val="21"/>
                <w:lang w:val="en-US" w:eastAsia="zh-CN" w:bidi="ar-SA"/>
              </w:rPr>
            </w:pPr>
            <w:r>
              <w:rPr>
                <w:rFonts w:hint="default" w:ascii="Times New Roman" w:hAnsi="Times New Roman" w:cs="Times New Roman"/>
                <w:b w:val="0"/>
                <w:bCs w:val="0"/>
                <w:color w:val="auto"/>
                <w:sz w:val="21"/>
                <w:szCs w:val="21"/>
                <w:lang w:val="en-US" w:eastAsia="zh-CN"/>
              </w:rPr>
              <w:t>总氮</w:t>
            </w:r>
          </w:p>
        </w:tc>
        <w:tc>
          <w:tcPr>
            <w:tcW w:w="1592" w:type="dxa"/>
            <w:noWrap w:val="0"/>
            <w:vAlign w:val="center"/>
          </w:tcPr>
          <w:p w14:paraId="03294DE6">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263" w:type="dxa"/>
            <w:noWrap w:val="0"/>
            <w:vAlign w:val="center"/>
          </w:tcPr>
          <w:p w14:paraId="7DC390BC">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70" w:type="dxa"/>
            <w:noWrap w:val="0"/>
            <w:vAlign w:val="center"/>
          </w:tcPr>
          <w:p w14:paraId="5DBA9B6D">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650" w:type="dxa"/>
            <w:noWrap w:val="0"/>
            <w:vAlign w:val="center"/>
          </w:tcPr>
          <w:p w14:paraId="6F4CC3BC">
            <w:pPr>
              <w:pStyle w:val="68"/>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color w:val="auto"/>
                <w:sz w:val="21"/>
                <w:szCs w:val="21"/>
                <w:lang w:val="en-US" w:eastAsia="zh-CN"/>
              </w:rPr>
              <w:t>0.005</w:t>
            </w:r>
            <w:r>
              <w:rPr>
                <w:rFonts w:hint="default" w:ascii="Times New Roman" w:hAnsi="Times New Roman" w:eastAsia="宋体" w:cs="Times New Roman"/>
                <w:i w:val="0"/>
                <w:iCs w:val="0"/>
                <w:color w:val="auto"/>
                <w:kern w:val="0"/>
                <w:sz w:val="21"/>
                <w:szCs w:val="21"/>
                <w:u w:val="none"/>
                <w:lang w:val="en-US" w:eastAsia="zh-CN" w:bidi="ar"/>
              </w:rPr>
              <w:t>t/a</w:t>
            </w:r>
          </w:p>
        </w:tc>
        <w:tc>
          <w:tcPr>
            <w:tcW w:w="1615" w:type="dxa"/>
            <w:noWrap w:val="0"/>
            <w:vAlign w:val="center"/>
          </w:tcPr>
          <w:p w14:paraId="07DFF6AE">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817" w:type="dxa"/>
            <w:noWrap w:val="0"/>
            <w:vAlign w:val="center"/>
          </w:tcPr>
          <w:p w14:paraId="28585027">
            <w:pPr>
              <w:pStyle w:val="68"/>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color w:val="auto"/>
                <w:sz w:val="21"/>
                <w:szCs w:val="21"/>
                <w:lang w:val="en-US" w:eastAsia="zh-CN"/>
              </w:rPr>
              <w:t>0.005</w:t>
            </w:r>
            <w:r>
              <w:rPr>
                <w:rFonts w:hint="default" w:ascii="Times New Roman" w:hAnsi="Times New Roman" w:eastAsia="宋体" w:cs="Times New Roman"/>
                <w:i w:val="0"/>
                <w:iCs w:val="0"/>
                <w:color w:val="auto"/>
                <w:kern w:val="0"/>
                <w:sz w:val="21"/>
                <w:szCs w:val="21"/>
                <w:u w:val="none"/>
                <w:lang w:val="en-US" w:eastAsia="zh-CN" w:bidi="ar"/>
              </w:rPr>
              <w:t>t/a</w:t>
            </w:r>
          </w:p>
        </w:tc>
        <w:tc>
          <w:tcPr>
            <w:tcW w:w="1080" w:type="dxa"/>
            <w:noWrap w:val="0"/>
            <w:vAlign w:val="center"/>
          </w:tcPr>
          <w:p w14:paraId="2D9A8737">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r>
      <w:tr w14:paraId="3105E9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33" w:type="dxa"/>
            <w:vMerge w:val="continue"/>
            <w:noWrap w:val="0"/>
            <w:vAlign w:val="center"/>
          </w:tcPr>
          <w:p w14:paraId="6E76AF3F">
            <w:pPr>
              <w:pStyle w:val="50"/>
              <w:spacing w:beforeLines="0" w:afterLines="0" w:line="240" w:lineRule="auto"/>
              <w:jc w:val="center"/>
              <w:rPr>
                <w:rFonts w:hint="default" w:ascii="Times New Roman" w:hAnsi="Times New Roman" w:eastAsia="宋体" w:cs="Times New Roman"/>
                <w:snapToGrid w:val="0"/>
                <w:color w:val="auto"/>
                <w:kern w:val="21"/>
                <w:sz w:val="21"/>
                <w:szCs w:val="21"/>
              </w:rPr>
            </w:pPr>
          </w:p>
        </w:tc>
        <w:tc>
          <w:tcPr>
            <w:tcW w:w="1935" w:type="dxa"/>
            <w:noWrap w:val="0"/>
            <w:vAlign w:val="center"/>
          </w:tcPr>
          <w:p w14:paraId="2491DEDA">
            <w:pPr>
              <w:spacing w:beforeLines="0" w:afterLines="0" w:line="240" w:lineRule="auto"/>
              <w:jc w:val="center"/>
              <w:rPr>
                <w:rFonts w:hint="default" w:ascii="Times New Roman" w:hAnsi="Times New Roman" w:eastAsia="宋体" w:cs="Times New Roman"/>
                <w:b w:val="0"/>
                <w:bCs w:val="0"/>
                <w:snapToGrid w:val="0"/>
                <w:color w:val="auto"/>
                <w:kern w:val="21"/>
                <w:sz w:val="21"/>
                <w:szCs w:val="21"/>
                <w:lang w:val="en-US" w:eastAsia="zh-CN" w:bidi="ar-SA"/>
              </w:rPr>
            </w:pPr>
            <w:r>
              <w:rPr>
                <w:rFonts w:hint="default" w:ascii="Times New Roman" w:hAnsi="Times New Roman" w:cs="Times New Roman"/>
                <w:b w:val="0"/>
                <w:bCs w:val="0"/>
                <w:color w:val="auto"/>
                <w:sz w:val="21"/>
                <w:szCs w:val="21"/>
                <w:lang w:val="en-US" w:eastAsia="zh-CN"/>
              </w:rPr>
              <w:t>总磷</w:t>
            </w:r>
          </w:p>
        </w:tc>
        <w:tc>
          <w:tcPr>
            <w:tcW w:w="1592" w:type="dxa"/>
            <w:noWrap w:val="0"/>
            <w:vAlign w:val="center"/>
          </w:tcPr>
          <w:p w14:paraId="6611EA8B">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263" w:type="dxa"/>
            <w:noWrap w:val="0"/>
            <w:vAlign w:val="center"/>
          </w:tcPr>
          <w:p w14:paraId="4A1ECF29">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70" w:type="dxa"/>
            <w:noWrap w:val="0"/>
            <w:vAlign w:val="center"/>
          </w:tcPr>
          <w:p w14:paraId="16F77883">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650" w:type="dxa"/>
            <w:noWrap w:val="0"/>
            <w:vAlign w:val="center"/>
          </w:tcPr>
          <w:p w14:paraId="4F7AC9B0">
            <w:pPr>
              <w:pStyle w:val="68"/>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color w:val="auto"/>
                <w:sz w:val="21"/>
                <w:szCs w:val="21"/>
                <w:lang w:val="en-US" w:eastAsia="zh-CN"/>
              </w:rPr>
              <w:t>0.0006</w:t>
            </w:r>
            <w:r>
              <w:rPr>
                <w:rFonts w:hint="default" w:ascii="Times New Roman" w:hAnsi="Times New Roman" w:eastAsia="宋体" w:cs="Times New Roman"/>
                <w:i w:val="0"/>
                <w:iCs w:val="0"/>
                <w:color w:val="auto"/>
                <w:kern w:val="0"/>
                <w:sz w:val="21"/>
                <w:szCs w:val="21"/>
                <w:u w:val="none"/>
                <w:lang w:val="en-US" w:eastAsia="zh-CN" w:bidi="ar"/>
              </w:rPr>
              <w:t>t/a</w:t>
            </w:r>
          </w:p>
        </w:tc>
        <w:tc>
          <w:tcPr>
            <w:tcW w:w="1615" w:type="dxa"/>
            <w:noWrap w:val="0"/>
            <w:vAlign w:val="center"/>
          </w:tcPr>
          <w:p w14:paraId="10AC66E0">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817" w:type="dxa"/>
            <w:noWrap w:val="0"/>
            <w:vAlign w:val="center"/>
          </w:tcPr>
          <w:p w14:paraId="1C256544">
            <w:pPr>
              <w:pStyle w:val="68"/>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color w:val="auto"/>
                <w:sz w:val="21"/>
                <w:szCs w:val="21"/>
                <w:lang w:val="en-US" w:eastAsia="zh-CN"/>
              </w:rPr>
              <w:t>0.0006</w:t>
            </w:r>
            <w:r>
              <w:rPr>
                <w:rFonts w:hint="default" w:ascii="Times New Roman" w:hAnsi="Times New Roman" w:eastAsia="宋体" w:cs="Times New Roman"/>
                <w:i w:val="0"/>
                <w:iCs w:val="0"/>
                <w:color w:val="auto"/>
                <w:kern w:val="0"/>
                <w:sz w:val="21"/>
                <w:szCs w:val="21"/>
                <w:u w:val="none"/>
                <w:lang w:val="en-US" w:eastAsia="zh-CN" w:bidi="ar"/>
              </w:rPr>
              <w:t>t/a</w:t>
            </w:r>
          </w:p>
        </w:tc>
        <w:tc>
          <w:tcPr>
            <w:tcW w:w="1080" w:type="dxa"/>
            <w:noWrap w:val="0"/>
            <w:vAlign w:val="center"/>
          </w:tcPr>
          <w:p w14:paraId="1660B5F8">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r>
      <w:tr w14:paraId="1FD2C2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33" w:type="dxa"/>
            <w:noWrap w:val="0"/>
            <w:vAlign w:val="center"/>
          </w:tcPr>
          <w:p w14:paraId="1A2B798C">
            <w:pPr>
              <w:pStyle w:val="5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生活垃圾</w:t>
            </w:r>
          </w:p>
        </w:tc>
        <w:tc>
          <w:tcPr>
            <w:tcW w:w="1935" w:type="dxa"/>
            <w:noWrap w:val="0"/>
            <w:vAlign w:val="center"/>
          </w:tcPr>
          <w:p w14:paraId="5D173B65">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生活垃圾</w:t>
            </w:r>
          </w:p>
        </w:tc>
        <w:tc>
          <w:tcPr>
            <w:tcW w:w="1592" w:type="dxa"/>
            <w:noWrap w:val="0"/>
            <w:vAlign w:val="center"/>
          </w:tcPr>
          <w:p w14:paraId="53CE51F0">
            <w:pPr>
              <w:spacing w:beforeLines="0" w:afterLines="0" w:line="240" w:lineRule="auto"/>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highlight w:val="none"/>
                <w:lang w:val="en-US" w:eastAsia="zh-CN"/>
              </w:rPr>
              <w:t>/</w:t>
            </w:r>
          </w:p>
        </w:tc>
        <w:tc>
          <w:tcPr>
            <w:tcW w:w="1263" w:type="dxa"/>
            <w:noWrap w:val="0"/>
            <w:vAlign w:val="center"/>
          </w:tcPr>
          <w:p w14:paraId="7791825F">
            <w:pPr>
              <w:spacing w:beforeLines="0" w:afterLines="0" w:line="240" w:lineRule="auto"/>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highlight w:val="none"/>
                <w:lang w:val="en-US" w:eastAsia="zh-CN"/>
              </w:rPr>
              <w:t>/</w:t>
            </w:r>
          </w:p>
        </w:tc>
        <w:tc>
          <w:tcPr>
            <w:tcW w:w="1570" w:type="dxa"/>
            <w:noWrap w:val="0"/>
            <w:vAlign w:val="center"/>
          </w:tcPr>
          <w:p w14:paraId="11B753BE">
            <w:pPr>
              <w:spacing w:beforeLines="0" w:afterLines="0" w:line="240" w:lineRule="auto"/>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highlight w:val="none"/>
                <w:lang w:val="en-US" w:eastAsia="zh-CN"/>
              </w:rPr>
              <w:t>/</w:t>
            </w:r>
          </w:p>
        </w:tc>
        <w:tc>
          <w:tcPr>
            <w:tcW w:w="1650" w:type="dxa"/>
            <w:noWrap w:val="0"/>
            <w:vAlign w:val="center"/>
          </w:tcPr>
          <w:p w14:paraId="16F93DF6">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1.25</w:t>
            </w:r>
            <w:r>
              <w:rPr>
                <w:rFonts w:hint="default" w:ascii="Times New Roman" w:hAnsi="Times New Roman" w:eastAsia="宋体" w:cs="Times New Roman"/>
                <w:i w:val="0"/>
                <w:iCs w:val="0"/>
                <w:color w:val="auto"/>
                <w:kern w:val="0"/>
                <w:sz w:val="21"/>
                <w:szCs w:val="21"/>
                <w:u w:val="none"/>
                <w:lang w:val="en-US" w:eastAsia="zh-CN" w:bidi="ar"/>
              </w:rPr>
              <w:t>t/a</w:t>
            </w:r>
          </w:p>
        </w:tc>
        <w:tc>
          <w:tcPr>
            <w:tcW w:w="1615" w:type="dxa"/>
            <w:noWrap w:val="0"/>
            <w:vAlign w:val="center"/>
          </w:tcPr>
          <w:p w14:paraId="4F9B9F29">
            <w:pPr>
              <w:spacing w:beforeLines="0" w:afterLines="0" w:line="240" w:lineRule="auto"/>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highlight w:val="none"/>
                <w:lang w:val="en-US" w:eastAsia="zh-CN"/>
              </w:rPr>
              <w:t>/</w:t>
            </w:r>
          </w:p>
        </w:tc>
        <w:tc>
          <w:tcPr>
            <w:tcW w:w="1817" w:type="dxa"/>
            <w:noWrap w:val="0"/>
            <w:vAlign w:val="center"/>
          </w:tcPr>
          <w:p w14:paraId="15792350">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1.25</w:t>
            </w:r>
            <w:r>
              <w:rPr>
                <w:rFonts w:hint="default" w:ascii="Times New Roman" w:hAnsi="Times New Roman" w:eastAsia="宋体" w:cs="Times New Roman"/>
                <w:i w:val="0"/>
                <w:iCs w:val="0"/>
                <w:color w:val="auto"/>
                <w:kern w:val="0"/>
                <w:sz w:val="21"/>
                <w:szCs w:val="21"/>
                <w:u w:val="none"/>
                <w:lang w:val="en-US" w:eastAsia="zh-CN" w:bidi="ar"/>
              </w:rPr>
              <w:t>t/a</w:t>
            </w:r>
          </w:p>
        </w:tc>
        <w:tc>
          <w:tcPr>
            <w:tcW w:w="1080" w:type="dxa"/>
            <w:noWrap w:val="0"/>
            <w:vAlign w:val="center"/>
          </w:tcPr>
          <w:p w14:paraId="17FB2597">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r>
      <w:tr w14:paraId="252317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33" w:type="dxa"/>
            <w:vMerge w:val="restart"/>
            <w:noWrap w:val="0"/>
            <w:vAlign w:val="center"/>
          </w:tcPr>
          <w:p w14:paraId="18EE00B8">
            <w:pPr>
              <w:pStyle w:val="50"/>
              <w:spacing w:beforeLines="0" w:afterLines="0" w:line="240" w:lineRule="auto"/>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lang w:eastAsia="zh-CN"/>
              </w:rPr>
              <w:t>一般固废</w:t>
            </w:r>
          </w:p>
        </w:tc>
        <w:tc>
          <w:tcPr>
            <w:tcW w:w="1935" w:type="dxa"/>
            <w:noWrap w:val="0"/>
            <w:vAlign w:val="center"/>
          </w:tcPr>
          <w:p w14:paraId="258A845E">
            <w:pPr>
              <w:pStyle w:val="67"/>
              <w:ind w:left="43" w:leftChars="0" w:right="35"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olor w:val="auto"/>
                <w:sz w:val="21"/>
                <w:szCs w:val="21"/>
                <w:lang w:val="en-US" w:eastAsia="zh-CN"/>
              </w:rPr>
              <w:t>废边角料</w:t>
            </w:r>
          </w:p>
        </w:tc>
        <w:tc>
          <w:tcPr>
            <w:tcW w:w="1592" w:type="dxa"/>
            <w:noWrap w:val="0"/>
            <w:vAlign w:val="center"/>
          </w:tcPr>
          <w:p w14:paraId="04A43A04">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263" w:type="dxa"/>
            <w:noWrap w:val="0"/>
            <w:vAlign w:val="center"/>
          </w:tcPr>
          <w:p w14:paraId="6C727B94">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70" w:type="dxa"/>
            <w:noWrap w:val="0"/>
            <w:vAlign w:val="center"/>
          </w:tcPr>
          <w:p w14:paraId="7514EF2A">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650" w:type="dxa"/>
            <w:noWrap w:val="0"/>
            <w:vAlign w:val="center"/>
          </w:tcPr>
          <w:p w14:paraId="21336EF6">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0.</w:t>
            </w:r>
            <w:r>
              <w:rPr>
                <w:rFonts w:hint="eastAsia" w:cs="Times New Roman"/>
                <w:color w:val="auto"/>
                <w:kern w:val="0"/>
                <w:sz w:val="21"/>
                <w:szCs w:val="21"/>
                <w:lang w:val="en-US" w:eastAsia="zh-CN"/>
              </w:rPr>
              <w:t>02</w:t>
            </w:r>
            <w:r>
              <w:rPr>
                <w:rFonts w:hint="default" w:ascii="Times New Roman" w:hAnsi="Times New Roman" w:eastAsia="宋体" w:cs="Times New Roman"/>
                <w:i w:val="0"/>
                <w:iCs w:val="0"/>
                <w:color w:val="auto"/>
                <w:kern w:val="0"/>
                <w:sz w:val="21"/>
                <w:szCs w:val="21"/>
                <w:u w:val="none"/>
                <w:lang w:val="en-US" w:eastAsia="zh-CN" w:bidi="ar"/>
              </w:rPr>
              <w:t>t/a</w:t>
            </w:r>
          </w:p>
        </w:tc>
        <w:tc>
          <w:tcPr>
            <w:tcW w:w="1615" w:type="dxa"/>
            <w:noWrap w:val="0"/>
            <w:vAlign w:val="center"/>
          </w:tcPr>
          <w:p w14:paraId="14EE21EE">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817" w:type="dxa"/>
            <w:noWrap w:val="0"/>
            <w:vAlign w:val="center"/>
          </w:tcPr>
          <w:p w14:paraId="48D5B270">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0.</w:t>
            </w:r>
            <w:r>
              <w:rPr>
                <w:rFonts w:hint="eastAsia" w:cs="Times New Roman"/>
                <w:color w:val="auto"/>
                <w:kern w:val="0"/>
                <w:sz w:val="21"/>
                <w:szCs w:val="21"/>
                <w:lang w:val="en-US" w:eastAsia="zh-CN"/>
              </w:rPr>
              <w:t>02</w:t>
            </w:r>
            <w:r>
              <w:rPr>
                <w:rFonts w:hint="default" w:ascii="Times New Roman" w:hAnsi="Times New Roman" w:eastAsia="宋体" w:cs="Times New Roman"/>
                <w:i w:val="0"/>
                <w:iCs w:val="0"/>
                <w:color w:val="auto"/>
                <w:kern w:val="0"/>
                <w:sz w:val="21"/>
                <w:szCs w:val="21"/>
                <w:u w:val="none"/>
                <w:lang w:val="en-US" w:eastAsia="zh-CN" w:bidi="ar"/>
              </w:rPr>
              <w:t>t/a</w:t>
            </w:r>
          </w:p>
        </w:tc>
        <w:tc>
          <w:tcPr>
            <w:tcW w:w="1080" w:type="dxa"/>
            <w:noWrap w:val="0"/>
            <w:vAlign w:val="center"/>
          </w:tcPr>
          <w:p w14:paraId="0E1C14A4">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r>
      <w:tr w14:paraId="441734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33" w:type="dxa"/>
            <w:vMerge w:val="continue"/>
            <w:noWrap w:val="0"/>
            <w:vAlign w:val="center"/>
          </w:tcPr>
          <w:p w14:paraId="6E86688C">
            <w:pPr>
              <w:pStyle w:val="50"/>
              <w:spacing w:beforeLines="0" w:afterLines="0" w:line="240" w:lineRule="auto"/>
              <w:jc w:val="center"/>
              <w:rPr>
                <w:rFonts w:hint="default" w:ascii="Times New Roman" w:hAnsi="Times New Roman" w:eastAsia="宋体" w:cs="Times New Roman"/>
                <w:snapToGrid w:val="0"/>
                <w:color w:val="auto"/>
                <w:kern w:val="21"/>
                <w:sz w:val="21"/>
                <w:szCs w:val="21"/>
              </w:rPr>
            </w:pPr>
          </w:p>
        </w:tc>
        <w:tc>
          <w:tcPr>
            <w:tcW w:w="1935" w:type="dxa"/>
            <w:noWrap w:val="0"/>
            <w:vAlign w:val="center"/>
          </w:tcPr>
          <w:p w14:paraId="050E09F1">
            <w:pPr>
              <w:pStyle w:val="67"/>
              <w:ind w:right="35" w:rightChars="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color w:val="auto"/>
                <w:sz w:val="21"/>
                <w:szCs w:val="21"/>
              </w:rPr>
              <w:t>废包装材料</w:t>
            </w:r>
            <w:r>
              <w:rPr>
                <w:rFonts w:hint="eastAsia" w:ascii="Times New Roman" w:hAnsi="Times New Roman"/>
                <w:color w:val="auto"/>
                <w:sz w:val="21"/>
                <w:szCs w:val="21"/>
                <w:lang w:eastAsia="zh-CN"/>
              </w:rPr>
              <w:t>、</w:t>
            </w:r>
            <w:r>
              <w:rPr>
                <w:rFonts w:hint="eastAsia" w:ascii="Times New Roman" w:hAnsi="Times New Roman"/>
                <w:color w:val="auto"/>
                <w:sz w:val="21"/>
                <w:szCs w:val="21"/>
                <w:lang w:val="en-US" w:eastAsia="zh-CN"/>
              </w:rPr>
              <w:t>不合格品</w:t>
            </w:r>
          </w:p>
        </w:tc>
        <w:tc>
          <w:tcPr>
            <w:tcW w:w="1592" w:type="dxa"/>
            <w:noWrap w:val="0"/>
            <w:vAlign w:val="center"/>
          </w:tcPr>
          <w:p w14:paraId="546C6D70">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263" w:type="dxa"/>
            <w:noWrap w:val="0"/>
            <w:vAlign w:val="center"/>
          </w:tcPr>
          <w:p w14:paraId="5C1C8986">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70" w:type="dxa"/>
            <w:noWrap w:val="0"/>
            <w:vAlign w:val="center"/>
          </w:tcPr>
          <w:p w14:paraId="27FE3001">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650" w:type="dxa"/>
            <w:noWrap w:val="0"/>
            <w:vAlign w:val="center"/>
          </w:tcPr>
          <w:p w14:paraId="49CE657B">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0.0</w:t>
            </w:r>
            <w:r>
              <w:rPr>
                <w:rFonts w:hint="eastAsia" w:cs="Times New Roman"/>
                <w:color w:val="auto"/>
                <w:kern w:val="0"/>
                <w:sz w:val="21"/>
                <w:szCs w:val="21"/>
                <w:lang w:val="en-US" w:eastAsia="zh-CN"/>
              </w:rPr>
              <w:t>1</w:t>
            </w:r>
            <w:r>
              <w:rPr>
                <w:rFonts w:hint="default" w:ascii="Times New Roman" w:hAnsi="Times New Roman" w:eastAsia="宋体" w:cs="Times New Roman"/>
                <w:i w:val="0"/>
                <w:iCs w:val="0"/>
                <w:color w:val="auto"/>
                <w:kern w:val="0"/>
                <w:sz w:val="21"/>
                <w:szCs w:val="21"/>
                <w:u w:val="none"/>
                <w:lang w:val="en-US" w:eastAsia="zh-CN" w:bidi="ar"/>
              </w:rPr>
              <w:t>t/a</w:t>
            </w:r>
          </w:p>
        </w:tc>
        <w:tc>
          <w:tcPr>
            <w:tcW w:w="1615" w:type="dxa"/>
            <w:noWrap w:val="0"/>
            <w:vAlign w:val="center"/>
          </w:tcPr>
          <w:p w14:paraId="23E172CB">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817" w:type="dxa"/>
            <w:noWrap w:val="0"/>
            <w:vAlign w:val="center"/>
          </w:tcPr>
          <w:p w14:paraId="6C315E56">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0.0</w:t>
            </w:r>
            <w:r>
              <w:rPr>
                <w:rFonts w:hint="eastAsia" w:cs="Times New Roman"/>
                <w:color w:val="auto"/>
                <w:kern w:val="0"/>
                <w:sz w:val="21"/>
                <w:szCs w:val="21"/>
                <w:lang w:val="en-US" w:eastAsia="zh-CN"/>
              </w:rPr>
              <w:t>1</w:t>
            </w:r>
            <w:r>
              <w:rPr>
                <w:rFonts w:hint="default" w:ascii="Times New Roman" w:hAnsi="Times New Roman" w:eastAsia="宋体" w:cs="Times New Roman"/>
                <w:i w:val="0"/>
                <w:iCs w:val="0"/>
                <w:color w:val="auto"/>
                <w:kern w:val="0"/>
                <w:sz w:val="21"/>
                <w:szCs w:val="21"/>
                <w:u w:val="none"/>
                <w:lang w:val="en-US" w:eastAsia="zh-CN" w:bidi="ar"/>
              </w:rPr>
              <w:t>t/a</w:t>
            </w:r>
          </w:p>
        </w:tc>
        <w:tc>
          <w:tcPr>
            <w:tcW w:w="1080" w:type="dxa"/>
            <w:noWrap w:val="0"/>
            <w:vAlign w:val="center"/>
          </w:tcPr>
          <w:p w14:paraId="12D43D74">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r>
      <w:tr w14:paraId="24F7A8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33" w:type="dxa"/>
            <w:vMerge w:val="continue"/>
            <w:noWrap w:val="0"/>
            <w:vAlign w:val="center"/>
          </w:tcPr>
          <w:p w14:paraId="3AA7EF26">
            <w:pPr>
              <w:pStyle w:val="50"/>
              <w:spacing w:beforeLines="0" w:afterLines="0" w:line="240" w:lineRule="auto"/>
              <w:jc w:val="center"/>
              <w:rPr>
                <w:rFonts w:hint="default" w:ascii="Times New Roman" w:hAnsi="Times New Roman" w:eastAsia="宋体" w:cs="Times New Roman"/>
                <w:snapToGrid w:val="0"/>
                <w:color w:val="auto"/>
                <w:kern w:val="21"/>
                <w:sz w:val="21"/>
                <w:szCs w:val="21"/>
              </w:rPr>
            </w:pPr>
          </w:p>
        </w:tc>
        <w:tc>
          <w:tcPr>
            <w:tcW w:w="1935" w:type="dxa"/>
            <w:noWrap w:val="0"/>
            <w:vAlign w:val="center"/>
          </w:tcPr>
          <w:p w14:paraId="74287E11">
            <w:pPr>
              <w:pStyle w:val="67"/>
              <w:ind w:right="35"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olor w:val="auto"/>
                <w:sz w:val="21"/>
                <w:szCs w:val="21"/>
                <w:lang w:val="en-US" w:eastAsia="zh-CN"/>
              </w:rPr>
              <w:t>废反渗透膜</w:t>
            </w:r>
          </w:p>
        </w:tc>
        <w:tc>
          <w:tcPr>
            <w:tcW w:w="1592" w:type="dxa"/>
            <w:noWrap w:val="0"/>
            <w:vAlign w:val="center"/>
          </w:tcPr>
          <w:p w14:paraId="5F7FBBC9">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263" w:type="dxa"/>
            <w:noWrap w:val="0"/>
            <w:vAlign w:val="center"/>
          </w:tcPr>
          <w:p w14:paraId="153D608B">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70" w:type="dxa"/>
            <w:noWrap w:val="0"/>
            <w:vAlign w:val="center"/>
          </w:tcPr>
          <w:p w14:paraId="63A3EDD0">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650" w:type="dxa"/>
            <w:noWrap w:val="0"/>
            <w:vAlign w:val="center"/>
          </w:tcPr>
          <w:p w14:paraId="738BCD57">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0.</w:t>
            </w:r>
            <w:r>
              <w:rPr>
                <w:rFonts w:hint="eastAsia" w:ascii="Times New Roman" w:hAnsi="Times New Roman" w:eastAsia="宋体" w:cs="Times New Roman"/>
                <w:color w:val="auto"/>
                <w:kern w:val="0"/>
                <w:sz w:val="21"/>
                <w:szCs w:val="21"/>
                <w:lang w:val="en-US" w:eastAsia="zh-CN"/>
              </w:rPr>
              <w:t>001</w:t>
            </w:r>
            <w:r>
              <w:rPr>
                <w:rFonts w:hint="default" w:ascii="Times New Roman" w:hAnsi="Times New Roman" w:eastAsia="宋体" w:cs="Times New Roman"/>
                <w:i w:val="0"/>
                <w:iCs w:val="0"/>
                <w:color w:val="auto"/>
                <w:kern w:val="0"/>
                <w:sz w:val="21"/>
                <w:szCs w:val="21"/>
                <w:u w:val="none"/>
                <w:lang w:val="en-US" w:eastAsia="zh-CN" w:bidi="ar"/>
              </w:rPr>
              <w:t>t/a</w:t>
            </w:r>
          </w:p>
        </w:tc>
        <w:tc>
          <w:tcPr>
            <w:tcW w:w="1615" w:type="dxa"/>
            <w:noWrap w:val="0"/>
            <w:vAlign w:val="center"/>
          </w:tcPr>
          <w:p w14:paraId="4393F918">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817" w:type="dxa"/>
            <w:noWrap w:val="0"/>
            <w:vAlign w:val="center"/>
          </w:tcPr>
          <w:p w14:paraId="59A565B4">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0.</w:t>
            </w:r>
            <w:r>
              <w:rPr>
                <w:rFonts w:hint="eastAsia" w:ascii="Times New Roman" w:hAnsi="Times New Roman" w:eastAsia="宋体" w:cs="Times New Roman"/>
                <w:color w:val="auto"/>
                <w:kern w:val="0"/>
                <w:sz w:val="21"/>
                <w:szCs w:val="21"/>
                <w:lang w:val="en-US" w:eastAsia="zh-CN"/>
              </w:rPr>
              <w:t>001</w:t>
            </w:r>
            <w:r>
              <w:rPr>
                <w:rFonts w:hint="default" w:ascii="Times New Roman" w:hAnsi="Times New Roman" w:eastAsia="宋体" w:cs="Times New Roman"/>
                <w:i w:val="0"/>
                <w:iCs w:val="0"/>
                <w:color w:val="auto"/>
                <w:kern w:val="0"/>
                <w:sz w:val="21"/>
                <w:szCs w:val="21"/>
                <w:u w:val="none"/>
                <w:lang w:val="en-US" w:eastAsia="zh-CN" w:bidi="ar"/>
              </w:rPr>
              <w:t>t/a</w:t>
            </w:r>
          </w:p>
        </w:tc>
        <w:tc>
          <w:tcPr>
            <w:tcW w:w="1080" w:type="dxa"/>
            <w:noWrap w:val="0"/>
            <w:vAlign w:val="center"/>
          </w:tcPr>
          <w:p w14:paraId="297770AF">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cs="Times New Roman"/>
                <w:color w:val="auto"/>
                <w:kern w:val="2"/>
                <w:sz w:val="21"/>
                <w:szCs w:val="24"/>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r>
      <w:tr w14:paraId="368644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33" w:type="dxa"/>
            <w:vMerge w:val="continue"/>
            <w:noWrap w:val="0"/>
            <w:vAlign w:val="center"/>
          </w:tcPr>
          <w:p w14:paraId="4B98D707">
            <w:pPr>
              <w:pStyle w:val="50"/>
              <w:spacing w:beforeLines="0" w:afterLines="0" w:line="240" w:lineRule="auto"/>
              <w:jc w:val="center"/>
              <w:rPr>
                <w:rFonts w:hint="default" w:ascii="Times New Roman" w:hAnsi="Times New Roman" w:eastAsia="宋体" w:cs="Times New Roman"/>
                <w:snapToGrid w:val="0"/>
                <w:color w:val="auto"/>
                <w:kern w:val="21"/>
                <w:sz w:val="21"/>
                <w:szCs w:val="21"/>
              </w:rPr>
            </w:pPr>
          </w:p>
        </w:tc>
        <w:tc>
          <w:tcPr>
            <w:tcW w:w="1935" w:type="dxa"/>
            <w:noWrap w:val="0"/>
            <w:vAlign w:val="center"/>
          </w:tcPr>
          <w:p w14:paraId="3E494FEB">
            <w:pPr>
              <w:pStyle w:val="67"/>
              <w:ind w:right="35" w:rightChars="0"/>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废滤芯</w:t>
            </w:r>
          </w:p>
        </w:tc>
        <w:tc>
          <w:tcPr>
            <w:tcW w:w="1592" w:type="dxa"/>
            <w:shd w:val="clear" w:color="auto" w:fill="auto"/>
            <w:noWrap w:val="0"/>
            <w:vAlign w:val="center"/>
          </w:tcPr>
          <w:p w14:paraId="1CC0F108">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263" w:type="dxa"/>
            <w:shd w:val="clear" w:color="auto" w:fill="auto"/>
            <w:noWrap w:val="0"/>
            <w:vAlign w:val="center"/>
          </w:tcPr>
          <w:p w14:paraId="4F39C04F">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570" w:type="dxa"/>
            <w:shd w:val="clear" w:color="auto" w:fill="auto"/>
            <w:noWrap w:val="0"/>
            <w:vAlign w:val="center"/>
          </w:tcPr>
          <w:p w14:paraId="260C7E64">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650" w:type="dxa"/>
            <w:shd w:val="clear" w:color="auto" w:fill="auto"/>
            <w:noWrap w:val="0"/>
            <w:vAlign w:val="center"/>
          </w:tcPr>
          <w:p w14:paraId="2C7C39F2">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0.</w:t>
            </w:r>
            <w:r>
              <w:rPr>
                <w:rFonts w:hint="eastAsia" w:ascii="Times New Roman" w:hAnsi="Times New Roman" w:eastAsia="宋体" w:cs="Times New Roman"/>
                <w:color w:val="auto"/>
                <w:kern w:val="0"/>
                <w:sz w:val="21"/>
                <w:szCs w:val="21"/>
                <w:lang w:val="en-US" w:eastAsia="zh-CN"/>
              </w:rPr>
              <w:t>00</w:t>
            </w:r>
            <w:r>
              <w:rPr>
                <w:rFonts w:hint="eastAsia" w:cs="Times New Roman"/>
                <w:color w:val="auto"/>
                <w:kern w:val="0"/>
                <w:sz w:val="21"/>
                <w:szCs w:val="21"/>
                <w:lang w:val="en-US" w:eastAsia="zh-CN"/>
              </w:rPr>
              <w:t>2</w:t>
            </w:r>
            <w:r>
              <w:rPr>
                <w:rFonts w:hint="default" w:ascii="Times New Roman" w:hAnsi="Times New Roman" w:eastAsia="宋体" w:cs="Times New Roman"/>
                <w:i w:val="0"/>
                <w:iCs w:val="0"/>
                <w:color w:val="auto"/>
                <w:kern w:val="0"/>
                <w:sz w:val="21"/>
                <w:szCs w:val="21"/>
                <w:u w:val="none"/>
                <w:lang w:val="en-US" w:eastAsia="zh-CN" w:bidi="ar"/>
              </w:rPr>
              <w:t>t/a</w:t>
            </w:r>
          </w:p>
        </w:tc>
        <w:tc>
          <w:tcPr>
            <w:tcW w:w="1615" w:type="dxa"/>
            <w:shd w:val="clear" w:color="auto" w:fill="auto"/>
            <w:noWrap w:val="0"/>
            <w:vAlign w:val="center"/>
          </w:tcPr>
          <w:p w14:paraId="5CC8C40C">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817" w:type="dxa"/>
            <w:shd w:val="clear" w:color="auto" w:fill="auto"/>
            <w:noWrap w:val="0"/>
            <w:vAlign w:val="center"/>
          </w:tcPr>
          <w:p w14:paraId="30E7BC27">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0.</w:t>
            </w:r>
            <w:r>
              <w:rPr>
                <w:rFonts w:hint="eastAsia" w:ascii="Times New Roman" w:hAnsi="Times New Roman" w:eastAsia="宋体" w:cs="Times New Roman"/>
                <w:color w:val="auto"/>
                <w:kern w:val="0"/>
                <w:sz w:val="21"/>
                <w:szCs w:val="21"/>
                <w:lang w:val="en-US" w:eastAsia="zh-CN"/>
              </w:rPr>
              <w:t>00</w:t>
            </w:r>
            <w:r>
              <w:rPr>
                <w:rFonts w:hint="eastAsia" w:cs="Times New Roman"/>
                <w:color w:val="auto"/>
                <w:kern w:val="0"/>
                <w:sz w:val="21"/>
                <w:szCs w:val="21"/>
                <w:lang w:val="en-US" w:eastAsia="zh-CN"/>
              </w:rPr>
              <w:t>2</w:t>
            </w:r>
            <w:r>
              <w:rPr>
                <w:rFonts w:hint="default" w:ascii="Times New Roman" w:hAnsi="Times New Roman" w:eastAsia="宋体" w:cs="Times New Roman"/>
                <w:i w:val="0"/>
                <w:iCs w:val="0"/>
                <w:color w:val="auto"/>
                <w:kern w:val="0"/>
                <w:sz w:val="21"/>
                <w:szCs w:val="21"/>
                <w:u w:val="none"/>
                <w:lang w:val="en-US" w:eastAsia="zh-CN" w:bidi="ar"/>
              </w:rPr>
              <w:t>t/a</w:t>
            </w:r>
          </w:p>
        </w:tc>
        <w:tc>
          <w:tcPr>
            <w:tcW w:w="1080" w:type="dxa"/>
            <w:shd w:val="clear" w:color="auto" w:fill="auto"/>
            <w:noWrap w:val="0"/>
            <w:vAlign w:val="center"/>
          </w:tcPr>
          <w:p w14:paraId="2C583CCF">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r>
      <w:tr w14:paraId="136617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33" w:type="dxa"/>
            <w:vMerge w:val="restart"/>
            <w:noWrap w:val="0"/>
            <w:vAlign w:val="center"/>
          </w:tcPr>
          <w:p w14:paraId="13A1B62C">
            <w:pPr>
              <w:pStyle w:val="5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危险废物</w:t>
            </w:r>
          </w:p>
        </w:tc>
        <w:tc>
          <w:tcPr>
            <w:tcW w:w="1935" w:type="dxa"/>
            <w:noWrap w:val="0"/>
            <w:vAlign w:val="center"/>
          </w:tcPr>
          <w:p w14:paraId="4D3DDBCC">
            <w:pPr>
              <w:jc w:val="center"/>
              <w:rPr>
                <w:rFonts w:hint="default"/>
                <w:color w:val="auto"/>
                <w:kern w:val="2"/>
                <w:sz w:val="21"/>
                <w:szCs w:val="21"/>
                <w:lang w:val="en-US" w:eastAsia="zh-CN" w:bidi="ar-SA"/>
              </w:rPr>
            </w:pPr>
            <w:r>
              <w:rPr>
                <w:color w:val="auto"/>
                <w:sz w:val="21"/>
                <w:szCs w:val="21"/>
              </w:rPr>
              <w:t>废</w:t>
            </w:r>
            <w:r>
              <w:rPr>
                <w:rFonts w:hint="eastAsia"/>
                <w:color w:val="auto"/>
                <w:sz w:val="21"/>
                <w:szCs w:val="21"/>
              </w:rPr>
              <w:t>活性炭</w:t>
            </w:r>
          </w:p>
        </w:tc>
        <w:tc>
          <w:tcPr>
            <w:tcW w:w="1592" w:type="dxa"/>
            <w:noWrap w:val="0"/>
            <w:vAlign w:val="center"/>
          </w:tcPr>
          <w:p w14:paraId="5BA3BB35">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263" w:type="dxa"/>
            <w:noWrap w:val="0"/>
            <w:vAlign w:val="center"/>
          </w:tcPr>
          <w:p w14:paraId="5495D813">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70" w:type="dxa"/>
            <w:noWrap w:val="0"/>
            <w:vAlign w:val="center"/>
          </w:tcPr>
          <w:p w14:paraId="0C68D2B2">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650" w:type="dxa"/>
            <w:noWrap w:val="0"/>
            <w:vAlign w:val="center"/>
          </w:tcPr>
          <w:p w14:paraId="6B32D1B9">
            <w:pPr>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1.6247</w:t>
            </w:r>
            <w:r>
              <w:rPr>
                <w:rFonts w:hint="default" w:ascii="Times New Roman" w:hAnsi="Times New Roman" w:eastAsia="宋体" w:cs="Times New Roman"/>
                <w:i w:val="0"/>
                <w:iCs w:val="0"/>
                <w:color w:val="auto"/>
                <w:kern w:val="0"/>
                <w:sz w:val="21"/>
                <w:szCs w:val="21"/>
                <w:u w:val="none"/>
                <w:lang w:val="en-US" w:eastAsia="zh-CN" w:bidi="ar"/>
              </w:rPr>
              <w:t>/a</w:t>
            </w:r>
          </w:p>
        </w:tc>
        <w:tc>
          <w:tcPr>
            <w:tcW w:w="1615" w:type="dxa"/>
            <w:noWrap w:val="0"/>
            <w:vAlign w:val="center"/>
          </w:tcPr>
          <w:p w14:paraId="17E31180">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817" w:type="dxa"/>
            <w:noWrap w:val="0"/>
            <w:vAlign w:val="center"/>
          </w:tcPr>
          <w:p w14:paraId="74569703">
            <w:pPr>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1.6247</w:t>
            </w:r>
            <w:r>
              <w:rPr>
                <w:rFonts w:hint="default" w:ascii="Times New Roman" w:hAnsi="Times New Roman" w:eastAsia="宋体" w:cs="Times New Roman"/>
                <w:i w:val="0"/>
                <w:iCs w:val="0"/>
                <w:color w:val="auto"/>
                <w:kern w:val="0"/>
                <w:sz w:val="21"/>
                <w:szCs w:val="21"/>
                <w:u w:val="none"/>
                <w:lang w:val="en-US" w:eastAsia="zh-CN" w:bidi="ar"/>
              </w:rPr>
              <w:t>/a</w:t>
            </w:r>
          </w:p>
        </w:tc>
        <w:tc>
          <w:tcPr>
            <w:tcW w:w="1080" w:type="dxa"/>
            <w:noWrap w:val="0"/>
            <w:vAlign w:val="center"/>
          </w:tcPr>
          <w:p w14:paraId="74551057">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r>
      <w:tr w14:paraId="423353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33" w:type="dxa"/>
            <w:vMerge w:val="continue"/>
            <w:noWrap w:val="0"/>
            <w:vAlign w:val="center"/>
          </w:tcPr>
          <w:p w14:paraId="15AD1278">
            <w:pPr>
              <w:pStyle w:val="50"/>
              <w:spacing w:beforeLines="0" w:afterLines="0" w:line="240" w:lineRule="auto"/>
              <w:jc w:val="center"/>
              <w:rPr>
                <w:rFonts w:hint="default" w:ascii="Times New Roman" w:hAnsi="Times New Roman" w:eastAsia="宋体" w:cs="Times New Roman"/>
                <w:snapToGrid w:val="0"/>
                <w:color w:val="auto"/>
                <w:kern w:val="21"/>
                <w:sz w:val="21"/>
                <w:szCs w:val="21"/>
              </w:rPr>
            </w:pPr>
          </w:p>
        </w:tc>
        <w:tc>
          <w:tcPr>
            <w:tcW w:w="1935" w:type="dxa"/>
            <w:noWrap w:val="0"/>
            <w:vAlign w:val="center"/>
          </w:tcPr>
          <w:p w14:paraId="7CB2D770">
            <w:pPr>
              <w:pStyle w:val="67"/>
              <w:ind w:right="35" w:rightChars="0"/>
              <w:jc w:val="center"/>
              <w:rPr>
                <w:rFonts w:hint="default" w:ascii="Times New Roman" w:hAnsi="Times New Roman" w:eastAsia="宋体"/>
                <w:color w:val="auto"/>
                <w:kern w:val="0"/>
                <w:sz w:val="21"/>
                <w:szCs w:val="21"/>
                <w:lang w:val="en-US" w:eastAsia="zh-CN" w:bidi="ar-SA"/>
              </w:rPr>
            </w:pPr>
            <w:r>
              <w:rPr>
                <w:rFonts w:hint="eastAsia" w:ascii="Times New Roman" w:hAnsi="Times New Roman"/>
                <w:color w:val="auto"/>
                <w:sz w:val="21"/>
                <w:szCs w:val="21"/>
                <w:lang w:val="en-US" w:eastAsia="zh-CN"/>
              </w:rPr>
              <w:t>废液</w:t>
            </w:r>
          </w:p>
        </w:tc>
        <w:tc>
          <w:tcPr>
            <w:tcW w:w="1592" w:type="dxa"/>
            <w:noWrap w:val="0"/>
            <w:vAlign w:val="center"/>
          </w:tcPr>
          <w:p w14:paraId="67023978">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263" w:type="dxa"/>
            <w:noWrap w:val="0"/>
            <w:vAlign w:val="center"/>
          </w:tcPr>
          <w:p w14:paraId="16DE930B">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70" w:type="dxa"/>
            <w:noWrap w:val="0"/>
            <w:vAlign w:val="center"/>
          </w:tcPr>
          <w:p w14:paraId="40D7F70B">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650" w:type="dxa"/>
            <w:noWrap w:val="0"/>
            <w:vAlign w:val="center"/>
          </w:tcPr>
          <w:p w14:paraId="69718D13">
            <w:pPr>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4.628</w:t>
            </w:r>
            <w:r>
              <w:rPr>
                <w:rFonts w:hint="default" w:ascii="Times New Roman" w:hAnsi="Times New Roman" w:eastAsia="宋体" w:cs="Times New Roman"/>
                <w:i w:val="0"/>
                <w:iCs w:val="0"/>
                <w:color w:val="auto"/>
                <w:kern w:val="0"/>
                <w:sz w:val="21"/>
                <w:szCs w:val="21"/>
                <w:u w:val="none"/>
                <w:lang w:val="en-US" w:eastAsia="zh-CN" w:bidi="ar"/>
              </w:rPr>
              <w:t>t/a</w:t>
            </w:r>
          </w:p>
        </w:tc>
        <w:tc>
          <w:tcPr>
            <w:tcW w:w="1615" w:type="dxa"/>
            <w:noWrap w:val="0"/>
            <w:vAlign w:val="center"/>
          </w:tcPr>
          <w:p w14:paraId="5DBB616E">
            <w:pPr>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817" w:type="dxa"/>
            <w:noWrap w:val="0"/>
            <w:vAlign w:val="center"/>
          </w:tcPr>
          <w:p w14:paraId="61F6C33D">
            <w:pPr>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4.628</w:t>
            </w:r>
            <w:r>
              <w:rPr>
                <w:rFonts w:hint="default" w:ascii="Times New Roman" w:hAnsi="Times New Roman" w:eastAsia="宋体" w:cs="Times New Roman"/>
                <w:i w:val="0"/>
                <w:iCs w:val="0"/>
                <w:color w:val="auto"/>
                <w:kern w:val="0"/>
                <w:sz w:val="21"/>
                <w:szCs w:val="21"/>
                <w:u w:val="none"/>
                <w:lang w:val="en-US" w:eastAsia="zh-CN" w:bidi="ar"/>
              </w:rPr>
              <w:t>t/a</w:t>
            </w:r>
          </w:p>
        </w:tc>
        <w:tc>
          <w:tcPr>
            <w:tcW w:w="1080" w:type="dxa"/>
            <w:noWrap w:val="0"/>
            <w:vAlign w:val="center"/>
          </w:tcPr>
          <w:p w14:paraId="1249FD12">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r>
      <w:tr w14:paraId="12F167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33" w:type="dxa"/>
            <w:vMerge w:val="continue"/>
            <w:noWrap w:val="0"/>
            <w:vAlign w:val="center"/>
          </w:tcPr>
          <w:p w14:paraId="51794846">
            <w:pPr>
              <w:pStyle w:val="50"/>
              <w:spacing w:beforeLines="0" w:afterLines="0" w:line="240" w:lineRule="auto"/>
              <w:jc w:val="center"/>
              <w:rPr>
                <w:rFonts w:hint="default" w:ascii="Times New Roman" w:hAnsi="Times New Roman" w:eastAsia="宋体" w:cs="Times New Roman"/>
                <w:snapToGrid w:val="0"/>
                <w:color w:val="auto"/>
                <w:kern w:val="21"/>
                <w:sz w:val="21"/>
                <w:szCs w:val="21"/>
              </w:rPr>
            </w:pPr>
          </w:p>
        </w:tc>
        <w:tc>
          <w:tcPr>
            <w:tcW w:w="1935" w:type="dxa"/>
            <w:noWrap w:val="0"/>
            <w:vAlign w:val="center"/>
          </w:tcPr>
          <w:p w14:paraId="66B034FB">
            <w:pPr>
              <w:pStyle w:val="67"/>
              <w:ind w:right="35" w:rightChars="0"/>
              <w:jc w:val="center"/>
              <w:rPr>
                <w:rFonts w:hint="default" w:ascii="Times New Roman" w:hAnsi="Times New Roman"/>
                <w:color w:val="auto"/>
                <w:kern w:val="0"/>
                <w:sz w:val="21"/>
                <w:szCs w:val="21"/>
                <w:lang w:val="en-US" w:eastAsia="zh-CN" w:bidi="ar-SA"/>
              </w:rPr>
            </w:pPr>
            <w:r>
              <w:rPr>
                <w:rFonts w:hint="eastAsia" w:ascii="Times New Roman" w:hAnsi="Times New Roman"/>
                <w:color w:val="auto"/>
                <w:sz w:val="21"/>
                <w:szCs w:val="21"/>
              </w:rPr>
              <w:t>废试剂瓶</w:t>
            </w:r>
          </w:p>
        </w:tc>
        <w:tc>
          <w:tcPr>
            <w:tcW w:w="1592" w:type="dxa"/>
            <w:noWrap w:val="0"/>
            <w:vAlign w:val="center"/>
          </w:tcPr>
          <w:p w14:paraId="6CABFD6D">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263" w:type="dxa"/>
            <w:noWrap w:val="0"/>
            <w:vAlign w:val="center"/>
          </w:tcPr>
          <w:p w14:paraId="74C5E999">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70" w:type="dxa"/>
            <w:noWrap w:val="0"/>
            <w:vAlign w:val="center"/>
          </w:tcPr>
          <w:p w14:paraId="10E5C4D2">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650" w:type="dxa"/>
            <w:noWrap w:val="0"/>
            <w:vAlign w:val="center"/>
          </w:tcPr>
          <w:p w14:paraId="39F7076C">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0.02</w:t>
            </w:r>
            <w:r>
              <w:rPr>
                <w:rFonts w:hint="default" w:ascii="Times New Roman" w:hAnsi="Times New Roman" w:eastAsia="宋体" w:cs="Times New Roman"/>
                <w:i w:val="0"/>
                <w:iCs w:val="0"/>
                <w:color w:val="auto"/>
                <w:kern w:val="0"/>
                <w:sz w:val="21"/>
                <w:szCs w:val="21"/>
                <w:u w:val="none"/>
                <w:lang w:val="en-US" w:eastAsia="zh-CN" w:bidi="ar"/>
              </w:rPr>
              <w:t>t/a</w:t>
            </w:r>
          </w:p>
        </w:tc>
        <w:tc>
          <w:tcPr>
            <w:tcW w:w="1615" w:type="dxa"/>
            <w:noWrap w:val="0"/>
            <w:vAlign w:val="center"/>
          </w:tcPr>
          <w:p w14:paraId="251F8EEA">
            <w:pPr>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817" w:type="dxa"/>
            <w:noWrap w:val="0"/>
            <w:vAlign w:val="center"/>
          </w:tcPr>
          <w:p w14:paraId="4C152BAB">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0.02</w:t>
            </w:r>
            <w:r>
              <w:rPr>
                <w:rFonts w:hint="default" w:ascii="Times New Roman" w:hAnsi="Times New Roman" w:eastAsia="宋体" w:cs="Times New Roman"/>
                <w:i w:val="0"/>
                <w:iCs w:val="0"/>
                <w:color w:val="auto"/>
                <w:kern w:val="0"/>
                <w:sz w:val="21"/>
                <w:szCs w:val="21"/>
                <w:u w:val="none"/>
                <w:lang w:val="en-US" w:eastAsia="zh-CN" w:bidi="ar"/>
              </w:rPr>
              <w:t>t/a</w:t>
            </w:r>
          </w:p>
        </w:tc>
        <w:tc>
          <w:tcPr>
            <w:tcW w:w="1080" w:type="dxa"/>
            <w:noWrap w:val="0"/>
            <w:vAlign w:val="center"/>
          </w:tcPr>
          <w:p w14:paraId="211B892E">
            <w:pPr>
              <w:keepNext w:val="0"/>
              <w:keepLines w:val="0"/>
              <w:pageBreakBefore w:val="0"/>
              <w:widowControl w:val="0"/>
              <w:kinsoku w:val="0"/>
              <w:wordWrap/>
              <w:overflowPunct w:val="0"/>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r>
    </w:tbl>
    <w:p w14:paraId="77AD5006">
      <w:pPr>
        <w:pStyle w:val="50"/>
        <w:spacing w:before="192" w:beforeLines="80" w:after="24" w:line="240" w:lineRule="auto"/>
        <w:jc w:val="left"/>
        <w:rPr>
          <w:rFonts w:hint="default" w:ascii="Times New Roman" w:hAnsi="Times New Roman" w:cs="Times New Roman"/>
          <w:snapToGrid w:val="0"/>
          <w:color w:val="000000"/>
          <w:spacing w:val="-6"/>
          <w:kern w:val="21"/>
          <w:szCs w:val="21"/>
        </w:rPr>
      </w:pPr>
      <w:r>
        <w:rPr>
          <w:rFonts w:hint="default" w:ascii="Times New Roman" w:hAnsi="Times New Roman" w:cs="Times New Roman"/>
          <w:snapToGrid w:val="0"/>
          <w:color w:val="000000"/>
          <w:kern w:val="21"/>
          <w:szCs w:val="21"/>
        </w:rPr>
        <w:t>注：</w:t>
      </w:r>
      <w:r>
        <w:rPr>
          <w:rFonts w:hint="default" w:ascii="Times New Roman" w:hAnsi="Times New Roman" w:cs="Times New Roman"/>
          <w:snapToGrid w:val="0"/>
          <w:color w:val="000000"/>
          <w:spacing w:val="-16"/>
          <w:kern w:val="21"/>
          <w:szCs w:val="21"/>
        </w:rPr>
        <w:fldChar w:fldCharType="begin"/>
      </w:r>
      <w:r>
        <w:rPr>
          <w:rFonts w:hint="default" w:ascii="Times New Roman" w:hAnsi="Times New Roman" w:cs="Times New Roman"/>
          <w:snapToGrid w:val="0"/>
          <w:color w:val="000000"/>
          <w:spacing w:val="-16"/>
          <w:kern w:val="21"/>
          <w:szCs w:val="21"/>
        </w:rPr>
        <w:instrText xml:space="preserve"> = 6 \* GB3 \* MERGEFORMAT </w:instrText>
      </w:r>
      <w:r>
        <w:rPr>
          <w:rFonts w:hint="default" w:ascii="Times New Roman" w:hAnsi="Times New Roman" w:cs="Times New Roman"/>
          <w:snapToGrid w:val="0"/>
          <w:color w:val="000000"/>
          <w:spacing w:val="-16"/>
          <w:kern w:val="21"/>
          <w:szCs w:val="21"/>
        </w:rPr>
        <w:fldChar w:fldCharType="separate"/>
      </w:r>
      <w:r>
        <w:rPr>
          <w:rFonts w:hint="default" w:ascii="Times New Roman" w:hAnsi="Times New Roman" w:cs="Times New Roman"/>
          <w:szCs w:val="21"/>
        </w:rPr>
        <w:t>⑥</w:t>
      </w:r>
      <w:r>
        <w:rPr>
          <w:rFonts w:hint="default" w:ascii="Times New Roman" w:hAnsi="Times New Roman" w:cs="Times New Roman"/>
          <w:snapToGrid w:val="0"/>
          <w:color w:val="000000"/>
          <w:spacing w:val="-16"/>
          <w:kern w:val="21"/>
          <w:szCs w:val="21"/>
        </w:rPr>
        <w:fldChar w:fldCharType="end"/>
      </w:r>
      <w:r>
        <w:rPr>
          <w:rFonts w:hint="default" w:ascii="Times New Roman" w:hAnsi="Times New Roman" w:cs="Times New Roman"/>
          <w:snapToGrid w:val="0"/>
          <w:color w:val="000000"/>
          <w:spacing w:val="-16"/>
          <w:kern w:val="21"/>
          <w:szCs w:val="21"/>
        </w:rPr>
        <w:t>=</w:t>
      </w:r>
      <w:r>
        <w:rPr>
          <w:rFonts w:hint="default" w:ascii="Times New Roman" w:hAnsi="Times New Roman" w:cs="Times New Roman"/>
          <w:snapToGrid w:val="0"/>
          <w:color w:val="000000"/>
          <w:spacing w:val="-6"/>
          <w:kern w:val="21"/>
          <w:szCs w:val="21"/>
        </w:rPr>
        <w:fldChar w:fldCharType="begin"/>
      </w:r>
      <w:r>
        <w:rPr>
          <w:rFonts w:hint="default" w:ascii="Times New Roman" w:hAnsi="Times New Roman" w:cs="Times New Roman"/>
          <w:snapToGrid w:val="0"/>
          <w:color w:val="000000"/>
          <w:spacing w:val="-6"/>
          <w:kern w:val="21"/>
          <w:szCs w:val="21"/>
        </w:rPr>
        <w:instrText xml:space="preserve"> = 1 \* GB3 \* MERGEFORMAT </w:instrText>
      </w:r>
      <w:r>
        <w:rPr>
          <w:rFonts w:hint="default" w:ascii="Times New Roman" w:hAnsi="Times New Roman" w:cs="Times New Roman"/>
          <w:snapToGrid w:val="0"/>
          <w:color w:val="000000"/>
          <w:spacing w:val="-6"/>
          <w:kern w:val="21"/>
          <w:szCs w:val="21"/>
        </w:rPr>
        <w:fldChar w:fldCharType="separate"/>
      </w:r>
      <w:r>
        <w:rPr>
          <w:rFonts w:hint="default" w:ascii="Times New Roman" w:hAnsi="Times New Roman" w:cs="Times New Roman"/>
          <w:szCs w:val="21"/>
        </w:rPr>
        <w:t>①</w:t>
      </w:r>
      <w:r>
        <w:rPr>
          <w:rFonts w:hint="default" w:ascii="Times New Roman" w:hAnsi="Times New Roman" w:cs="Times New Roman"/>
          <w:snapToGrid w:val="0"/>
          <w:color w:val="000000"/>
          <w:spacing w:val="-6"/>
          <w:kern w:val="21"/>
          <w:szCs w:val="21"/>
        </w:rPr>
        <w:fldChar w:fldCharType="end"/>
      </w:r>
      <w:r>
        <w:rPr>
          <w:rFonts w:hint="default" w:ascii="Times New Roman" w:hAnsi="Times New Roman" w:cs="Times New Roman"/>
          <w:snapToGrid w:val="0"/>
          <w:color w:val="000000"/>
          <w:spacing w:val="-6"/>
          <w:kern w:val="21"/>
          <w:szCs w:val="21"/>
        </w:rPr>
        <w:t>+</w:t>
      </w:r>
      <w:r>
        <w:rPr>
          <w:rFonts w:hint="default" w:ascii="Times New Roman" w:hAnsi="Times New Roman" w:cs="Times New Roman"/>
          <w:snapToGrid w:val="0"/>
          <w:color w:val="000000"/>
          <w:spacing w:val="-6"/>
          <w:kern w:val="21"/>
          <w:szCs w:val="21"/>
        </w:rPr>
        <w:fldChar w:fldCharType="begin"/>
      </w:r>
      <w:r>
        <w:rPr>
          <w:rFonts w:hint="default" w:ascii="Times New Roman" w:hAnsi="Times New Roman" w:cs="Times New Roman"/>
          <w:snapToGrid w:val="0"/>
          <w:color w:val="000000"/>
          <w:spacing w:val="-6"/>
          <w:kern w:val="21"/>
          <w:szCs w:val="21"/>
        </w:rPr>
        <w:instrText xml:space="preserve"> = 3 \* GB3 \* MERGEFORMAT </w:instrText>
      </w:r>
      <w:r>
        <w:rPr>
          <w:rFonts w:hint="default" w:ascii="Times New Roman" w:hAnsi="Times New Roman" w:cs="Times New Roman"/>
          <w:snapToGrid w:val="0"/>
          <w:color w:val="000000"/>
          <w:spacing w:val="-6"/>
          <w:kern w:val="21"/>
          <w:szCs w:val="21"/>
        </w:rPr>
        <w:fldChar w:fldCharType="separate"/>
      </w:r>
      <w:r>
        <w:rPr>
          <w:rFonts w:hint="default" w:ascii="Times New Roman" w:hAnsi="Times New Roman" w:cs="Times New Roman"/>
          <w:szCs w:val="21"/>
        </w:rPr>
        <w:t>③</w:t>
      </w:r>
      <w:r>
        <w:rPr>
          <w:rFonts w:hint="default" w:ascii="Times New Roman" w:hAnsi="Times New Roman" w:cs="Times New Roman"/>
          <w:snapToGrid w:val="0"/>
          <w:color w:val="000000"/>
          <w:spacing w:val="-6"/>
          <w:kern w:val="21"/>
          <w:szCs w:val="21"/>
        </w:rPr>
        <w:fldChar w:fldCharType="end"/>
      </w:r>
      <w:r>
        <w:rPr>
          <w:rFonts w:hint="default" w:ascii="Times New Roman" w:hAnsi="Times New Roman" w:cs="Times New Roman"/>
          <w:snapToGrid w:val="0"/>
          <w:color w:val="000000"/>
          <w:spacing w:val="-6"/>
          <w:kern w:val="21"/>
          <w:szCs w:val="21"/>
        </w:rPr>
        <w:t>+</w:t>
      </w:r>
      <w:r>
        <w:rPr>
          <w:rFonts w:hint="default" w:ascii="Times New Roman" w:hAnsi="Times New Roman" w:cs="Times New Roman"/>
          <w:snapToGrid w:val="0"/>
          <w:color w:val="000000"/>
          <w:spacing w:val="-6"/>
          <w:kern w:val="21"/>
          <w:szCs w:val="21"/>
        </w:rPr>
        <w:fldChar w:fldCharType="begin"/>
      </w:r>
      <w:r>
        <w:rPr>
          <w:rFonts w:hint="default" w:ascii="Times New Roman" w:hAnsi="Times New Roman" w:cs="Times New Roman"/>
          <w:snapToGrid w:val="0"/>
          <w:color w:val="000000"/>
          <w:spacing w:val="-6"/>
          <w:kern w:val="21"/>
          <w:szCs w:val="21"/>
        </w:rPr>
        <w:instrText xml:space="preserve"> = 4 \* GB3 \* MERGEFORMAT </w:instrText>
      </w:r>
      <w:r>
        <w:rPr>
          <w:rFonts w:hint="default" w:ascii="Times New Roman" w:hAnsi="Times New Roman" w:cs="Times New Roman"/>
          <w:snapToGrid w:val="0"/>
          <w:color w:val="000000"/>
          <w:spacing w:val="-6"/>
          <w:kern w:val="21"/>
          <w:szCs w:val="21"/>
        </w:rPr>
        <w:fldChar w:fldCharType="separate"/>
      </w:r>
      <w:r>
        <w:rPr>
          <w:rFonts w:hint="default" w:ascii="Times New Roman" w:hAnsi="Times New Roman" w:cs="Times New Roman"/>
          <w:szCs w:val="21"/>
        </w:rPr>
        <w:t>④</w:t>
      </w:r>
      <w:r>
        <w:rPr>
          <w:rFonts w:hint="default" w:ascii="Times New Roman" w:hAnsi="Times New Roman" w:cs="Times New Roman"/>
          <w:snapToGrid w:val="0"/>
          <w:color w:val="000000"/>
          <w:spacing w:val="-6"/>
          <w:kern w:val="21"/>
          <w:szCs w:val="21"/>
        </w:rPr>
        <w:fldChar w:fldCharType="end"/>
      </w:r>
      <w:r>
        <w:rPr>
          <w:rFonts w:hint="default" w:ascii="Times New Roman" w:hAnsi="Times New Roman" w:cs="Times New Roman"/>
          <w:snapToGrid w:val="0"/>
          <w:color w:val="000000"/>
          <w:spacing w:val="-6"/>
          <w:kern w:val="21"/>
          <w:szCs w:val="21"/>
        </w:rPr>
        <w:t>-</w:t>
      </w:r>
      <w:r>
        <w:rPr>
          <w:rFonts w:hint="default" w:ascii="Times New Roman" w:hAnsi="Times New Roman" w:cs="Times New Roman"/>
          <w:snapToGrid w:val="0"/>
          <w:color w:val="000000"/>
          <w:spacing w:val="-16"/>
          <w:kern w:val="21"/>
          <w:szCs w:val="21"/>
        </w:rPr>
        <w:fldChar w:fldCharType="begin"/>
      </w:r>
      <w:r>
        <w:rPr>
          <w:rFonts w:hint="default" w:ascii="Times New Roman" w:hAnsi="Times New Roman" w:cs="Times New Roman"/>
          <w:snapToGrid w:val="0"/>
          <w:color w:val="000000"/>
          <w:spacing w:val="-16"/>
          <w:kern w:val="21"/>
          <w:szCs w:val="21"/>
        </w:rPr>
        <w:instrText xml:space="preserve"> = 5 \* GB3 \* MERGEFORMAT </w:instrText>
      </w:r>
      <w:r>
        <w:rPr>
          <w:rFonts w:hint="default" w:ascii="Times New Roman" w:hAnsi="Times New Roman" w:cs="Times New Roman"/>
          <w:snapToGrid w:val="0"/>
          <w:color w:val="000000"/>
          <w:spacing w:val="-16"/>
          <w:kern w:val="21"/>
          <w:szCs w:val="21"/>
        </w:rPr>
        <w:fldChar w:fldCharType="separate"/>
      </w:r>
      <w:r>
        <w:rPr>
          <w:rFonts w:hint="default" w:ascii="Times New Roman" w:hAnsi="Times New Roman" w:cs="Times New Roman"/>
          <w:szCs w:val="21"/>
        </w:rPr>
        <w:t>⑤</w:t>
      </w:r>
      <w:r>
        <w:rPr>
          <w:rFonts w:hint="default" w:ascii="Times New Roman" w:hAnsi="Times New Roman" w:cs="Times New Roman"/>
          <w:snapToGrid w:val="0"/>
          <w:color w:val="000000"/>
          <w:spacing w:val="-16"/>
          <w:kern w:val="21"/>
          <w:szCs w:val="21"/>
        </w:rPr>
        <w:fldChar w:fldCharType="end"/>
      </w:r>
      <w:r>
        <w:rPr>
          <w:rFonts w:hint="default" w:ascii="Times New Roman" w:hAnsi="Times New Roman" w:cs="Times New Roman"/>
          <w:snapToGrid w:val="0"/>
          <w:color w:val="000000"/>
          <w:spacing w:val="-16"/>
          <w:kern w:val="21"/>
          <w:szCs w:val="21"/>
        </w:rPr>
        <w:t>；</w:t>
      </w:r>
      <w:r>
        <w:rPr>
          <w:rFonts w:hint="default" w:ascii="Times New Roman" w:hAnsi="Times New Roman" w:cs="Times New Roman"/>
          <w:snapToGrid w:val="0"/>
          <w:color w:val="000000"/>
          <w:spacing w:val="-6"/>
          <w:kern w:val="21"/>
          <w:szCs w:val="21"/>
        </w:rPr>
        <w:fldChar w:fldCharType="begin"/>
      </w:r>
      <w:r>
        <w:rPr>
          <w:rFonts w:hint="default" w:ascii="Times New Roman" w:hAnsi="Times New Roman" w:cs="Times New Roman"/>
          <w:snapToGrid w:val="0"/>
          <w:color w:val="000000"/>
          <w:spacing w:val="-6"/>
          <w:kern w:val="21"/>
          <w:szCs w:val="21"/>
        </w:rPr>
        <w:instrText xml:space="preserve"> = 7 \* GB3 \* MERGEFORMAT </w:instrText>
      </w:r>
      <w:r>
        <w:rPr>
          <w:rFonts w:hint="default" w:ascii="Times New Roman" w:hAnsi="Times New Roman" w:cs="Times New Roman"/>
          <w:snapToGrid w:val="0"/>
          <w:color w:val="000000"/>
          <w:spacing w:val="-6"/>
          <w:kern w:val="21"/>
          <w:szCs w:val="21"/>
        </w:rPr>
        <w:fldChar w:fldCharType="separate"/>
      </w:r>
      <w:r>
        <w:rPr>
          <w:rFonts w:hint="default" w:ascii="Times New Roman" w:hAnsi="Times New Roman" w:cs="Times New Roman"/>
          <w:szCs w:val="21"/>
        </w:rPr>
        <w:t>⑦</w:t>
      </w:r>
      <w:r>
        <w:rPr>
          <w:rFonts w:hint="default" w:ascii="Times New Roman" w:hAnsi="Times New Roman" w:cs="Times New Roman"/>
          <w:snapToGrid w:val="0"/>
          <w:color w:val="000000"/>
          <w:spacing w:val="-6"/>
          <w:kern w:val="21"/>
          <w:szCs w:val="21"/>
        </w:rPr>
        <w:fldChar w:fldCharType="end"/>
      </w:r>
      <w:r>
        <w:rPr>
          <w:rFonts w:hint="default" w:ascii="Times New Roman" w:hAnsi="Times New Roman" w:cs="Times New Roman"/>
          <w:snapToGrid w:val="0"/>
          <w:color w:val="000000"/>
          <w:spacing w:val="-6"/>
          <w:kern w:val="21"/>
          <w:szCs w:val="21"/>
        </w:rPr>
        <w:t>=</w:t>
      </w:r>
      <w:r>
        <w:rPr>
          <w:rFonts w:hint="default" w:ascii="Times New Roman" w:hAnsi="Times New Roman" w:cs="Times New Roman"/>
          <w:snapToGrid w:val="0"/>
          <w:color w:val="000000"/>
          <w:spacing w:val="-16"/>
          <w:kern w:val="21"/>
          <w:szCs w:val="21"/>
        </w:rPr>
        <w:fldChar w:fldCharType="begin"/>
      </w:r>
      <w:r>
        <w:rPr>
          <w:rFonts w:hint="default" w:ascii="Times New Roman" w:hAnsi="Times New Roman" w:cs="Times New Roman"/>
          <w:snapToGrid w:val="0"/>
          <w:color w:val="000000"/>
          <w:spacing w:val="-16"/>
          <w:kern w:val="21"/>
          <w:szCs w:val="21"/>
        </w:rPr>
        <w:instrText xml:space="preserve"> = 6 \* GB3 \* MERGEFORMAT </w:instrText>
      </w:r>
      <w:r>
        <w:rPr>
          <w:rFonts w:hint="default" w:ascii="Times New Roman" w:hAnsi="Times New Roman" w:cs="Times New Roman"/>
          <w:snapToGrid w:val="0"/>
          <w:color w:val="000000"/>
          <w:spacing w:val="-16"/>
          <w:kern w:val="21"/>
          <w:szCs w:val="21"/>
        </w:rPr>
        <w:fldChar w:fldCharType="separate"/>
      </w:r>
      <w:r>
        <w:rPr>
          <w:rFonts w:hint="default" w:ascii="Times New Roman" w:hAnsi="Times New Roman" w:cs="Times New Roman"/>
          <w:szCs w:val="21"/>
        </w:rPr>
        <w:t>⑥</w:t>
      </w:r>
      <w:r>
        <w:rPr>
          <w:rFonts w:hint="default" w:ascii="Times New Roman" w:hAnsi="Times New Roman" w:cs="Times New Roman"/>
          <w:snapToGrid w:val="0"/>
          <w:color w:val="000000"/>
          <w:spacing w:val="-16"/>
          <w:kern w:val="21"/>
          <w:szCs w:val="21"/>
        </w:rPr>
        <w:fldChar w:fldCharType="end"/>
      </w:r>
      <w:r>
        <w:rPr>
          <w:rFonts w:hint="default" w:ascii="Times New Roman" w:hAnsi="Times New Roman" w:cs="Times New Roman"/>
          <w:snapToGrid w:val="0"/>
          <w:color w:val="000000"/>
          <w:spacing w:val="-16"/>
          <w:kern w:val="21"/>
          <w:szCs w:val="21"/>
        </w:rPr>
        <w:t>-</w:t>
      </w:r>
      <w:r>
        <w:rPr>
          <w:rFonts w:hint="default" w:ascii="Times New Roman" w:hAnsi="Times New Roman" w:cs="Times New Roman"/>
          <w:snapToGrid w:val="0"/>
          <w:color w:val="000000"/>
          <w:spacing w:val="-6"/>
          <w:kern w:val="21"/>
          <w:szCs w:val="21"/>
        </w:rPr>
        <w:fldChar w:fldCharType="begin"/>
      </w:r>
      <w:r>
        <w:rPr>
          <w:rFonts w:hint="default" w:ascii="Times New Roman" w:hAnsi="Times New Roman" w:cs="Times New Roman"/>
          <w:snapToGrid w:val="0"/>
          <w:color w:val="000000"/>
          <w:spacing w:val="-6"/>
          <w:kern w:val="21"/>
          <w:szCs w:val="21"/>
        </w:rPr>
        <w:instrText xml:space="preserve"> = 1 \* GB3 \* MERGEFORMAT </w:instrText>
      </w:r>
      <w:r>
        <w:rPr>
          <w:rFonts w:hint="default" w:ascii="Times New Roman" w:hAnsi="Times New Roman" w:cs="Times New Roman"/>
          <w:snapToGrid w:val="0"/>
          <w:color w:val="000000"/>
          <w:spacing w:val="-6"/>
          <w:kern w:val="21"/>
          <w:szCs w:val="21"/>
        </w:rPr>
        <w:fldChar w:fldCharType="separate"/>
      </w:r>
      <w:r>
        <w:rPr>
          <w:rFonts w:hint="default" w:ascii="Times New Roman" w:hAnsi="Times New Roman" w:cs="Times New Roman"/>
          <w:szCs w:val="21"/>
        </w:rPr>
        <w:t>①</w:t>
      </w:r>
      <w:r>
        <w:rPr>
          <w:rFonts w:hint="default" w:ascii="Times New Roman" w:hAnsi="Times New Roman" w:cs="Times New Roman"/>
          <w:snapToGrid w:val="0"/>
          <w:color w:val="000000"/>
          <w:spacing w:val="-6"/>
          <w:kern w:val="21"/>
          <w:szCs w:val="21"/>
        </w:rPr>
        <w:fldChar w:fldCharType="end"/>
      </w:r>
    </w:p>
    <w:sectPr>
      <w:footerReference r:id="rId8"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auto"/>
    <w:pitch w:val="default"/>
    <w:sig w:usb0="00000000" w:usb1="00000000" w:usb2="00000000" w:usb3="00000000" w:csb0="80000000"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02571">
    <w:pPr>
      <w:pStyle w:val="1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258C7">
    <w:pPr>
      <w:pStyle w:val="17"/>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-66675</wp:posOffset>
              </wp:positionV>
              <wp:extent cx="1828800" cy="1828800"/>
              <wp:effectExtent l="0" t="0" r="0" b="0"/>
              <wp:wrapNone/>
              <wp:docPr id="21" name="文本框 20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AEB557">
                          <w:pPr>
                            <w:pStyle w:val="17"/>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r>
                            <w:rPr>
                              <w:sz w:val="24"/>
                              <w:szCs w:val="24"/>
                            </w:rPr>
                            <w:t xml:space="preserve"> —</w:t>
                          </w:r>
                        </w:p>
                      </w:txbxContent>
                    </wps:txbx>
                    <wps:bodyPr wrap="none" lIns="0" tIns="0" rIns="0" bIns="0" upright="0">
                      <a:spAutoFit/>
                    </wps:bodyPr>
                  </wps:wsp>
                </a:graphicData>
              </a:graphic>
            </wp:anchor>
          </w:drawing>
        </mc:Choice>
        <mc:Fallback>
          <w:pict>
            <v:shape id="文本框 2056" o:spid="_x0000_s1026" o:spt="202" type="#_x0000_t202" style="position:absolute;left:0pt;margin-top:-5.25pt;height:144pt;width:144pt;mso-position-horizontal:outside;mso-position-horizontal-relative:margin;mso-wrap-style:none;z-index:251661312;mso-width-relative:page;mso-height-relative:page;" filled="f" stroked="f" coordsize="21600,21600" o:gfxdata="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pCpNL9QAAAAIAQAADwAAAAAAAAABACAAAAAiAAAAZHJzL2Rv&#10;d25yZXYueG1sUEsBAhQAFAAAAAgAh07iQLHRRonMAQAAnQMAAA4AAAAAAAAAAQAgAAAAIwEAAGRy&#10;cy9lMm9Eb2MueG1sUEsFBgAAAAAGAAYAWQEAAGEFAAAAAA==&#10;">
              <v:fill on="f" focussize="0,0"/>
              <v:stroke on="f"/>
              <v:imagedata o:title=""/>
              <o:lock v:ext="edit" aspectratio="f"/>
              <v:textbox inset="0mm,0mm,0mm,0mm" style="mso-fit-shape-to-text:t;">
                <w:txbxContent>
                  <w:p w14:paraId="1AAEB557">
                    <w:pPr>
                      <w:pStyle w:val="17"/>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r>
                      <w:rPr>
                        <w:sz w:val="24"/>
                        <w:szCs w:val="24"/>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8DF68">
    <w:pPr>
      <w:pStyle w:val="17"/>
      <w:ind w:right="360"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-66675</wp:posOffset>
              </wp:positionV>
              <wp:extent cx="1828800" cy="1828800"/>
              <wp:effectExtent l="0" t="0" r="0" b="0"/>
              <wp:wrapNone/>
              <wp:docPr id="24" name="文本框 20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EDC4556">
                          <w:pPr>
                            <w:pStyle w:val="17"/>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r>
                            <w:rPr>
                              <w:sz w:val="24"/>
                              <w:szCs w:val="24"/>
                            </w:rPr>
                            <w:t xml:space="preserve"> —</w:t>
                          </w:r>
                        </w:p>
                      </w:txbxContent>
                    </wps:txbx>
                    <wps:bodyPr wrap="none" lIns="0" tIns="0" rIns="0" bIns="0" upright="0">
                      <a:spAutoFit/>
                    </wps:bodyPr>
                  </wps:wsp>
                </a:graphicData>
              </a:graphic>
            </wp:anchor>
          </w:drawing>
        </mc:Choice>
        <mc:Fallback>
          <w:pict>
            <v:shape id="文本框 2056" o:spid="_x0000_s1026" o:spt="202" type="#_x0000_t202" style="position:absolute;left:0pt;margin-top:-5.25pt;height:144pt;width:144pt;mso-position-horizontal:outside;mso-position-horizontal-relative:margin;mso-wrap-style:none;z-index:251662336;mso-width-relative:page;mso-height-relative:page;" filled="f" stroked="f" coordsize="21600,21600" o:gfxdata="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QqTS/UAAAACAEAAA8AAAAAAAAAAQAgAAAAIgAAAGRycy9k&#10;b3ducmV2LnhtbFBLAQIUABQAAAAIAIdO4kCVsDz+zQEAAJ0DAAAOAAAAAAAAAAEAIAAAACMBAABk&#10;cnMvZTJvRG9jLnhtbFBLBQYAAAAABgAGAFkBAABiBQAAAAA=&#10;">
              <v:fill on="f" focussize="0,0"/>
              <v:stroke on="f"/>
              <v:imagedata o:title=""/>
              <o:lock v:ext="edit" aspectratio="f"/>
              <v:textbox inset="0mm,0mm,0mm,0mm" style="mso-fit-shape-to-text:t;">
                <w:txbxContent>
                  <w:p w14:paraId="5EDC4556">
                    <w:pPr>
                      <w:pStyle w:val="17"/>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r>
                      <w:rPr>
                        <w:sz w:val="24"/>
                        <w:szCs w:val="24"/>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81273">
    <w:pPr>
      <w:pStyle w:val="17"/>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-66675</wp:posOffset>
              </wp:positionV>
              <wp:extent cx="1828800" cy="1828800"/>
              <wp:effectExtent l="0" t="0" r="0" b="0"/>
              <wp:wrapNone/>
              <wp:docPr id="19" name="文本框 20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3C961F">
                          <w:pPr>
                            <w:pStyle w:val="17"/>
                          </w:pPr>
                          <w: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14</w:t>
                          </w:r>
                          <w:r>
                            <w:rPr>
                              <w:sz w:val="24"/>
                              <w:szCs w:val="24"/>
                            </w:rPr>
                            <w:fldChar w:fldCharType="end"/>
                          </w:r>
                          <w:r>
                            <w:t xml:space="preserve"> —</w:t>
                          </w:r>
                        </w:p>
                      </w:txbxContent>
                    </wps:txbx>
                    <wps:bodyPr wrap="none" lIns="0" tIns="0" rIns="0" bIns="0" upright="0">
                      <a:spAutoFit/>
                    </wps:bodyPr>
                  </wps:wsp>
                </a:graphicData>
              </a:graphic>
            </wp:anchor>
          </w:drawing>
        </mc:Choice>
        <mc:Fallback>
          <w:pict>
            <v:shape id="文本框 2057" o:spid="_x0000_s1026" o:spt="202" type="#_x0000_t202" style="position:absolute;left:0pt;margin-top:-5.25pt;height:144pt;width:144pt;mso-position-horizontal:outside;mso-position-horizontal-relative:margin;mso-wrap-style:none;z-index:251659264;mso-width-relative:page;mso-height-relative:page;" filled="f" stroked="f" coordsize="21600,21600" o:gfxdata="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kKk0v1AAAAAgBAAAPAAAAAAAAAAEAIAAAACIAAABkcnMvZG93&#10;bnJldi54bWxQSwECFAAUAAAACACHTuJAv7Qs6MsBAACdAwAADgAAAAAAAAABACAAAAAjAQAAZHJz&#10;L2Uyb0RvYy54bWxQSwUGAAAAAAYABgBZAQAAYAUAAAAA&#10;">
              <v:fill on="f" focussize="0,0"/>
              <v:stroke on="f"/>
              <v:imagedata o:title=""/>
              <o:lock v:ext="edit" aspectratio="f"/>
              <v:textbox inset="0mm,0mm,0mm,0mm" style="mso-fit-shape-to-text:t;">
                <w:txbxContent>
                  <w:p w14:paraId="7E3C961F">
                    <w:pPr>
                      <w:pStyle w:val="17"/>
                    </w:pPr>
                    <w: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14</w:t>
                    </w:r>
                    <w:r>
                      <w:rPr>
                        <w:sz w:val="24"/>
                        <w:szCs w:val="24"/>
                      </w:rP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EAC8F">
    <w:pPr>
      <w:pStyle w:val="17"/>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-66675</wp:posOffset>
              </wp:positionV>
              <wp:extent cx="1828800" cy="1828800"/>
              <wp:effectExtent l="0" t="0" r="0" b="0"/>
              <wp:wrapNone/>
              <wp:docPr id="20" name="文本框 20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9F5D65C">
                          <w:pPr>
                            <w:pStyle w:val="17"/>
                          </w:pPr>
                          <w: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53</w:t>
                          </w:r>
                          <w:r>
                            <w:rPr>
                              <w:sz w:val="24"/>
                              <w:szCs w:val="24"/>
                            </w:rPr>
                            <w:fldChar w:fldCharType="end"/>
                          </w:r>
                          <w:r>
                            <w:t xml:space="preserve"> —</w:t>
                          </w:r>
                        </w:p>
                      </w:txbxContent>
                    </wps:txbx>
                    <wps:bodyPr wrap="none" lIns="0" tIns="0" rIns="0" bIns="0" upright="0">
                      <a:spAutoFit/>
                    </wps:bodyPr>
                  </wps:wsp>
                </a:graphicData>
              </a:graphic>
            </wp:anchor>
          </w:drawing>
        </mc:Choice>
        <mc:Fallback>
          <w:pict>
            <v:shape id="文本框 2059" o:spid="_x0000_s1026" o:spt="202" type="#_x0000_t202" style="position:absolute;left:0pt;margin-top:-5.25pt;height:144pt;width:144pt;mso-position-horizontal:outside;mso-position-horizontal-relative:margin;mso-wrap-style:none;z-index:251660288;mso-width-relative:page;mso-height-relative:page;" filled="f" stroked="f" coordsize="21600,21600" o:gfxdata="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kKk0v1AAAAAgBAAAPAAAAAAAAAAEAIAAAACIAAABkcnMvZG93&#10;bnJldi54bWxQSwECFAAUAAAACACHTuJAdWqsvssBAACdAwAADgAAAAAAAAABACAAAAAjAQAAZHJz&#10;L2Uyb0RvYy54bWxQSwUGAAAAAAYABgBZAQAAYAUAAAAA&#10;">
              <v:fill on="f" focussize="0,0"/>
              <v:stroke on="f"/>
              <v:imagedata o:title=""/>
              <o:lock v:ext="edit" aspectratio="f"/>
              <v:textbox inset="0mm,0mm,0mm,0mm" style="mso-fit-shape-to-text:t;">
                <w:txbxContent>
                  <w:p w14:paraId="79F5D65C">
                    <w:pPr>
                      <w:pStyle w:val="17"/>
                    </w:pPr>
                    <w: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53</w:t>
                    </w:r>
                    <w:r>
                      <w:rPr>
                        <w:sz w:val="24"/>
                        <w:szCs w:val="24"/>
                      </w:rP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87FA8">
    <w:pPr>
      <w:pStyle w:val="18"/>
      <w:pBdr>
        <w:bottom w:val="none" w:color="auto" w:sz="0" w:space="1"/>
      </w:pBdr>
      <w:tabs>
        <w:tab w:val="left" w:pos="3549"/>
      </w:tabs>
      <w:jc w:val="left"/>
      <w:rPr>
        <w:rFonts w:hint="eastAsia"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F3D79F"/>
    <w:multiLevelType w:val="singleLevel"/>
    <w:tmpl w:val="85F3D79F"/>
    <w:lvl w:ilvl="0" w:tentative="0">
      <w:start w:val="1"/>
      <w:numFmt w:val="decimal"/>
      <w:suff w:val="nothing"/>
      <w:lvlText w:val="%1、"/>
      <w:lvlJc w:val="left"/>
      <w:rPr>
        <w:rFonts w:hint="default"/>
        <w:b/>
        <w:bCs/>
        <w:sz w:val="24"/>
        <w:szCs w:val="24"/>
      </w:rPr>
    </w:lvl>
  </w:abstractNum>
  <w:abstractNum w:abstractNumId="1">
    <w:nsid w:val="8D8C0BAE"/>
    <w:multiLevelType w:val="singleLevel"/>
    <w:tmpl w:val="8D8C0BAE"/>
    <w:lvl w:ilvl="0" w:tentative="0">
      <w:start w:val="1"/>
      <w:numFmt w:val="decimal"/>
      <w:suff w:val="nothing"/>
      <w:lvlText w:val="（%1）"/>
      <w:lvlJc w:val="left"/>
    </w:lvl>
  </w:abstractNum>
  <w:abstractNum w:abstractNumId="2">
    <w:nsid w:val="8F781073"/>
    <w:multiLevelType w:val="singleLevel"/>
    <w:tmpl w:val="8F781073"/>
    <w:lvl w:ilvl="0" w:tentative="0">
      <w:start w:val="1"/>
      <w:numFmt w:val="decimal"/>
      <w:suff w:val="nothing"/>
      <w:lvlText w:val="%1、"/>
      <w:lvlJc w:val="left"/>
    </w:lvl>
  </w:abstractNum>
  <w:abstractNum w:abstractNumId="3">
    <w:nsid w:val="8FCBE114"/>
    <w:multiLevelType w:val="singleLevel"/>
    <w:tmpl w:val="8FCBE114"/>
    <w:lvl w:ilvl="0" w:tentative="0">
      <w:start w:val="2"/>
      <w:numFmt w:val="decimal"/>
      <w:suff w:val="nothing"/>
      <w:lvlText w:val="%1、"/>
      <w:lvlJc w:val="left"/>
    </w:lvl>
  </w:abstractNum>
  <w:abstractNum w:abstractNumId="4">
    <w:nsid w:val="E856A5CA"/>
    <w:multiLevelType w:val="singleLevel"/>
    <w:tmpl w:val="E856A5CA"/>
    <w:lvl w:ilvl="0" w:tentative="0">
      <w:start w:val="1"/>
      <w:numFmt w:val="decimal"/>
      <w:suff w:val="nothing"/>
      <w:lvlText w:val="%1、"/>
      <w:lvlJc w:val="left"/>
    </w:lvl>
  </w:abstractNum>
  <w:abstractNum w:abstractNumId="5">
    <w:nsid w:val="ED6DC219"/>
    <w:multiLevelType w:val="singleLevel"/>
    <w:tmpl w:val="ED6DC219"/>
    <w:lvl w:ilvl="0" w:tentative="0">
      <w:start w:val="2"/>
      <w:numFmt w:val="decimal"/>
      <w:suff w:val="nothing"/>
      <w:lvlText w:val="（%1）"/>
      <w:lvlJc w:val="left"/>
    </w:lvl>
  </w:abstractNum>
  <w:abstractNum w:abstractNumId="6">
    <w:nsid w:val="0883B4BB"/>
    <w:multiLevelType w:val="singleLevel"/>
    <w:tmpl w:val="0883B4BB"/>
    <w:lvl w:ilvl="0" w:tentative="0">
      <w:start w:val="1"/>
      <w:numFmt w:val="decimal"/>
      <w:suff w:val="nothing"/>
      <w:lvlText w:val="%1、"/>
      <w:lvlJc w:val="left"/>
    </w:lvl>
  </w:abstractNum>
  <w:abstractNum w:abstractNumId="7">
    <w:nsid w:val="0FF0CA02"/>
    <w:multiLevelType w:val="singleLevel"/>
    <w:tmpl w:val="0FF0CA02"/>
    <w:lvl w:ilvl="0" w:tentative="0">
      <w:start w:val="3"/>
      <w:numFmt w:val="decimal"/>
      <w:suff w:val="nothing"/>
      <w:lvlText w:val="%1）"/>
      <w:lvlJc w:val="left"/>
    </w:lvl>
  </w:abstractNum>
  <w:abstractNum w:abstractNumId="8">
    <w:nsid w:val="23DD8F79"/>
    <w:multiLevelType w:val="multilevel"/>
    <w:tmpl w:val="23DD8F79"/>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9">
    <w:nsid w:val="5F7F262A"/>
    <w:multiLevelType w:val="singleLevel"/>
    <w:tmpl w:val="5F7F262A"/>
    <w:lvl w:ilvl="0" w:tentative="0">
      <w:start w:val="1"/>
      <w:numFmt w:val="decimal"/>
      <w:suff w:val="nothing"/>
      <w:lvlText w:val="%1、"/>
      <w:lvlJc w:val="left"/>
      <w:rPr>
        <w:rFonts w:hint="default"/>
        <w:b/>
        <w:bCs/>
      </w:rPr>
    </w:lvl>
  </w:abstractNum>
  <w:abstractNum w:abstractNumId="10">
    <w:nsid w:val="699CE215"/>
    <w:multiLevelType w:val="singleLevel"/>
    <w:tmpl w:val="699CE215"/>
    <w:lvl w:ilvl="0" w:tentative="0">
      <w:start w:val="2"/>
      <w:numFmt w:val="chineseCounting"/>
      <w:suff w:val="nothing"/>
      <w:lvlText w:val="%1、"/>
      <w:lvlJc w:val="left"/>
      <w:rPr>
        <w:rFonts w:hint="eastAsia"/>
      </w:rPr>
    </w:lvl>
  </w:abstractNum>
  <w:abstractNum w:abstractNumId="11">
    <w:nsid w:val="79236B49"/>
    <w:multiLevelType w:val="singleLevel"/>
    <w:tmpl w:val="79236B49"/>
    <w:lvl w:ilvl="0" w:tentative="0">
      <w:start w:val="1"/>
      <w:numFmt w:val="decimal"/>
      <w:pStyle w:val="65"/>
      <w:suff w:val="nothing"/>
      <w:lvlText w:val="%1）"/>
      <w:lvlJc w:val="left"/>
    </w:lvl>
  </w:abstractNum>
  <w:num w:numId="1">
    <w:abstractNumId w:val="11"/>
  </w:num>
  <w:num w:numId="2">
    <w:abstractNumId w:val="3"/>
  </w:num>
  <w:num w:numId="3">
    <w:abstractNumId w:val="5"/>
  </w:num>
  <w:num w:numId="4">
    <w:abstractNumId w:val="10"/>
  </w:num>
  <w:num w:numId="5">
    <w:abstractNumId w:val="6"/>
  </w:num>
  <w:num w:numId="6">
    <w:abstractNumId w:val="0"/>
  </w:num>
  <w:num w:numId="7">
    <w:abstractNumId w:val="2"/>
  </w:num>
  <w:num w:numId="8">
    <w:abstractNumId w:val="4"/>
  </w:num>
  <w:num w:numId="9">
    <w:abstractNumId w:val="9"/>
  </w:num>
  <w:num w:numId="10">
    <w:abstractNumId w:val="8"/>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0329"/>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B5DB3"/>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044493"/>
    <w:rsid w:val="01290F7E"/>
    <w:rsid w:val="015D1E09"/>
    <w:rsid w:val="02112A50"/>
    <w:rsid w:val="024351FC"/>
    <w:rsid w:val="02697903"/>
    <w:rsid w:val="02C44777"/>
    <w:rsid w:val="02F96569"/>
    <w:rsid w:val="03D251BA"/>
    <w:rsid w:val="03EA7B21"/>
    <w:rsid w:val="04C27AFC"/>
    <w:rsid w:val="05F83EAE"/>
    <w:rsid w:val="05FE78D8"/>
    <w:rsid w:val="062956B3"/>
    <w:rsid w:val="063E7D85"/>
    <w:rsid w:val="07293586"/>
    <w:rsid w:val="07295285"/>
    <w:rsid w:val="07636392"/>
    <w:rsid w:val="076E3F95"/>
    <w:rsid w:val="07741A77"/>
    <w:rsid w:val="07770C56"/>
    <w:rsid w:val="08AC2CF4"/>
    <w:rsid w:val="08F024B8"/>
    <w:rsid w:val="092217DD"/>
    <w:rsid w:val="093A7294"/>
    <w:rsid w:val="0A1263F7"/>
    <w:rsid w:val="0A263993"/>
    <w:rsid w:val="0A2D3AC2"/>
    <w:rsid w:val="0A466847"/>
    <w:rsid w:val="0AA572D2"/>
    <w:rsid w:val="0AA755DF"/>
    <w:rsid w:val="0B120D44"/>
    <w:rsid w:val="0BC52C35"/>
    <w:rsid w:val="0BD27BF6"/>
    <w:rsid w:val="0C3B3C7D"/>
    <w:rsid w:val="0C5D1A7E"/>
    <w:rsid w:val="0CAB2EAE"/>
    <w:rsid w:val="0D621C7D"/>
    <w:rsid w:val="0E73034D"/>
    <w:rsid w:val="0E7A1A23"/>
    <w:rsid w:val="0F13775A"/>
    <w:rsid w:val="0F5F45FE"/>
    <w:rsid w:val="0F9A112B"/>
    <w:rsid w:val="0FFC6EDD"/>
    <w:rsid w:val="10385E92"/>
    <w:rsid w:val="106D2F64"/>
    <w:rsid w:val="10B63710"/>
    <w:rsid w:val="10F10820"/>
    <w:rsid w:val="111C2F7A"/>
    <w:rsid w:val="115608DE"/>
    <w:rsid w:val="11665CA1"/>
    <w:rsid w:val="11DD2FF2"/>
    <w:rsid w:val="12687383"/>
    <w:rsid w:val="13951726"/>
    <w:rsid w:val="13C609E5"/>
    <w:rsid w:val="14396509"/>
    <w:rsid w:val="144205B9"/>
    <w:rsid w:val="14965905"/>
    <w:rsid w:val="14DD2C3C"/>
    <w:rsid w:val="15A801B2"/>
    <w:rsid w:val="16087E1D"/>
    <w:rsid w:val="164E7D04"/>
    <w:rsid w:val="16A40B0F"/>
    <w:rsid w:val="17701D14"/>
    <w:rsid w:val="1771313C"/>
    <w:rsid w:val="17735226"/>
    <w:rsid w:val="189F624C"/>
    <w:rsid w:val="18CA2697"/>
    <w:rsid w:val="19094ED0"/>
    <w:rsid w:val="193E101D"/>
    <w:rsid w:val="1A1C66C0"/>
    <w:rsid w:val="1A42393B"/>
    <w:rsid w:val="1AAD45DE"/>
    <w:rsid w:val="1B046F80"/>
    <w:rsid w:val="1B3267B5"/>
    <w:rsid w:val="1B40161D"/>
    <w:rsid w:val="1B441859"/>
    <w:rsid w:val="1B6606B1"/>
    <w:rsid w:val="1C5E7925"/>
    <w:rsid w:val="1CFD070F"/>
    <w:rsid w:val="1D087B12"/>
    <w:rsid w:val="1D5F6196"/>
    <w:rsid w:val="1D6132A5"/>
    <w:rsid w:val="1D7D7A7E"/>
    <w:rsid w:val="1D8E56D5"/>
    <w:rsid w:val="1D982D20"/>
    <w:rsid w:val="1E7A43DA"/>
    <w:rsid w:val="1E8E20FF"/>
    <w:rsid w:val="1F5A6485"/>
    <w:rsid w:val="1FE7539E"/>
    <w:rsid w:val="20671BE0"/>
    <w:rsid w:val="20963CB8"/>
    <w:rsid w:val="20A81A1B"/>
    <w:rsid w:val="20B07FB6"/>
    <w:rsid w:val="20B646FB"/>
    <w:rsid w:val="20C53DD2"/>
    <w:rsid w:val="20E92118"/>
    <w:rsid w:val="213B74B1"/>
    <w:rsid w:val="214B4D76"/>
    <w:rsid w:val="215A2310"/>
    <w:rsid w:val="21AD1097"/>
    <w:rsid w:val="21DE318A"/>
    <w:rsid w:val="21EF5B80"/>
    <w:rsid w:val="22576990"/>
    <w:rsid w:val="22B86397"/>
    <w:rsid w:val="22F47480"/>
    <w:rsid w:val="2398757C"/>
    <w:rsid w:val="23DE1C48"/>
    <w:rsid w:val="240210CD"/>
    <w:rsid w:val="24BF09F7"/>
    <w:rsid w:val="24C81E96"/>
    <w:rsid w:val="252D53FE"/>
    <w:rsid w:val="25DB5A0A"/>
    <w:rsid w:val="25EC2D81"/>
    <w:rsid w:val="26E82499"/>
    <w:rsid w:val="27207FB4"/>
    <w:rsid w:val="277057A2"/>
    <w:rsid w:val="27C01295"/>
    <w:rsid w:val="288F1208"/>
    <w:rsid w:val="28902F18"/>
    <w:rsid w:val="289A4CFE"/>
    <w:rsid w:val="28A17F82"/>
    <w:rsid w:val="28E026ED"/>
    <w:rsid w:val="28EC0C04"/>
    <w:rsid w:val="29206EB8"/>
    <w:rsid w:val="29595666"/>
    <w:rsid w:val="29874881"/>
    <w:rsid w:val="29E325E0"/>
    <w:rsid w:val="2A44651A"/>
    <w:rsid w:val="2A452503"/>
    <w:rsid w:val="2BA431F1"/>
    <w:rsid w:val="2BA936A8"/>
    <w:rsid w:val="2C315A5A"/>
    <w:rsid w:val="2C4B1C25"/>
    <w:rsid w:val="2C882884"/>
    <w:rsid w:val="2CBB2DEC"/>
    <w:rsid w:val="2D9E56F5"/>
    <w:rsid w:val="2E667F96"/>
    <w:rsid w:val="2E8226AB"/>
    <w:rsid w:val="2F7B3E20"/>
    <w:rsid w:val="2FD065E6"/>
    <w:rsid w:val="2FD96870"/>
    <w:rsid w:val="30580BC9"/>
    <w:rsid w:val="30C92D58"/>
    <w:rsid w:val="30FC63F6"/>
    <w:rsid w:val="311E2ED7"/>
    <w:rsid w:val="315619EE"/>
    <w:rsid w:val="315C449C"/>
    <w:rsid w:val="31925DC8"/>
    <w:rsid w:val="31B82709"/>
    <w:rsid w:val="31D05482"/>
    <w:rsid w:val="32400B34"/>
    <w:rsid w:val="328B314E"/>
    <w:rsid w:val="32932E46"/>
    <w:rsid w:val="329B61B8"/>
    <w:rsid w:val="329E6876"/>
    <w:rsid w:val="32DC2CB0"/>
    <w:rsid w:val="32EB3E09"/>
    <w:rsid w:val="333015F2"/>
    <w:rsid w:val="334B6320"/>
    <w:rsid w:val="33CA5940"/>
    <w:rsid w:val="33D934D4"/>
    <w:rsid w:val="33FE2F6A"/>
    <w:rsid w:val="340E07E5"/>
    <w:rsid w:val="34235BF7"/>
    <w:rsid w:val="34346BF9"/>
    <w:rsid w:val="34732160"/>
    <w:rsid w:val="358C5FA8"/>
    <w:rsid w:val="35C15DF1"/>
    <w:rsid w:val="36074A7F"/>
    <w:rsid w:val="366C1EFC"/>
    <w:rsid w:val="36923549"/>
    <w:rsid w:val="36B75FBF"/>
    <w:rsid w:val="36BD0C45"/>
    <w:rsid w:val="37822CAD"/>
    <w:rsid w:val="37E00298"/>
    <w:rsid w:val="37FC0191"/>
    <w:rsid w:val="38B302F9"/>
    <w:rsid w:val="38DD575A"/>
    <w:rsid w:val="38F12CD3"/>
    <w:rsid w:val="38F94775"/>
    <w:rsid w:val="392971ED"/>
    <w:rsid w:val="39325651"/>
    <w:rsid w:val="3A60099C"/>
    <w:rsid w:val="3A872856"/>
    <w:rsid w:val="3B3763D1"/>
    <w:rsid w:val="3B750477"/>
    <w:rsid w:val="3C2F6E1E"/>
    <w:rsid w:val="3C4F64BA"/>
    <w:rsid w:val="3CDA245A"/>
    <w:rsid w:val="3D1E06B7"/>
    <w:rsid w:val="3ECE360C"/>
    <w:rsid w:val="3EDA0523"/>
    <w:rsid w:val="3FAC5872"/>
    <w:rsid w:val="407A6407"/>
    <w:rsid w:val="40C543BA"/>
    <w:rsid w:val="4181579E"/>
    <w:rsid w:val="41BD4926"/>
    <w:rsid w:val="4200449D"/>
    <w:rsid w:val="423A3BCC"/>
    <w:rsid w:val="424E57D2"/>
    <w:rsid w:val="42B26C49"/>
    <w:rsid w:val="42CF15C4"/>
    <w:rsid w:val="4337061D"/>
    <w:rsid w:val="433A6FE6"/>
    <w:rsid w:val="43480868"/>
    <w:rsid w:val="4350713C"/>
    <w:rsid w:val="436653E0"/>
    <w:rsid w:val="43C4431A"/>
    <w:rsid w:val="446D0C6B"/>
    <w:rsid w:val="44B951CC"/>
    <w:rsid w:val="44CD14E0"/>
    <w:rsid w:val="44F20B0B"/>
    <w:rsid w:val="45171053"/>
    <w:rsid w:val="452E5F4C"/>
    <w:rsid w:val="45612018"/>
    <w:rsid w:val="456C2177"/>
    <w:rsid w:val="458946E9"/>
    <w:rsid w:val="45A47C0E"/>
    <w:rsid w:val="46577FD6"/>
    <w:rsid w:val="4694372B"/>
    <w:rsid w:val="46D67AFD"/>
    <w:rsid w:val="46D955A7"/>
    <w:rsid w:val="47133957"/>
    <w:rsid w:val="47A07E0C"/>
    <w:rsid w:val="47F838C9"/>
    <w:rsid w:val="4870272E"/>
    <w:rsid w:val="489B61CE"/>
    <w:rsid w:val="48B13B07"/>
    <w:rsid w:val="49B44860"/>
    <w:rsid w:val="49DC7715"/>
    <w:rsid w:val="4A023139"/>
    <w:rsid w:val="4A7B576F"/>
    <w:rsid w:val="4AF561A9"/>
    <w:rsid w:val="4B241572"/>
    <w:rsid w:val="4C1C66ED"/>
    <w:rsid w:val="4C4A0649"/>
    <w:rsid w:val="4C7E5ECA"/>
    <w:rsid w:val="4C876AA5"/>
    <w:rsid w:val="4CF87F48"/>
    <w:rsid w:val="4D0E00FB"/>
    <w:rsid w:val="4D176606"/>
    <w:rsid w:val="4DEC4FB0"/>
    <w:rsid w:val="4E075D8A"/>
    <w:rsid w:val="4EC00FAD"/>
    <w:rsid w:val="4EC077AA"/>
    <w:rsid w:val="4EE32F96"/>
    <w:rsid w:val="4F221F36"/>
    <w:rsid w:val="4F9843DC"/>
    <w:rsid w:val="4FC62A8C"/>
    <w:rsid w:val="4FDB4616"/>
    <w:rsid w:val="4FE20F0D"/>
    <w:rsid w:val="4FE51552"/>
    <w:rsid w:val="50290180"/>
    <w:rsid w:val="50504C4B"/>
    <w:rsid w:val="509C6E7C"/>
    <w:rsid w:val="510F53B5"/>
    <w:rsid w:val="5162104E"/>
    <w:rsid w:val="52A75240"/>
    <w:rsid w:val="53A039CC"/>
    <w:rsid w:val="53A1505A"/>
    <w:rsid w:val="54063E08"/>
    <w:rsid w:val="543437E8"/>
    <w:rsid w:val="546A4DE6"/>
    <w:rsid w:val="547660BF"/>
    <w:rsid w:val="54C167FA"/>
    <w:rsid w:val="54C36DDD"/>
    <w:rsid w:val="54F73313"/>
    <w:rsid w:val="54F80955"/>
    <w:rsid w:val="553E2C9F"/>
    <w:rsid w:val="555170A7"/>
    <w:rsid w:val="5587536D"/>
    <w:rsid w:val="559B174B"/>
    <w:rsid w:val="55CE0CF4"/>
    <w:rsid w:val="5606164C"/>
    <w:rsid w:val="56B22A9C"/>
    <w:rsid w:val="571C75AD"/>
    <w:rsid w:val="575150B1"/>
    <w:rsid w:val="57B72A76"/>
    <w:rsid w:val="57C3426C"/>
    <w:rsid w:val="57CE1F93"/>
    <w:rsid w:val="588743D1"/>
    <w:rsid w:val="5887701A"/>
    <w:rsid w:val="59C0439F"/>
    <w:rsid w:val="5A4E6985"/>
    <w:rsid w:val="5ABE2233"/>
    <w:rsid w:val="5BDF5D95"/>
    <w:rsid w:val="5BFE7528"/>
    <w:rsid w:val="5C8B5352"/>
    <w:rsid w:val="5CDE5760"/>
    <w:rsid w:val="5CE42BCA"/>
    <w:rsid w:val="5D6F727A"/>
    <w:rsid w:val="5DCC14F9"/>
    <w:rsid w:val="5E2467F1"/>
    <w:rsid w:val="5F1A2B43"/>
    <w:rsid w:val="5F4853CE"/>
    <w:rsid w:val="5F5C5FB8"/>
    <w:rsid w:val="5FB837BB"/>
    <w:rsid w:val="60282780"/>
    <w:rsid w:val="60B3173B"/>
    <w:rsid w:val="60CC405A"/>
    <w:rsid w:val="61C64CD9"/>
    <w:rsid w:val="61E215D8"/>
    <w:rsid w:val="621B3775"/>
    <w:rsid w:val="62364782"/>
    <w:rsid w:val="62497C32"/>
    <w:rsid w:val="62C9714A"/>
    <w:rsid w:val="632B06F4"/>
    <w:rsid w:val="6394356A"/>
    <w:rsid w:val="63C61B2C"/>
    <w:rsid w:val="63D40BE9"/>
    <w:rsid w:val="64102431"/>
    <w:rsid w:val="64A5243A"/>
    <w:rsid w:val="64F1593F"/>
    <w:rsid w:val="64F531DE"/>
    <w:rsid w:val="65373578"/>
    <w:rsid w:val="66BF7081"/>
    <w:rsid w:val="67187556"/>
    <w:rsid w:val="671F124A"/>
    <w:rsid w:val="677A33C6"/>
    <w:rsid w:val="681F6961"/>
    <w:rsid w:val="683D14F1"/>
    <w:rsid w:val="68610A2F"/>
    <w:rsid w:val="68805514"/>
    <w:rsid w:val="68810C55"/>
    <w:rsid w:val="68E426DA"/>
    <w:rsid w:val="69316E2F"/>
    <w:rsid w:val="694E2071"/>
    <w:rsid w:val="69766163"/>
    <w:rsid w:val="697A3B33"/>
    <w:rsid w:val="697F6B90"/>
    <w:rsid w:val="69A178FF"/>
    <w:rsid w:val="69D44760"/>
    <w:rsid w:val="6A520EC7"/>
    <w:rsid w:val="6AF87E20"/>
    <w:rsid w:val="6B322639"/>
    <w:rsid w:val="6B661280"/>
    <w:rsid w:val="6C1A5E63"/>
    <w:rsid w:val="6C636C38"/>
    <w:rsid w:val="6DB34098"/>
    <w:rsid w:val="6DB545B6"/>
    <w:rsid w:val="6DE02FB4"/>
    <w:rsid w:val="6E3C2628"/>
    <w:rsid w:val="6E514CED"/>
    <w:rsid w:val="6EB563D5"/>
    <w:rsid w:val="6ED92677"/>
    <w:rsid w:val="6F225983"/>
    <w:rsid w:val="6FDE341B"/>
    <w:rsid w:val="6FFC5590"/>
    <w:rsid w:val="70294DB1"/>
    <w:rsid w:val="706D1DD0"/>
    <w:rsid w:val="70856B87"/>
    <w:rsid w:val="70D31F5B"/>
    <w:rsid w:val="70D527EE"/>
    <w:rsid w:val="715B5300"/>
    <w:rsid w:val="71D27F8A"/>
    <w:rsid w:val="72553024"/>
    <w:rsid w:val="72F80AC9"/>
    <w:rsid w:val="73122968"/>
    <w:rsid w:val="731F5D5E"/>
    <w:rsid w:val="733C218E"/>
    <w:rsid w:val="733F2B3D"/>
    <w:rsid w:val="73C51AD5"/>
    <w:rsid w:val="741E793C"/>
    <w:rsid w:val="745E3944"/>
    <w:rsid w:val="74C72DEA"/>
    <w:rsid w:val="74DF5558"/>
    <w:rsid w:val="7635099D"/>
    <w:rsid w:val="76460A60"/>
    <w:rsid w:val="76962845"/>
    <w:rsid w:val="76FD6F97"/>
    <w:rsid w:val="77382122"/>
    <w:rsid w:val="77762421"/>
    <w:rsid w:val="77B56B1F"/>
    <w:rsid w:val="77CD5E8D"/>
    <w:rsid w:val="780F09F4"/>
    <w:rsid w:val="783322A3"/>
    <w:rsid w:val="78A90480"/>
    <w:rsid w:val="7A364017"/>
    <w:rsid w:val="7A8265E1"/>
    <w:rsid w:val="7ABA06DF"/>
    <w:rsid w:val="7ABA7B07"/>
    <w:rsid w:val="7B656F4A"/>
    <w:rsid w:val="7B686D42"/>
    <w:rsid w:val="7B841746"/>
    <w:rsid w:val="7BF45ABD"/>
    <w:rsid w:val="7C6C5AC7"/>
    <w:rsid w:val="7CC6544B"/>
    <w:rsid w:val="7D0239FF"/>
    <w:rsid w:val="7D5E40CD"/>
    <w:rsid w:val="7DCD56F2"/>
    <w:rsid w:val="7F001CE7"/>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35" w:semiHidden="0" w:name="caption" w:locked="1"/>
    <w:lsdException w:qFormat="1" w:unhideWhenUsed="0" w:uiPriority="99"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22"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qFormat/>
    <w:locked/>
    <w:uiPriority w:val="0"/>
    <w:pPr>
      <w:keepNext/>
      <w:snapToGrid w:val="0"/>
      <w:outlineLvl w:val="1"/>
    </w:pPr>
    <w:rPr>
      <w:sz w:val="28"/>
    </w:rPr>
  </w:style>
  <w:style w:type="paragraph" w:styleId="6">
    <w:name w:val="heading 3"/>
    <w:basedOn w:val="1"/>
    <w:next w:val="1"/>
    <w:unhideWhenUsed/>
    <w:qFormat/>
    <w:locked/>
    <w:uiPriority w:val="0"/>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character" w:default="1" w:styleId="28">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locked/>
    <w:uiPriority w:val="0"/>
    <w:pPr>
      <w:ind w:firstLine="420" w:firstLineChars="200"/>
    </w:pPr>
    <w:rPr>
      <w:rFonts w:ascii="宋体" w:hAnsi="黑体"/>
    </w:rPr>
  </w:style>
  <w:style w:type="paragraph" w:styleId="3">
    <w:name w:val="Body Text Indent"/>
    <w:basedOn w:val="1"/>
    <w:link w:val="35"/>
    <w:qFormat/>
    <w:uiPriority w:val="0"/>
    <w:pPr>
      <w:spacing w:after="120"/>
      <w:ind w:left="420" w:leftChars="200"/>
    </w:pPr>
    <w:rPr>
      <w:kern w:val="0"/>
      <w:sz w:val="24"/>
      <w:szCs w:val="20"/>
    </w:rPr>
  </w:style>
  <w:style w:type="paragraph" w:styleId="7">
    <w:name w:val="Normal Indent"/>
    <w:basedOn w:val="1"/>
    <w:next w:val="1"/>
    <w:qFormat/>
    <w:locked/>
    <w:uiPriority w:val="0"/>
    <w:pPr>
      <w:ind w:firstLine="420" w:firstLineChars="200"/>
    </w:pPr>
  </w:style>
  <w:style w:type="paragraph" w:styleId="8">
    <w:name w:val="caption"/>
    <w:basedOn w:val="1"/>
    <w:next w:val="1"/>
    <w:qFormat/>
    <w:locked/>
    <w:uiPriority w:val="35"/>
    <w:rPr>
      <w:rFonts w:ascii="Arial" w:hAnsi="Arial" w:eastAsia="黑体"/>
      <w:sz w:val="20"/>
    </w:rPr>
  </w:style>
  <w:style w:type="paragraph" w:styleId="9">
    <w:name w:val="annotation text"/>
    <w:basedOn w:val="1"/>
    <w:link w:val="33"/>
    <w:semiHidden/>
    <w:qFormat/>
    <w:uiPriority w:val="0"/>
    <w:pPr>
      <w:jc w:val="left"/>
    </w:pPr>
    <w:rPr>
      <w:kern w:val="0"/>
      <w:sz w:val="24"/>
      <w:szCs w:val="20"/>
    </w:rPr>
  </w:style>
  <w:style w:type="paragraph" w:styleId="10">
    <w:name w:val="Body Text 3"/>
    <w:basedOn w:val="1"/>
    <w:qFormat/>
    <w:locked/>
    <w:uiPriority w:val="0"/>
    <w:pPr>
      <w:widowControl w:val="0"/>
      <w:spacing w:line="360" w:lineRule="auto"/>
    </w:pPr>
    <w:rPr>
      <w:rFonts w:ascii="Times New Roman" w:hAnsi="Times New Roman"/>
      <w:kern w:val="0"/>
      <w:sz w:val="20"/>
      <w:szCs w:val="24"/>
    </w:rPr>
  </w:style>
  <w:style w:type="paragraph" w:styleId="11">
    <w:name w:val="Body Text"/>
    <w:basedOn w:val="1"/>
    <w:link w:val="34"/>
    <w:qFormat/>
    <w:uiPriority w:val="0"/>
    <w:pPr>
      <w:widowControl/>
      <w:snapToGrid w:val="0"/>
      <w:spacing w:before="60" w:after="160" w:line="259" w:lineRule="auto"/>
      <w:ind w:right="113"/>
    </w:pPr>
    <w:rPr>
      <w:kern w:val="0"/>
      <w:sz w:val="18"/>
      <w:szCs w:val="20"/>
    </w:rPr>
  </w:style>
  <w:style w:type="paragraph" w:styleId="12">
    <w:name w:val="Block Text"/>
    <w:basedOn w:val="1"/>
    <w:next w:val="1"/>
    <w:qFormat/>
    <w:locked/>
    <w:uiPriority w:val="0"/>
    <w:pPr>
      <w:spacing w:line="320" w:lineRule="exact"/>
      <w:ind w:left="113" w:right="113" w:firstLine="480" w:firstLineChars="200"/>
      <w:jc w:val="center"/>
    </w:pPr>
    <w:rPr>
      <w:b/>
      <w:sz w:val="13"/>
      <w:szCs w:val="15"/>
    </w:rPr>
  </w:style>
  <w:style w:type="paragraph" w:styleId="13">
    <w:name w:val="Plain Text"/>
    <w:basedOn w:val="1"/>
    <w:qFormat/>
    <w:locked/>
    <w:uiPriority w:val="0"/>
    <w:rPr>
      <w:rFonts w:hint="eastAsia" w:ascii="宋体" w:hAnsi="Courier New"/>
      <w:sz w:val="28"/>
      <w:szCs w:val="21"/>
    </w:rPr>
  </w:style>
  <w:style w:type="paragraph" w:styleId="14">
    <w:name w:val="Date"/>
    <w:basedOn w:val="1"/>
    <w:next w:val="1"/>
    <w:link w:val="36"/>
    <w:qFormat/>
    <w:uiPriority w:val="0"/>
    <w:pPr>
      <w:ind w:left="100" w:leftChars="2500"/>
    </w:pPr>
    <w:rPr>
      <w:kern w:val="0"/>
      <w:sz w:val="24"/>
      <w:szCs w:val="20"/>
    </w:rPr>
  </w:style>
  <w:style w:type="paragraph" w:styleId="15">
    <w:name w:val="Body Text Indent 2"/>
    <w:basedOn w:val="1"/>
    <w:next w:val="2"/>
    <w:qFormat/>
    <w:locked/>
    <w:uiPriority w:val="0"/>
    <w:pPr>
      <w:spacing w:after="120" w:line="480" w:lineRule="auto"/>
      <w:ind w:left="420" w:leftChars="200"/>
    </w:pPr>
  </w:style>
  <w:style w:type="paragraph" w:styleId="16">
    <w:name w:val="Balloon Text"/>
    <w:basedOn w:val="1"/>
    <w:link w:val="37"/>
    <w:semiHidden/>
    <w:qFormat/>
    <w:uiPriority w:val="0"/>
    <w:rPr>
      <w:kern w:val="0"/>
      <w:sz w:val="18"/>
      <w:szCs w:val="20"/>
    </w:rPr>
  </w:style>
  <w:style w:type="paragraph" w:styleId="17">
    <w:name w:val="footer"/>
    <w:basedOn w:val="1"/>
    <w:link w:val="38"/>
    <w:qFormat/>
    <w:uiPriority w:val="99"/>
    <w:pPr>
      <w:tabs>
        <w:tab w:val="center" w:pos="4153"/>
        <w:tab w:val="right" w:pos="8306"/>
      </w:tabs>
      <w:snapToGrid w:val="0"/>
      <w:jc w:val="left"/>
    </w:pPr>
    <w:rPr>
      <w:kern w:val="0"/>
      <w:sz w:val="18"/>
      <w:szCs w:val="20"/>
    </w:rPr>
  </w:style>
  <w:style w:type="paragraph" w:styleId="18">
    <w:name w:val="header"/>
    <w:basedOn w:val="1"/>
    <w:link w:val="39"/>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toc 1"/>
    <w:basedOn w:val="1"/>
    <w:next w:val="1"/>
    <w:qFormat/>
    <w:locked/>
    <w:uiPriority w:val="0"/>
  </w:style>
  <w:style w:type="paragraph" w:styleId="20">
    <w:name w:val="table of figures"/>
    <w:basedOn w:val="1"/>
    <w:next w:val="1"/>
    <w:qFormat/>
    <w:locked/>
    <w:uiPriority w:val="99"/>
    <w:pPr>
      <w:ind w:left="200" w:leftChars="200" w:hanging="200" w:hangingChars="200"/>
    </w:pPr>
    <w:rPr>
      <w:rFonts w:ascii="Calibri" w:hAnsi="Calibri"/>
      <w:kern w:val="2"/>
      <w:sz w:val="21"/>
      <w:szCs w:val="22"/>
    </w:rPr>
  </w:style>
  <w:style w:type="paragraph" w:styleId="21">
    <w:name w:val="toc 2"/>
    <w:basedOn w:val="1"/>
    <w:next w:val="1"/>
    <w:qFormat/>
    <w:locked/>
    <w:uiPriority w:val="0"/>
    <w:pPr>
      <w:ind w:left="420" w:leftChars="200"/>
    </w:pPr>
  </w:style>
  <w:style w:type="paragraph" w:styleId="22">
    <w:name w:val="Body Text 2"/>
    <w:basedOn w:val="1"/>
    <w:qFormat/>
    <w:locked/>
    <w:uiPriority w:val="0"/>
    <w:pPr>
      <w:spacing w:after="120" w:line="480" w:lineRule="auto"/>
    </w:pPr>
  </w:style>
  <w:style w:type="paragraph" w:styleId="23">
    <w:name w:val="Normal (Web)"/>
    <w:basedOn w:val="1"/>
    <w:link w:val="40"/>
    <w:qFormat/>
    <w:uiPriority w:val="0"/>
    <w:pPr>
      <w:widowControl/>
      <w:spacing w:before="100" w:beforeAutospacing="1" w:after="100" w:afterAutospacing="1"/>
      <w:jc w:val="left"/>
    </w:pPr>
    <w:rPr>
      <w:rFonts w:ascii="宋体" w:hAnsi="宋体"/>
      <w:kern w:val="0"/>
      <w:sz w:val="24"/>
      <w:szCs w:val="20"/>
    </w:rPr>
  </w:style>
  <w:style w:type="paragraph" w:styleId="24">
    <w:name w:val="annotation subject"/>
    <w:basedOn w:val="9"/>
    <w:next w:val="9"/>
    <w:link w:val="41"/>
    <w:semiHidden/>
    <w:qFormat/>
    <w:uiPriority w:val="0"/>
    <w:rPr>
      <w:b/>
      <w:sz w:val="24"/>
      <w:szCs w:val="20"/>
    </w:rPr>
  </w:style>
  <w:style w:type="paragraph" w:styleId="25">
    <w:name w:val="Body Text First Indent"/>
    <w:basedOn w:val="11"/>
    <w:next w:val="20"/>
    <w:qFormat/>
    <w:locked/>
    <w:uiPriority w:val="0"/>
    <w:pPr>
      <w:widowControl w:val="0"/>
      <w:spacing w:after="120"/>
      <w:ind w:firstLine="420"/>
      <w:jc w:val="both"/>
    </w:pPr>
    <w:rPr>
      <w:rFonts w:ascii="Times New Roman"/>
      <w:sz w:val="24"/>
      <w:lang w:val="en-US" w:eastAsia="zh-CN" w:bidi="ar-SA"/>
    </w:rPr>
  </w:style>
  <w:style w:type="table" w:styleId="27">
    <w:name w:val="Table Grid"/>
    <w:basedOn w:val="26"/>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locked/>
    <w:uiPriority w:val="22"/>
    <w:rPr>
      <w:b/>
    </w:rPr>
  </w:style>
  <w:style w:type="character" w:styleId="30">
    <w:name w:val="page number"/>
    <w:basedOn w:val="28"/>
    <w:qFormat/>
    <w:locked/>
    <w:uiPriority w:val="0"/>
  </w:style>
  <w:style w:type="character" w:styleId="31">
    <w:name w:val="Hyperlink"/>
    <w:basedOn w:val="28"/>
    <w:qFormat/>
    <w:locked/>
    <w:uiPriority w:val="0"/>
    <w:rPr>
      <w:color w:val="0000FF"/>
      <w:u w:val="single"/>
    </w:rPr>
  </w:style>
  <w:style w:type="character" w:styleId="32">
    <w:name w:val="annotation reference"/>
    <w:semiHidden/>
    <w:qFormat/>
    <w:uiPriority w:val="0"/>
    <w:rPr>
      <w:sz w:val="21"/>
    </w:rPr>
  </w:style>
  <w:style w:type="character" w:customStyle="1" w:styleId="33">
    <w:name w:val="批注文字 Char"/>
    <w:link w:val="9"/>
    <w:qFormat/>
    <w:locked/>
    <w:uiPriority w:val="0"/>
    <w:rPr>
      <w:rFonts w:ascii="Times New Roman" w:hAnsi="Times New Roman" w:eastAsia="宋体"/>
      <w:sz w:val="24"/>
    </w:rPr>
  </w:style>
  <w:style w:type="character" w:customStyle="1" w:styleId="34">
    <w:name w:val="正文文本 Char"/>
    <w:link w:val="11"/>
    <w:qFormat/>
    <w:locked/>
    <w:uiPriority w:val="0"/>
    <w:rPr>
      <w:sz w:val="18"/>
    </w:rPr>
  </w:style>
  <w:style w:type="character" w:customStyle="1" w:styleId="35">
    <w:name w:val="正文文本缩进 Char"/>
    <w:link w:val="3"/>
    <w:semiHidden/>
    <w:qFormat/>
    <w:locked/>
    <w:uiPriority w:val="0"/>
    <w:rPr>
      <w:rFonts w:ascii="Times New Roman" w:hAnsi="Times New Roman" w:eastAsia="宋体"/>
      <w:sz w:val="24"/>
    </w:rPr>
  </w:style>
  <w:style w:type="character" w:customStyle="1" w:styleId="36">
    <w:name w:val="日期 Char"/>
    <w:link w:val="14"/>
    <w:qFormat/>
    <w:locked/>
    <w:uiPriority w:val="0"/>
    <w:rPr>
      <w:rFonts w:ascii="Times New Roman" w:hAnsi="Times New Roman" w:eastAsia="宋体"/>
      <w:sz w:val="24"/>
    </w:rPr>
  </w:style>
  <w:style w:type="character" w:customStyle="1" w:styleId="37">
    <w:name w:val="批注框文本 Char"/>
    <w:link w:val="16"/>
    <w:semiHidden/>
    <w:qFormat/>
    <w:locked/>
    <w:uiPriority w:val="0"/>
    <w:rPr>
      <w:rFonts w:ascii="Times New Roman" w:hAnsi="Times New Roman" w:eastAsia="宋体"/>
      <w:sz w:val="18"/>
    </w:rPr>
  </w:style>
  <w:style w:type="character" w:customStyle="1" w:styleId="38">
    <w:name w:val="页脚 Char"/>
    <w:link w:val="17"/>
    <w:qFormat/>
    <w:locked/>
    <w:uiPriority w:val="99"/>
    <w:rPr>
      <w:sz w:val="18"/>
    </w:rPr>
  </w:style>
  <w:style w:type="character" w:customStyle="1" w:styleId="39">
    <w:name w:val="页眉 Char"/>
    <w:link w:val="18"/>
    <w:qFormat/>
    <w:locked/>
    <w:uiPriority w:val="0"/>
    <w:rPr>
      <w:sz w:val="18"/>
    </w:rPr>
  </w:style>
  <w:style w:type="character" w:customStyle="1" w:styleId="40">
    <w:name w:val="普通(网站) Char"/>
    <w:link w:val="23"/>
    <w:qFormat/>
    <w:locked/>
    <w:uiPriority w:val="0"/>
    <w:rPr>
      <w:rFonts w:ascii="宋体" w:hAnsi="宋体" w:eastAsia="宋体"/>
      <w:sz w:val="24"/>
    </w:rPr>
  </w:style>
  <w:style w:type="character" w:customStyle="1" w:styleId="41">
    <w:name w:val="批注主题 Char"/>
    <w:link w:val="24"/>
    <w:semiHidden/>
    <w:qFormat/>
    <w:locked/>
    <w:uiPriority w:val="0"/>
    <w:rPr>
      <w:rFonts w:ascii="Times New Roman" w:hAnsi="Times New Roman" w:eastAsia="宋体"/>
      <w:b/>
      <w:kern w:val="2"/>
      <w:sz w:val="24"/>
    </w:rPr>
  </w:style>
  <w:style w:type="paragraph" w:customStyle="1" w:styleId="42">
    <w:name w:val="Default"/>
    <w:basedOn w:val="43"/>
    <w:qFormat/>
    <w:uiPriority w:val="0"/>
    <w:pPr>
      <w:widowControl w:val="0"/>
      <w:autoSpaceDE w:val="0"/>
      <w:autoSpaceDN w:val="0"/>
      <w:adjustRightInd w:val="0"/>
    </w:pPr>
    <w:rPr>
      <w:rFonts w:ascii="宋体" w:hAnsi="Times New Roman" w:eastAsia="宋体" w:cs="宋体"/>
      <w:color w:val="000000"/>
      <w:kern w:val="2"/>
      <w:sz w:val="21"/>
      <w:szCs w:val="24"/>
      <w:lang w:val="en-US" w:eastAsia="zh-CN" w:bidi="ar-SA"/>
    </w:rPr>
  </w:style>
  <w:style w:type="paragraph" w:customStyle="1" w:styleId="43">
    <w:name w:val="纯文本1"/>
    <w:basedOn w:val="1"/>
    <w:qFormat/>
    <w:uiPriority w:val="99"/>
    <w:pPr>
      <w:autoSpaceDE w:val="0"/>
      <w:autoSpaceDN w:val="0"/>
      <w:adjustRightInd w:val="0"/>
      <w:textAlignment w:val="baseline"/>
    </w:pPr>
    <w:rPr>
      <w:rFonts w:ascii="宋体"/>
      <w:szCs w:val="20"/>
    </w:rPr>
  </w:style>
  <w:style w:type="paragraph" w:customStyle="1" w:styleId="44">
    <w:name w:val=" Char"/>
    <w:basedOn w:val="1"/>
    <w:qFormat/>
    <w:uiPriority w:val="0"/>
    <w:rPr>
      <w:rFonts w:ascii="Times New Roman" w:hAnsi="Times New Roman"/>
      <w:szCs w:val="24"/>
    </w:rPr>
  </w:style>
  <w:style w:type="paragraph" w:customStyle="1" w:styleId="45">
    <w:name w:val="样式3"/>
    <w:basedOn w:val="19"/>
    <w:next w:val="46"/>
    <w:qFormat/>
    <w:uiPriority w:val="0"/>
    <w:pPr>
      <w:autoSpaceDE w:val="0"/>
      <w:autoSpaceDN w:val="0"/>
      <w:snapToGrid w:val="0"/>
      <w:spacing w:before="120" w:line="460" w:lineRule="atLeast"/>
      <w:jc w:val="center"/>
    </w:pPr>
    <w:rPr>
      <w:rFonts w:eastAsia="黑体"/>
      <w:sz w:val="28"/>
    </w:rPr>
  </w:style>
  <w:style w:type="paragraph" w:customStyle="1" w:styleId="46">
    <w:name w:val="目录 53"/>
    <w:basedOn w:val="1"/>
    <w:next w:val="1"/>
    <w:qFormat/>
    <w:uiPriority w:val="0"/>
    <w:pPr>
      <w:ind w:left="840"/>
    </w:pPr>
    <w:rPr>
      <w:rFonts w:cs="宋体"/>
      <w:color w:val="000000"/>
    </w:rPr>
  </w:style>
  <w:style w:type="character" w:customStyle="1" w:styleId="47">
    <w:name w:val="页脚 字符"/>
    <w:basedOn w:val="28"/>
    <w:qFormat/>
    <w:uiPriority w:val="99"/>
  </w:style>
  <w:style w:type="character" w:customStyle="1" w:styleId="48">
    <w:name w:val="正文文本 字符1"/>
    <w:semiHidden/>
    <w:qFormat/>
    <w:uiPriority w:val="0"/>
    <w:rPr>
      <w:rFonts w:ascii="Times New Roman" w:hAnsi="Times New Roman" w:eastAsia="宋体"/>
      <w:sz w:val="24"/>
    </w:rPr>
  </w:style>
  <w:style w:type="character" w:customStyle="1" w:styleId="49">
    <w:name w:val="表格 Char"/>
    <w:link w:val="50"/>
    <w:qFormat/>
    <w:locked/>
    <w:uiPriority w:val="0"/>
    <w:rPr>
      <w:rFonts w:ascii="宋体"/>
      <w:sz w:val="21"/>
    </w:rPr>
  </w:style>
  <w:style w:type="paragraph" w:customStyle="1" w:styleId="50">
    <w:name w:val="表格"/>
    <w:basedOn w:val="1"/>
    <w:next w:val="1"/>
    <w:link w:val="49"/>
    <w:qFormat/>
    <w:uiPriority w:val="0"/>
    <w:pPr>
      <w:adjustRightInd w:val="0"/>
      <w:snapToGrid w:val="0"/>
      <w:spacing w:beforeLines="10" w:afterLines="10" w:line="259" w:lineRule="auto"/>
      <w:jc w:val="center"/>
    </w:pPr>
    <w:rPr>
      <w:rFonts w:ascii="宋体"/>
      <w:kern w:val="0"/>
      <w:szCs w:val="20"/>
    </w:rPr>
  </w:style>
  <w:style w:type="character" w:customStyle="1" w:styleId="51">
    <w:name w:val="日期 字符"/>
    <w:semiHidden/>
    <w:qFormat/>
    <w:uiPriority w:val="0"/>
    <w:rPr>
      <w:rFonts w:ascii="Times New Roman" w:hAnsi="Times New Roman" w:eastAsia="宋体"/>
      <w:sz w:val="24"/>
    </w:rPr>
  </w:style>
  <w:style w:type="character" w:customStyle="1" w:styleId="52">
    <w:name w:val="批注文字 字符1"/>
    <w:semiHidden/>
    <w:qFormat/>
    <w:uiPriority w:val="0"/>
    <w:rPr>
      <w:rFonts w:ascii="Times New Roman" w:hAnsi="Times New Roman" w:eastAsia="宋体"/>
      <w:sz w:val="24"/>
    </w:rPr>
  </w:style>
  <w:style w:type="paragraph" w:customStyle="1" w:styleId="5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4">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5">
    <w:name w:val="图表标题"/>
    <w:basedOn w:val="15"/>
    <w:qFormat/>
    <w:uiPriority w:val="0"/>
    <w:pPr>
      <w:spacing w:beforeLines="50" w:after="0" w:line="240" w:lineRule="auto"/>
      <w:ind w:left="0" w:leftChars="0" w:firstLine="200" w:firstLineChars="200"/>
      <w:jc w:val="center"/>
    </w:pPr>
    <w:rPr>
      <w:rFonts w:ascii="宋体" w:hAnsi="宋体" w:eastAsia="黑体"/>
      <w:kern w:val="0"/>
      <w:sz w:val="24"/>
      <w:szCs w:val="22"/>
    </w:rPr>
  </w:style>
  <w:style w:type="paragraph" w:customStyle="1" w:styleId="56">
    <w:name w:val="（新格式）表格"/>
    <w:basedOn w:val="57"/>
    <w:qFormat/>
    <w:uiPriority w:val="0"/>
    <w:pPr>
      <w:topLinePunct/>
    </w:pPr>
    <w:rPr>
      <w:rFonts w:hint="eastAsia" w:ascii="Times New Roman" w:hAnsi="Times New Roman"/>
      <w:sz w:val="21"/>
    </w:rPr>
  </w:style>
  <w:style w:type="paragraph" w:customStyle="1" w:styleId="57">
    <w:name w:val="表格（方）"/>
    <w:qFormat/>
    <w:uiPriority w:val="0"/>
    <w:pPr>
      <w:spacing w:before="20" w:beforeLines="20" w:after="20" w:afterLines="20"/>
      <w:jc w:val="center"/>
    </w:pPr>
    <w:rPr>
      <w:rFonts w:ascii="Times New Roman" w:hAnsi="Times New Roman" w:eastAsia="宋体" w:cs="Times New Roman"/>
      <w:snapToGrid w:val="0"/>
      <w:sz w:val="21"/>
      <w:lang w:val="en-US" w:eastAsia="zh-CN" w:bidi="ar-SA"/>
    </w:rPr>
  </w:style>
  <w:style w:type="paragraph" w:customStyle="1" w:styleId="58">
    <w:name w:val="Default1"/>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9">
    <w:name w:val="列出段落2"/>
    <w:basedOn w:val="1"/>
    <w:qFormat/>
    <w:uiPriority w:val="99"/>
    <w:pPr>
      <w:ind w:firstLine="420" w:firstLineChars="200"/>
    </w:pPr>
    <w:rPr>
      <w:rFonts w:ascii="Calibri" w:hAnsi="Calibri"/>
      <w:szCs w:val="22"/>
    </w:rPr>
  </w:style>
  <w:style w:type="paragraph" w:customStyle="1" w:styleId="60">
    <w:name w:val="1_正文"/>
    <w:basedOn w:val="1"/>
    <w:qFormat/>
    <w:uiPriority w:val="0"/>
    <w:pPr>
      <w:adjustRightInd w:val="0"/>
      <w:snapToGrid w:val="0"/>
      <w:spacing w:line="360" w:lineRule="auto"/>
      <w:ind w:firstLine="480" w:firstLineChars="200"/>
    </w:pPr>
    <w:rPr>
      <w:color w:val="000000"/>
      <w:sz w:val="24"/>
    </w:rPr>
  </w:style>
  <w:style w:type="paragraph" w:customStyle="1" w:styleId="61">
    <w:name w:val="表格文字"/>
    <w:basedOn w:val="13"/>
    <w:qFormat/>
    <w:uiPriority w:val="0"/>
    <w:pPr>
      <w:spacing w:line="560" w:lineRule="exact"/>
      <w:jc w:val="center"/>
    </w:pPr>
  </w:style>
  <w:style w:type="paragraph" w:customStyle="1" w:styleId="62">
    <w:name w:val="萝卜"/>
    <w:basedOn w:val="1"/>
    <w:qFormat/>
    <w:uiPriority w:val="0"/>
    <w:pPr>
      <w:tabs>
        <w:tab w:val="left" w:pos="540"/>
      </w:tabs>
      <w:spacing w:line="360" w:lineRule="auto"/>
      <w:ind w:firstLine="200" w:firstLineChars="200"/>
    </w:pPr>
    <w:rPr>
      <w:sz w:val="24"/>
    </w:rPr>
  </w:style>
  <w:style w:type="character" w:customStyle="1" w:styleId="63">
    <w:name w:val="font31"/>
    <w:basedOn w:val="28"/>
    <w:qFormat/>
    <w:uiPriority w:val="0"/>
    <w:rPr>
      <w:rFonts w:hint="default" w:ascii="Times New Roman" w:hAnsi="Times New Roman" w:cs="Times New Roman"/>
      <w:color w:val="000000"/>
      <w:sz w:val="21"/>
      <w:szCs w:val="21"/>
      <w:u w:val="none"/>
    </w:rPr>
  </w:style>
  <w:style w:type="character" w:customStyle="1" w:styleId="64">
    <w:name w:val="font21"/>
    <w:basedOn w:val="28"/>
    <w:qFormat/>
    <w:uiPriority w:val="0"/>
    <w:rPr>
      <w:rFonts w:hint="eastAsia" w:ascii="宋体" w:hAnsi="宋体" w:eastAsia="宋体" w:cs="宋体"/>
      <w:color w:val="000000"/>
      <w:sz w:val="21"/>
      <w:szCs w:val="21"/>
      <w:u w:val="none"/>
    </w:rPr>
  </w:style>
  <w:style w:type="paragraph" w:customStyle="1" w:styleId="65">
    <w:name w:val="表头111"/>
    <w:basedOn w:val="1"/>
    <w:qFormat/>
    <w:uiPriority w:val="0"/>
    <w:pPr>
      <w:numPr>
        <w:ilvl w:val="0"/>
        <w:numId w:val="1"/>
      </w:numPr>
      <w:jc w:val="center"/>
    </w:pPr>
    <w:rPr>
      <w:b/>
      <w:sz w:val="24"/>
      <w:szCs w:val="21"/>
    </w:rPr>
  </w:style>
  <w:style w:type="paragraph" w:customStyle="1" w:styleId="66">
    <w:name w:val="惠泽正文"/>
    <w:basedOn w:val="1"/>
    <w:qFormat/>
    <w:uiPriority w:val="0"/>
    <w:pPr>
      <w:spacing w:line="480" w:lineRule="exact"/>
      <w:ind w:firstLine="480" w:firstLineChars="200"/>
    </w:pPr>
    <w:rPr>
      <w:rFonts w:hAnsi="宋体" w:cs="宋体"/>
      <w:sz w:val="24"/>
      <w:szCs w:val="20"/>
    </w:rPr>
  </w:style>
  <w:style w:type="paragraph" w:customStyle="1" w:styleId="67">
    <w:name w:val="Table Paragraph"/>
    <w:basedOn w:val="1"/>
    <w:qFormat/>
    <w:uiPriority w:val="0"/>
    <w:pPr>
      <w:widowControl/>
      <w:jc w:val="left"/>
    </w:pPr>
    <w:rPr>
      <w:rFonts w:ascii="Calibri" w:hAnsi="Calibri"/>
      <w:kern w:val="0"/>
      <w:sz w:val="22"/>
      <w:szCs w:val="22"/>
    </w:rPr>
  </w:style>
  <w:style w:type="paragraph" w:customStyle="1" w:styleId="68">
    <w:name w:val="报告表格"/>
    <w:qFormat/>
    <w:uiPriority w:val="0"/>
    <w:pPr>
      <w:autoSpaceDE w:val="0"/>
      <w:autoSpaceDN w:val="0"/>
      <w:adjustRightInd w:val="0"/>
      <w:jc w:val="center"/>
      <w:textAlignment w:val="bottom"/>
    </w:pPr>
    <w:rPr>
      <w:rFonts w:ascii="Times New Roman" w:hAnsi="Times New Roman" w:eastAsia="宋体" w:cs="Times New Roman"/>
      <w:sz w:val="21"/>
      <w:lang w:val="en-US" w:eastAsia="zh-CN" w:bidi="ar-SA"/>
    </w:rPr>
  </w:style>
  <w:style w:type="paragraph" w:customStyle="1" w:styleId="69">
    <w:name w:val="样式 样式 样式 首行缩进:  1 字符 + 首行缩进:  2 字符2 + 首行缩进:  2 字符"/>
    <w:basedOn w:val="1"/>
    <w:qFormat/>
    <w:uiPriority w:val="99"/>
    <w:pPr>
      <w:spacing w:line="360" w:lineRule="auto"/>
      <w:ind w:firstLine="480" w:firstLineChars="200"/>
    </w:pPr>
    <w:rPr>
      <w:rFonts w:ascii="宋体" w:hAnsi="宋体" w:cs="宋体"/>
      <w:sz w:val="24"/>
    </w:rPr>
  </w:style>
  <w:style w:type="paragraph" w:customStyle="1" w:styleId="70">
    <w:name w:val="报告书正文"/>
    <w:basedOn w:val="1"/>
    <w:qFormat/>
    <w:uiPriority w:val="0"/>
    <w:pPr>
      <w:spacing w:line="300" w:lineRule="auto"/>
      <w:ind w:firstLine="480"/>
    </w:pPr>
  </w:style>
  <w:style w:type="paragraph" w:customStyle="1" w:styleId="71">
    <w:name w:val="报告表正文"/>
    <w:basedOn w:val="1"/>
    <w:qFormat/>
    <w:uiPriority w:val="99"/>
    <w:pPr>
      <w:adjustRightInd w:val="0"/>
      <w:spacing w:line="312" w:lineRule="auto"/>
      <w:ind w:left="113" w:right="113" w:firstLine="482"/>
      <w:jc w:val="left"/>
    </w:pPr>
    <w:rPr>
      <w:kern w:val="0"/>
      <w:sz w:val="24"/>
      <w:szCs w:val="21"/>
    </w:rPr>
  </w:style>
  <w:style w:type="paragraph" w:customStyle="1" w:styleId="72">
    <w:name w:val="正文格式"/>
    <w:basedOn w:val="73"/>
    <w:qFormat/>
    <w:uiPriority w:val="0"/>
    <w:pPr>
      <w:spacing w:line="360" w:lineRule="auto"/>
      <w:ind w:firstLine="480" w:firstLineChars="200"/>
    </w:pPr>
  </w:style>
  <w:style w:type="paragraph" w:customStyle="1" w:styleId="73">
    <w:name w:val="样式 (符号) 宋体 小四 首行缩进:  0.95 厘米 行距: 1.5 倍行距"/>
    <w:basedOn w:val="1"/>
    <w:qFormat/>
    <w:uiPriority w:val="0"/>
    <w:pPr>
      <w:spacing w:line="360" w:lineRule="auto"/>
      <w:ind w:firstLine="200" w:firstLineChars="200"/>
    </w:pPr>
    <w:rPr>
      <w:rFonts w:hAnsi="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"/>
    </extobj>
    <extobj name="F360BE8B-6686-4F3D-AEAF-501FE73E4058-2">
      <extobjdata type="F360BE8B-6686-4F3D-AEAF-501FE73E4058" data="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"/>
    </extobj>
    <extobj name="F360BE8B-6686-4F3D-AEAF-501FE73E4058-3">
      <extobjdata type="F360BE8B-6686-4F3D-AEAF-501FE73E4058" data="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58</Pages>
  <Words>3259</Words>
  <Characters>3444</Characters>
  <Lines>13</Lines>
  <Paragraphs>3</Paragraphs>
  <TotalTime>110</TotalTime>
  <ScaleCrop>false</ScaleCrop>
  <LinksUpToDate>false</LinksUpToDate>
  <CharactersWithSpaces>3505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Lenovo</cp:lastModifiedBy>
  <cp:lastPrinted>2020-12-29T02:43:00Z</cp:lastPrinted>
  <dcterms:modified xsi:type="dcterms:W3CDTF">2026-01-07T05:59:15Z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CF4944DEC1FD484EA607424EBEB08054_13</vt:lpwstr>
  </property>
  <property fmtid="{D5CDD505-2E9C-101B-9397-08002B2CF9AE}" pid="4" name="KSOTemplateDocerSaveRecord">
    <vt:lpwstr>eyJoZGlkIjoiNTFkYjFlNWE1ZmUzNmI1NGY4OTkyZWY3NTNmOWJjN2YifQ==</vt:lpwstr>
  </property>
</Properties>
</file>