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D6FBC6">
      <w:pPr>
        <w:rPr>
          <w:rFonts w:hint="default" w:ascii="Times New Roman" w:hAnsi="Times New Roman" w:eastAsia="仿宋_GB2312" w:cs="Times New Roman"/>
          <w:sz w:val="36"/>
          <w:szCs w:val="36"/>
        </w:rPr>
      </w:pPr>
    </w:p>
    <w:p w14:paraId="6C56B7DD">
      <w:pPr>
        <w:rPr>
          <w:rFonts w:hint="default" w:ascii="Times New Roman" w:hAnsi="Times New Roman" w:eastAsia="仿宋_GB2312" w:cs="Times New Roman"/>
          <w:sz w:val="36"/>
          <w:szCs w:val="36"/>
        </w:rPr>
      </w:pPr>
    </w:p>
    <w:p w14:paraId="56E51C8E">
      <w:pPr>
        <w:rPr>
          <w:rFonts w:hint="default" w:ascii="Times New Roman" w:hAnsi="Times New Roman" w:eastAsia="仿宋_GB2312" w:cs="Times New Roman"/>
          <w:sz w:val="36"/>
          <w:szCs w:val="36"/>
        </w:rPr>
      </w:pPr>
    </w:p>
    <w:p w14:paraId="5AC55D96">
      <w:pPr>
        <w:rPr>
          <w:rFonts w:hint="default" w:ascii="Times New Roman" w:hAnsi="Times New Roman" w:eastAsia="仿宋_GB2312" w:cs="Times New Roman"/>
          <w:sz w:val="36"/>
          <w:szCs w:val="36"/>
        </w:rPr>
      </w:pPr>
    </w:p>
    <w:p w14:paraId="1DAB9DA2">
      <w:pPr>
        <w:rPr>
          <w:rFonts w:hint="default" w:ascii="Times New Roman" w:hAnsi="Times New Roman" w:eastAsia="仿宋_GB2312" w:cs="Times New Roman"/>
          <w:sz w:val="36"/>
          <w:szCs w:val="36"/>
        </w:rPr>
      </w:pPr>
    </w:p>
    <w:p w14:paraId="594568E9">
      <w:pPr>
        <w:rPr>
          <w:rFonts w:hint="default" w:ascii="Times New Roman" w:hAnsi="Times New Roman" w:eastAsia="仿宋_GB2312" w:cs="Times New Roman"/>
          <w:sz w:val="36"/>
          <w:szCs w:val="36"/>
        </w:rPr>
      </w:pPr>
    </w:p>
    <w:p w14:paraId="3DFF2F29">
      <w:pPr>
        <w:rPr>
          <w:rFonts w:hint="default" w:ascii="Times New Roman" w:hAnsi="Times New Roman" w:eastAsia="仿宋_GB2312" w:cs="Times New Roman"/>
          <w:sz w:val="36"/>
          <w:szCs w:val="36"/>
        </w:rPr>
      </w:pPr>
    </w:p>
    <w:p w14:paraId="35B4BF17">
      <w:pPr>
        <w:adjustRightInd w:val="0"/>
        <w:snapToGrid w:val="0"/>
        <w:jc w:val="center"/>
        <w:outlineLvl w:val="0"/>
        <w:rPr>
          <w:rFonts w:hint="default" w:ascii="Times New Roman" w:hAnsi="Times New Roman" w:eastAsia="方正小标宋_GBK" w:cs="Times New Roman"/>
          <w:bCs/>
          <w:sz w:val="72"/>
          <w:szCs w:val="72"/>
        </w:rPr>
      </w:pPr>
      <w:bookmarkStart w:id="0" w:name="_Toc1592"/>
      <w:r>
        <w:rPr>
          <w:rFonts w:hint="default" w:ascii="Times New Roman" w:hAnsi="Times New Roman" w:eastAsia="方正小标宋_GBK" w:cs="Times New Roman"/>
          <w:bCs/>
          <w:sz w:val="72"/>
          <w:szCs w:val="72"/>
        </w:rPr>
        <w:t>建设项目环境影响报告表</w:t>
      </w:r>
      <w:bookmarkEnd w:id="0"/>
    </w:p>
    <w:p w14:paraId="2CCAB799">
      <w:pPr>
        <w:adjustRightInd w:val="0"/>
        <w:snapToGrid w:val="0"/>
        <w:spacing w:before="192" w:beforeLines="80"/>
        <w:jc w:val="center"/>
        <w:rPr>
          <w:rFonts w:hint="default" w:ascii="Times New Roman" w:hAnsi="Times New Roman" w:eastAsia="楷体_GB2312" w:cs="Times New Roman"/>
          <w:bCs/>
          <w:sz w:val="48"/>
          <w:szCs w:val="48"/>
        </w:rPr>
      </w:pPr>
      <w:r>
        <w:rPr>
          <w:rFonts w:hint="default" w:ascii="Times New Roman" w:hAnsi="Times New Roman" w:eastAsia="楷体_GB2312" w:cs="Times New Roman"/>
          <w:bCs/>
          <w:sz w:val="48"/>
          <w:szCs w:val="48"/>
        </w:rPr>
        <w:t>（污染影响类）</w:t>
      </w:r>
    </w:p>
    <w:p w14:paraId="755F6696">
      <w:pPr>
        <w:adjustRightInd w:val="0"/>
        <w:snapToGrid w:val="0"/>
        <w:spacing w:line="288" w:lineRule="auto"/>
        <w:jc w:val="center"/>
        <w:outlineLvl w:val="9"/>
        <w:rPr>
          <w:rFonts w:hint="default" w:ascii="Times New Roman" w:hAnsi="Times New Roman" w:eastAsia="华文仿宋" w:cs="Times New Roman"/>
          <w:color w:val="000000"/>
          <w:kern w:val="44"/>
          <w:sz w:val="44"/>
          <w:szCs w:val="44"/>
        </w:rPr>
      </w:pPr>
    </w:p>
    <w:p w14:paraId="2A50C3A6">
      <w:pPr>
        <w:jc w:val="center"/>
        <w:rPr>
          <w:rFonts w:hint="default" w:ascii="Times New Roman" w:hAnsi="Times New Roman" w:eastAsia="仿宋" w:cs="Times New Roman"/>
          <w:sz w:val="52"/>
          <w:szCs w:val="52"/>
        </w:rPr>
      </w:pPr>
    </w:p>
    <w:p w14:paraId="0204A213">
      <w:pPr>
        <w:ind w:firstLine="1040"/>
        <w:rPr>
          <w:rFonts w:hint="default" w:ascii="Times New Roman" w:hAnsi="Times New Roman" w:eastAsia="仿宋" w:cs="Times New Roman"/>
          <w:sz w:val="44"/>
          <w:szCs w:val="44"/>
        </w:rPr>
      </w:pPr>
    </w:p>
    <w:p w14:paraId="7B977794">
      <w:pPr>
        <w:ind w:firstLine="1040"/>
        <w:rPr>
          <w:rFonts w:hint="default" w:ascii="Times New Roman" w:hAnsi="Times New Roman" w:eastAsia="仿宋" w:cs="Times New Roman"/>
          <w:sz w:val="44"/>
          <w:szCs w:val="44"/>
        </w:rPr>
      </w:pPr>
    </w:p>
    <w:p w14:paraId="669B972D">
      <w:pPr>
        <w:ind w:firstLine="1040"/>
        <w:rPr>
          <w:rFonts w:hint="default" w:ascii="Times New Roman" w:hAnsi="Times New Roman" w:eastAsia="仿宋" w:cs="Times New Roman"/>
          <w:sz w:val="44"/>
          <w:szCs w:val="44"/>
        </w:rPr>
      </w:pPr>
    </w:p>
    <w:p w14:paraId="16A6D123">
      <w:pPr>
        <w:ind w:firstLine="1040"/>
        <w:rPr>
          <w:rFonts w:hint="default" w:ascii="Times New Roman" w:hAnsi="Times New Roman" w:eastAsia="仿宋" w:cs="Times New Roman"/>
          <w:sz w:val="44"/>
          <w:szCs w:val="44"/>
        </w:rPr>
      </w:pPr>
    </w:p>
    <w:p w14:paraId="697AF4B5">
      <w:pPr>
        <w:adjustRightInd w:val="0"/>
        <w:snapToGrid w:val="0"/>
        <w:spacing w:line="288" w:lineRule="auto"/>
        <w:ind w:left="0" w:leftChars="0" w:firstLine="0" w:firstLineChars="0"/>
        <w:rPr>
          <w:rFonts w:hint="default" w:ascii="Times New Roman" w:hAnsi="Times New Roman" w:eastAsia="仿宋_GB2312" w:cs="Times New Roman"/>
          <w:sz w:val="36"/>
          <w:szCs w:val="36"/>
          <w:u w:val="single"/>
          <w:lang w:val="en-US" w:eastAsia="zh-CN"/>
        </w:rPr>
      </w:pPr>
      <w:r>
        <w:rPr>
          <w:rFonts w:hint="default" w:ascii="Times New Roman" w:hAnsi="Times New Roman" w:eastAsia="仿宋_GB2312" w:cs="Times New Roman"/>
          <w:sz w:val="36"/>
          <w:szCs w:val="36"/>
        </w:rPr>
        <w:t>项目名称：</w:t>
      </w:r>
      <w:r>
        <w:rPr>
          <w:rFonts w:hint="default" w:ascii="Times New Roman" w:hAnsi="Times New Roman" w:eastAsia="仿宋_GB2312" w:cs="Times New Roman"/>
          <w:sz w:val="36"/>
          <w:szCs w:val="36"/>
          <w:u w:val="single"/>
          <w:lang w:val="en-US" w:eastAsia="zh-CN"/>
        </w:rPr>
        <w:t xml:space="preserve">    </w:t>
      </w:r>
      <w:r>
        <w:rPr>
          <w:rFonts w:hint="eastAsia" w:ascii="Times New Roman" w:hAnsi="Times New Roman" w:eastAsia="仿宋_GB2312" w:cs="Times New Roman"/>
          <w:sz w:val="36"/>
          <w:szCs w:val="36"/>
          <w:u w:val="single"/>
          <w:lang w:val="en-US" w:eastAsia="zh-CN"/>
        </w:rPr>
        <w:t>高效氢燃料电池膜电极产业化</w:t>
      </w:r>
      <w:r>
        <w:rPr>
          <w:rFonts w:hint="default" w:ascii="Times New Roman" w:hAnsi="Times New Roman" w:eastAsia="仿宋_GB2312" w:cs="Times New Roman"/>
          <w:sz w:val="36"/>
          <w:szCs w:val="36"/>
          <w:u w:val="single"/>
          <w:lang w:val="en-US" w:eastAsia="zh-CN"/>
        </w:rPr>
        <w:t xml:space="preserve">项目          </w:t>
      </w:r>
    </w:p>
    <w:p w14:paraId="3C5D386B">
      <w:pPr>
        <w:adjustRightInd w:val="0"/>
        <w:snapToGrid w:val="0"/>
        <w:spacing w:line="288" w:lineRule="auto"/>
        <w:ind w:left="0" w:leftChars="0" w:firstLine="0" w:firstLineChars="0"/>
        <w:rPr>
          <w:rFonts w:hint="default" w:ascii="Times New Roman" w:hAnsi="Times New Roman" w:eastAsia="仿宋_GB2312" w:cs="Times New Roman"/>
          <w:sz w:val="36"/>
          <w:szCs w:val="36"/>
          <w:u w:val="single"/>
          <w:lang w:val="en-US"/>
        </w:rPr>
      </w:pPr>
      <w:r>
        <w:rPr>
          <w:rFonts w:hint="default" w:ascii="Times New Roman" w:hAnsi="Times New Roman" w:eastAsia="仿宋_GB2312" w:cs="Times New Roman"/>
          <w:sz w:val="36"/>
          <w:szCs w:val="36"/>
        </w:rPr>
        <w:t>建设单位（盖章）：</w:t>
      </w:r>
      <w:r>
        <w:rPr>
          <w:rFonts w:hint="default" w:ascii="Times New Roman" w:hAnsi="Times New Roman" w:eastAsia="仿宋_GB2312" w:cs="Times New Roman"/>
          <w:sz w:val="36"/>
          <w:szCs w:val="36"/>
          <w:u w:val="single"/>
          <w:lang w:val="en-US" w:eastAsia="zh-CN"/>
        </w:rPr>
        <w:t xml:space="preserve"> 陕西</w:t>
      </w:r>
      <w:r>
        <w:rPr>
          <w:rFonts w:hint="eastAsia" w:ascii="Times New Roman" w:hAnsi="Times New Roman" w:eastAsia="仿宋_GB2312" w:cs="Times New Roman"/>
          <w:sz w:val="36"/>
          <w:szCs w:val="36"/>
          <w:u w:val="single"/>
          <w:lang w:val="en-US" w:eastAsia="zh-CN"/>
        </w:rPr>
        <w:t>盛世氢芯科技</w:t>
      </w:r>
      <w:r>
        <w:rPr>
          <w:rFonts w:hint="default" w:ascii="Times New Roman" w:hAnsi="Times New Roman" w:eastAsia="仿宋_GB2312" w:cs="Times New Roman"/>
          <w:sz w:val="36"/>
          <w:szCs w:val="36"/>
          <w:u w:val="single"/>
          <w:lang w:val="en-US" w:eastAsia="zh-CN"/>
        </w:rPr>
        <w:t xml:space="preserve">有限公司 </w:t>
      </w:r>
      <w:r>
        <w:rPr>
          <w:rFonts w:hint="eastAsia" w:ascii="Times New Roman" w:hAnsi="Times New Roman" w:eastAsia="仿宋_GB2312" w:cs="Times New Roman"/>
          <w:sz w:val="36"/>
          <w:szCs w:val="36"/>
          <w:u w:val="single"/>
          <w:lang w:val="en-US" w:eastAsia="zh-CN"/>
        </w:rPr>
        <w:t xml:space="preserve">    </w:t>
      </w:r>
      <w:r>
        <w:rPr>
          <w:rFonts w:hint="default" w:ascii="Times New Roman" w:hAnsi="Times New Roman" w:eastAsia="仿宋_GB2312" w:cs="Times New Roman"/>
          <w:sz w:val="36"/>
          <w:szCs w:val="36"/>
          <w:u w:val="single"/>
          <w:lang w:val="en-US" w:eastAsia="zh-CN"/>
        </w:rPr>
        <w:t xml:space="preserve"> </w:t>
      </w:r>
    </w:p>
    <w:p w14:paraId="3060A0CB">
      <w:pPr>
        <w:adjustRightInd w:val="0"/>
        <w:snapToGrid w:val="0"/>
        <w:spacing w:line="288" w:lineRule="auto"/>
        <w:ind w:left="0" w:leftChars="0" w:firstLine="0" w:firstLineChars="0"/>
        <w:rPr>
          <w:rFonts w:hint="default" w:ascii="Times New Roman" w:hAnsi="Times New Roman" w:eastAsia="仿宋_GB2312" w:cs="Times New Roman"/>
          <w:sz w:val="36"/>
          <w:szCs w:val="36"/>
          <w:u w:val="single"/>
        </w:rPr>
      </w:pPr>
      <w:r>
        <w:rPr>
          <w:rFonts w:hint="default" w:ascii="Times New Roman" w:hAnsi="Times New Roman" w:eastAsia="仿宋_GB2312" w:cs="Times New Roman"/>
          <w:sz w:val="36"/>
          <w:szCs w:val="36"/>
        </w:rPr>
        <w:t>编制日期：</w:t>
      </w:r>
      <w:r>
        <w:rPr>
          <w:rFonts w:hint="default" w:ascii="Times New Roman" w:hAnsi="Times New Roman" w:eastAsia="仿宋_GB2312" w:cs="Times New Roman"/>
          <w:sz w:val="36"/>
          <w:szCs w:val="36"/>
          <w:u w:val="single"/>
        </w:rPr>
        <w:t xml:space="preserve">    </w:t>
      </w:r>
      <w:r>
        <w:rPr>
          <w:rFonts w:hint="default" w:ascii="Times New Roman" w:hAnsi="Times New Roman" w:eastAsia="仿宋_GB2312" w:cs="Times New Roman"/>
          <w:sz w:val="36"/>
          <w:szCs w:val="36"/>
          <w:u w:val="single"/>
          <w:lang w:val="en-US" w:eastAsia="zh-CN"/>
        </w:rPr>
        <w:t xml:space="preserve">      </w:t>
      </w:r>
      <w:r>
        <w:rPr>
          <w:rFonts w:hint="default" w:ascii="Times New Roman" w:hAnsi="Times New Roman" w:eastAsia="仿宋_GB2312" w:cs="Times New Roman"/>
          <w:sz w:val="36"/>
          <w:szCs w:val="36"/>
          <w:u w:val="single"/>
        </w:rPr>
        <w:t xml:space="preserve">  </w:t>
      </w:r>
      <w:r>
        <w:rPr>
          <w:rFonts w:hint="default" w:ascii="Times New Roman" w:hAnsi="Times New Roman" w:eastAsia="仿宋_GB2312" w:cs="Times New Roman"/>
          <w:sz w:val="36"/>
          <w:szCs w:val="36"/>
          <w:u w:val="single"/>
          <w:lang w:val="en-US" w:eastAsia="zh-CN"/>
        </w:rPr>
        <w:t>二〇二五年</w:t>
      </w:r>
      <w:r>
        <w:rPr>
          <w:rFonts w:hint="eastAsia" w:ascii="Times New Roman" w:hAnsi="Times New Roman" w:eastAsia="仿宋_GB2312" w:cs="Times New Roman"/>
          <w:sz w:val="36"/>
          <w:szCs w:val="36"/>
          <w:u w:val="single"/>
          <w:lang w:val="en-US" w:eastAsia="zh-CN"/>
        </w:rPr>
        <w:t>十二</w:t>
      </w:r>
      <w:r>
        <w:rPr>
          <w:rFonts w:hint="default" w:ascii="Times New Roman" w:hAnsi="Times New Roman" w:eastAsia="仿宋_GB2312" w:cs="Times New Roman"/>
          <w:sz w:val="36"/>
          <w:szCs w:val="36"/>
          <w:u w:val="single"/>
          <w:lang w:val="en-US" w:eastAsia="zh-CN"/>
        </w:rPr>
        <w:t>月</w:t>
      </w:r>
      <w:r>
        <w:rPr>
          <w:rFonts w:hint="default" w:ascii="Times New Roman" w:hAnsi="Times New Roman" w:eastAsia="仿宋_GB2312" w:cs="Times New Roman"/>
          <w:sz w:val="36"/>
          <w:szCs w:val="36"/>
          <w:u w:val="single"/>
        </w:rPr>
        <w:t xml:space="preserve">    </w:t>
      </w:r>
      <w:r>
        <w:rPr>
          <w:rFonts w:hint="default" w:ascii="Times New Roman" w:hAnsi="Times New Roman" w:eastAsia="仿宋_GB2312" w:cs="Times New Roman"/>
          <w:sz w:val="36"/>
          <w:szCs w:val="36"/>
          <w:u w:val="single"/>
          <w:lang w:val="en-US" w:eastAsia="zh-CN"/>
        </w:rPr>
        <w:t xml:space="preserve">   </w:t>
      </w:r>
      <w:r>
        <w:rPr>
          <w:rFonts w:hint="eastAsia" w:ascii="Times New Roman" w:hAnsi="Times New Roman" w:eastAsia="仿宋_GB2312" w:cs="Times New Roman"/>
          <w:sz w:val="36"/>
          <w:szCs w:val="36"/>
          <w:u w:val="single"/>
          <w:lang w:val="en-US" w:eastAsia="zh-CN"/>
        </w:rPr>
        <w:t xml:space="preserve"> </w:t>
      </w:r>
      <w:r>
        <w:rPr>
          <w:rFonts w:hint="default" w:ascii="Times New Roman" w:hAnsi="Times New Roman" w:eastAsia="仿宋_GB2312" w:cs="Times New Roman"/>
          <w:sz w:val="36"/>
          <w:szCs w:val="36"/>
          <w:u w:val="single"/>
          <w:lang w:val="en-US" w:eastAsia="zh-CN"/>
        </w:rPr>
        <w:t xml:space="preserve">    </w:t>
      </w:r>
      <w:r>
        <w:rPr>
          <w:rFonts w:hint="default" w:ascii="Times New Roman" w:hAnsi="Times New Roman" w:eastAsia="仿宋_GB2312" w:cs="Times New Roman"/>
          <w:sz w:val="36"/>
          <w:szCs w:val="36"/>
          <w:u w:val="single"/>
        </w:rPr>
        <w:t xml:space="preserve"> </w:t>
      </w:r>
    </w:p>
    <w:p w14:paraId="5752BE1F">
      <w:pPr>
        <w:adjustRightInd w:val="0"/>
        <w:snapToGrid w:val="0"/>
        <w:spacing w:line="288" w:lineRule="auto"/>
        <w:ind w:firstLine="1040"/>
        <w:rPr>
          <w:rFonts w:hint="default" w:ascii="Times New Roman" w:hAnsi="Times New Roman" w:eastAsia="仿宋_GB2312" w:cs="Times New Roman"/>
          <w:sz w:val="36"/>
          <w:szCs w:val="36"/>
          <w:u w:val="single"/>
        </w:rPr>
      </w:pPr>
      <w:bookmarkStart w:id="1" w:name="_Hlk57884087"/>
    </w:p>
    <w:p w14:paraId="38AAF3F9">
      <w:pPr>
        <w:adjustRightInd w:val="0"/>
        <w:snapToGrid w:val="0"/>
        <w:spacing w:line="288" w:lineRule="auto"/>
        <w:ind w:firstLine="1040"/>
        <w:rPr>
          <w:rFonts w:hint="default" w:ascii="Times New Roman" w:hAnsi="Times New Roman" w:eastAsia="仿宋_GB2312" w:cs="Times New Roman"/>
          <w:sz w:val="36"/>
          <w:szCs w:val="36"/>
        </w:rPr>
      </w:pPr>
    </w:p>
    <w:p w14:paraId="2E1CE61E">
      <w:pPr>
        <w:adjustRightInd w:val="0"/>
        <w:snapToGrid w:val="0"/>
        <w:spacing w:line="288" w:lineRule="auto"/>
        <w:ind w:firstLine="1040"/>
        <w:rPr>
          <w:rFonts w:hint="default" w:ascii="Times New Roman" w:hAnsi="Times New Roman" w:eastAsia="仿宋_GB2312" w:cs="Times New Roman"/>
          <w:sz w:val="36"/>
          <w:szCs w:val="36"/>
        </w:rPr>
      </w:pPr>
    </w:p>
    <w:p w14:paraId="32DC5C1C">
      <w:pPr>
        <w:adjustRightInd w:val="0"/>
        <w:snapToGrid w:val="0"/>
        <w:spacing w:line="288" w:lineRule="auto"/>
        <w:ind w:firstLine="1040"/>
        <w:rPr>
          <w:rFonts w:hint="default" w:ascii="Times New Roman" w:hAnsi="Times New Roman" w:eastAsia="仿宋_GB2312" w:cs="Times New Roman"/>
          <w:sz w:val="36"/>
          <w:szCs w:val="36"/>
        </w:rPr>
      </w:pPr>
    </w:p>
    <w:p w14:paraId="3333C295">
      <w:pPr>
        <w:adjustRightInd w:val="0"/>
        <w:snapToGrid w:val="0"/>
        <w:spacing w:line="288" w:lineRule="auto"/>
        <w:ind w:firstLine="1040"/>
        <w:rPr>
          <w:rFonts w:hint="default" w:ascii="Times New Roman" w:hAnsi="Times New Roman" w:eastAsia="仿宋_GB2312" w:cs="Times New Roman"/>
          <w:sz w:val="36"/>
          <w:szCs w:val="36"/>
        </w:rPr>
      </w:pPr>
    </w:p>
    <w:bookmarkEnd w:id="1"/>
    <w:p w14:paraId="36317322">
      <w:pPr>
        <w:adjustRightInd w:val="0"/>
        <w:snapToGrid w:val="0"/>
        <w:spacing w:line="288" w:lineRule="auto"/>
        <w:jc w:val="center"/>
        <w:rPr>
          <w:rFonts w:hint="default" w:ascii="Times New Roman" w:hAnsi="Times New Roman" w:eastAsia="楷体_GB2312" w:cs="Times New Roman"/>
          <w:sz w:val="36"/>
          <w:szCs w:val="36"/>
        </w:rPr>
      </w:pPr>
      <w:r>
        <w:rPr>
          <w:rFonts w:hint="default" w:ascii="Times New Roman" w:hAnsi="Times New Roman" w:eastAsia="楷体_GB2312" w:cs="Times New Roman"/>
          <w:sz w:val="36"/>
          <w:szCs w:val="36"/>
        </w:rPr>
        <w:t>中华人民共和国生态环境部制</w:t>
      </w:r>
    </w:p>
    <w:p w14:paraId="4E489F83">
      <w:pPr>
        <w:adjustRightInd w:val="0"/>
        <w:snapToGrid w:val="0"/>
        <w:spacing w:line="288" w:lineRule="auto"/>
        <w:ind w:firstLine="1040"/>
        <w:rPr>
          <w:rFonts w:hint="default" w:ascii="Times New Roman" w:hAnsi="Times New Roman" w:eastAsia="仿宋_GB2312" w:cs="Times New Roman"/>
          <w:sz w:val="36"/>
          <w:szCs w:val="36"/>
        </w:rPr>
      </w:pPr>
    </w:p>
    <w:p w14:paraId="5F0DFEB1">
      <w:pPr>
        <w:pStyle w:val="23"/>
        <w:jc w:val="center"/>
        <w:outlineLvl w:val="0"/>
        <w:rPr>
          <w:rFonts w:hint="default" w:ascii="Times New Roman" w:hAnsi="Times New Roman" w:eastAsia="黑体" w:cs="Times New Roman"/>
          <w:snapToGrid w:val="0"/>
          <w:sz w:val="30"/>
          <w:szCs w:val="30"/>
        </w:rPr>
        <w:sectPr>
          <w:headerReference r:id="rId3" w:type="default"/>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bookmarkStart w:id="2" w:name="_Toc22238"/>
    </w:p>
    <w:p w14:paraId="75ED6E96">
      <w:pPr>
        <w:pStyle w:val="23"/>
        <w:jc w:val="center"/>
        <w:outlineLvl w:val="0"/>
        <w:rPr>
          <w:rFonts w:hint="default" w:ascii="Times New Roman" w:hAnsi="Times New Roman" w:eastAsia="黑体" w:cs="Times New Roman"/>
          <w:snapToGrid w:val="0"/>
          <w:sz w:val="30"/>
          <w:szCs w:val="30"/>
        </w:rPr>
      </w:pPr>
      <w:r>
        <w:rPr>
          <w:rFonts w:hint="default" w:ascii="Times New Roman" w:hAnsi="Times New Roman" w:eastAsia="黑体" w:cs="Times New Roman"/>
          <w:snapToGrid w:val="0"/>
          <w:sz w:val="30"/>
          <w:szCs w:val="30"/>
        </w:rPr>
        <w:t>一、建设项目基本情况</w:t>
      </w:r>
      <w:bookmarkEnd w:id="2"/>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27"/>
        <w:gridCol w:w="2250"/>
        <w:gridCol w:w="1867"/>
        <w:gridCol w:w="3026"/>
      </w:tblGrid>
      <w:tr w14:paraId="5ED67E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27" w:type="dxa"/>
            <w:noWrap w:val="0"/>
            <w:tcMar>
              <w:top w:w="16" w:type="dxa"/>
              <w:left w:w="16" w:type="dxa"/>
              <w:right w:w="16" w:type="dxa"/>
            </w:tcMar>
            <w:vAlign w:val="center"/>
          </w:tcPr>
          <w:p w14:paraId="77DDCBFE">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建设项目名称</w:t>
            </w:r>
          </w:p>
        </w:tc>
        <w:tc>
          <w:tcPr>
            <w:tcW w:w="7143" w:type="dxa"/>
            <w:gridSpan w:val="3"/>
            <w:noWrap w:val="0"/>
            <w:vAlign w:val="center"/>
          </w:tcPr>
          <w:p w14:paraId="6FE0882A">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高效氢燃料电池膜电极产业化项目</w:t>
            </w:r>
          </w:p>
        </w:tc>
      </w:tr>
      <w:tr w14:paraId="1B68BE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27" w:type="dxa"/>
            <w:noWrap w:val="0"/>
            <w:tcMar>
              <w:top w:w="16" w:type="dxa"/>
              <w:left w:w="16" w:type="dxa"/>
              <w:right w:w="16" w:type="dxa"/>
            </w:tcMar>
            <w:vAlign w:val="center"/>
          </w:tcPr>
          <w:p w14:paraId="5E22FF17">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项目代码</w:t>
            </w:r>
          </w:p>
        </w:tc>
        <w:tc>
          <w:tcPr>
            <w:tcW w:w="7143" w:type="dxa"/>
            <w:gridSpan w:val="3"/>
            <w:noWrap w:val="0"/>
            <w:vAlign w:val="center"/>
          </w:tcPr>
          <w:p w14:paraId="1FCF3301">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2506-611206-04-05-188230</w:t>
            </w:r>
          </w:p>
        </w:tc>
      </w:tr>
      <w:tr w14:paraId="09ABF0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27" w:type="dxa"/>
            <w:noWrap w:val="0"/>
            <w:tcMar>
              <w:top w:w="16" w:type="dxa"/>
              <w:left w:w="16" w:type="dxa"/>
              <w:right w:w="16" w:type="dxa"/>
            </w:tcMar>
            <w:vAlign w:val="center"/>
          </w:tcPr>
          <w:p w14:paraId="5D6C4760">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建设单位联系人</w:t>
            </w:r>
          </w:p>
        </w:tc>
        <w:tc>
          <w:tcPr>
            <w:tcW w:w="2250" w:type="dxa"/>
            <w:noWrap w:val="0"/>
            <w:vAlign w:val="center"/>
          </w:tcPr>
          <w:p w14:paraId="587EBDB1">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张娇娇</w:t>
            </w:r>
          </w:p>
        </w:tc>
        <w:tc>
          <w:tcPr>
            <w:tcW w:w="1867" w:type="dxa"/>
            <w:noWrap w:val="0"/>
            <w:vAlign w:val="center"/>
          </w:tcPr>
          <w:p w14:paraId="691ED84C">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联系方式</w:t>
            </w:r>
          </w:p>
        </w:tc>
        <w:tc>
          <w:tcPr>
            <w:tcW w:w="3026" w:type="dxa"/>
            <w:noWrap w:val="0"/>
            <w:vAlign w:val="center"/>
          </w:tcPr>
          <w:p w14:paraId="7F5CC48D">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13389102460</w:t>
            </w:r>
          </w:p>
        </w:tc>
      </w:tr>
      <w:tr w14:paraId="5CB6A1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27" w:type="dxa"/>
            <w:noWrap w:val="0"/>
            <w:tcMar>
              <w:top w:w="16" w:type="dxa"/>
              <w:left w:w="16" w:type="dxa"/>
              <w:right w:w="16" w:type="dxa"/>
            </w:tcMar>
            <w:vAlign w:val="center"/>
          </w:tcPr>
          <w:p w14:paraId="1985D657">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建设地点</w:t>
            </w:r>
          </w:p>
        </w:tc>
        <w:tc>
          <w:tcPr>
            <w:tcW w:w="7143" w:type="dxa"/>
            <w:gridSpan w:val="3"/>
            <w:noWrap w:val="0"/>
            <w:vAlign w:val="center"/>
          </w:tcPr>
          <w:p w14:paraId="5190EDF1">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陕西省西咸新区泾河新城永乐镇泾河智造创新产业园18#3层</w:t>
            </w:r>
          </w:p>
        </w:tc>
      </w:tr>
      <w:tr w14:paraId="3148F4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27" w:type="dxa"/>
            <w:noWrap w:val="0"/>
            <w:tcMar>
              <w:top w:w="16" w:type="dxa"/>
              <w:left w:w="16" w:type="dxa"/>
              <w:right w:w="16" w:type="dxa"/>
            </w:tcMar>
            <w:vAlign w:val="center"/>
          </w:tcPr>
          <w:p w14:paraId="68A12E40">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地理坐标</w:t>
            </w:r>
          </w:p>
        </w:tc>
        <w:tc>
          <w:tcPr>
            <w:tcW w:w="7143" w:type="dxa"/>
            <w:gridSpan w:val="3"/>
            <w:noWrap w:val="0"/>
            <w:vAlign w:val="center"/>
          </w:tcPr>
          <w:p w14:paraId="12067D8A">
            <w:pPr>
              <w:jc w:val="center"/>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u w:val="none"/>
                <w:lang w:val="en-US" w:eastAsia="zh-CN"/>
              </w:rPr>
              <w:t>东经：108°57'28.63</w:t>
            </w:r>
            <w:r>
              <w:rPr>
                <w:rFonts w:hint="eastAsia" w:ascii="Times New Roman" w:hAnsi="Times New Roman" w:cs="Times New Roman"/>
                <w:color w:val="auto"/>
                <w:sz w:val="24"/>
                <w:szCs w:val="24"/>
                <w:u w:val="none"/>
                <w:lang w:val="en-US" w:eastAsia="zh-CN"/>
              </w:rPr>
              <w:t>9</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w:t>
            </w:r>
            <w:r>
              <w:rPr>
                <w:rFonts w:hint="default" w:ascii="Times New Roman" w:hAnsi="Times New Roman" w:cs="Times New Roman"/>
                <w:color w:val="auto"/>
                <w:sz w:val="24"/>
                <w:szCs w:val="24"/>
                <w:u w:val="none"/>
                <w:lang w:val="en-US" w:eastAsia="zh-CN"/>
              </w:rPr>
              <w:t>北纬：34°32'09.176"</w:t>
            </w:r>
          </w:p>
        </w:tc>
      </w:tr>
      <w:tr w14:paraId="535A4B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27" w:type="dxa"/>
            <w:noWrap w:val="0"/>
            <w:tcMar>
              <w:top w:w="16" w:type="dxa"/>
              <w:left w:w="16" w:type="dxa"/>
              <w:right w:w="16" w:type="dxa"/>
            </w:tcMar>
            <w:vAlign w:val="center"/>
          </w:tcPr>
          <w:p w14:paraId="634F0C00">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国民经济</w:t>
            </w:r>
          </w:p>
          <w:p w14:paraId="3BC8C9D2">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行业类别</w:t>
            </w:r>
          </w:p>
        </w:tc>
        <w:tc>
          <w:tcPr>
            <w:tcW w:w="2250" w:type="dxa"/>
            <w:noWrap w:val="0"/>
            <w:vAlign w:val="center"/>
          </w:tcPr>
          <w:p w14:paraId="17D7F70D">
            <w:pPr>
              <w:adjustRightInd w:val="0"/>
              <w:snapToGrid w:val="0"/>
              <w:jc w:val="center"/>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sz w:val="24"/>
                <w:szCs w:val="24"/>
                <w:highlight w:val="none"/>
              </w:rPr>
              <w:t>C3849 其他电池制造</w:t>
            </w:r>
          </w:p>
          <w:p w14:paraId="3CA0AEBB">
            <w:pPr>
              <w:adjustRightInd w:val="0"/>
              <w:snapToGrid w:val="0"/>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C</w:t>
            </w:r>
            <w:r>
              <w:rPr>
                <w:rFonts w:hint="eastAsia" w:ascii="Times New Roman" w:hAnsi="Times New Roman" w:cs="Times New Roman"/>
                <w:color w:val="auto"/>
                <w:sz w:val="24"/>
                <w:szCs w:val="24"/>
                <w:lang w:val="en-US" w:eastAsia="zh-CN"/>
              </w:rPr>
              <w:t>3899</w:t>
            </w:r>
            <w:r>
              <w:rPr>
                <w:rFonts w:ascii="宋体" w:hAnsi="宋体" w:eastAsia="宋体" w:cs="宋体"/>
                <w:color w:val="auto"/>
                <w:sz w:val="24"/>
                <w:szCs w:val="24"/>
              </w:rPr>
              <w:t>其他未列明电气机械及器材制造</w:t>
            </w:r>
          </w:p>
        </w:tc>
        <w:tc>
          <w:tcPr>
            <w:tcW w:w="1867" w:type="dxa"/>
            <w:noWrap w:val="0"/>
            <w:vAlign w:val="center"/>
          </w:tcPr>
          <w:p w14:paraId="3EF1EDE5">
            <w:pPr>
              <w:adjustRightInd w:val="0"/>
              <w:snapToGrid w:val="0"/>
              <w:jc w:val="center"/>
              <w:rPr>
                <w:rFonts w:hint="default" w:ascii="Times New Roman" w:hAnsi="Times New Roman" w:cs="Times New Roman"/>
                <w:color w:val="auto"/>
                <w:sz w:val="24"/>
                <w:szCs w:val="24"/>
              </w:rPr>
            </w:pPr>
            <w:bookmarkStart w:id="3" w:name="_Hlk49843745"/>
            <w:r>
              <w:rPr>
                <w:rFonts w:hint="default" w:ascii="Times New Roman" w:hAnsi="Times New Roman" w:cs="Times New Roman"/>
                <w:color w:val="auto"/>
                <w:sz w:val="24"/>
                <w:szCs w:val="24"/>
              </w:rPr>
              <w:t>建设项目</w:t>
            </w:r>
          </w:p>
          <w:p w14:paraId="49EA30FB">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行业类别</w:t>
            </w:r>
            <w:bookmarkEnd w:id="3"/>
          </w:p>
        </w:tc>
        <w:tc>
          <w:tcPr>
            <w:tcW w:w="3026" w:type="dxa"/>
            <w:noWrap w:val="0"/>
            <w:vAlign w:val="center"/>
          </w:tcPr>
          <w:p w14:paraId="26938FF3">
            <w:pPr>
              <w:adjustRightInd w:val="0"/>
              <w:snapToGrid w:val="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三十</w:t>
            </w:r>
            <w:r>
              <w:rPr>
                <w:rFonts w:hint="eastAsia" w:ascii="Times New Roman" w:hAnsi="Times New Roman" w:cs="Times New Roman"/>
                <w:color w:val="auto"/>
                <w:sz w:val="24"/>
                <w:szCs w:val="24"/>
                <w:lang w:val="en-US" w:eastAsia="zh-CN"/>
              </w:rPr>
              <w:t>五</w:t>
            </w:r>
            <w:r>
              <w:rPr>
                <w:rFonts w:hint="default" w:ascii="Times New Roman" w:hAnsi="Times New Roman" w:cs="Times New Roman"/>
                <w:color w:val="auto"/>
                <w:sz w:val="24"/>
                <w:szCs w:val="24"/>
                <w:lang w:val="en-US" w:eastAsia="zh-CN"/>
              </w:rPr>
              <w:t>、电气机械和器材制造业</w:t>
            </w:r>
            <w:r>
              <w:rPr>
                <w:rFonts w:hint="eastAsia" w:ascii="Times New Roman" w:hAnsi="Times New Roman" w:cs="Times New Roman"/>
                <w:color w:val="auto"/>
                <w:sz w:val="24"/>
                <w:szCs w:val="24"/>
                <w:lang w:val="en-US" w:eastAsia="zh-CN"/>
              </w:rPr>
              <w:t>38、电池制造、其他</w:t>
            </w:r>
          </w:p>
          <w:p w14:paraId="3A327FCB">
            <w:pPr>
              <w:adjustRightInd w:val="0"/>
              <w:snapToGrid w:val="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三十</w:t>
            </w:r>
            <w:r>
              <w:rPr>
                <w:rFonts w:hint="eastAsia" w:ascii="Times New Roman" w:hAnsi="Times New Roman" w:cs="Times New Roman"/>
                <w:color w:val="auto"/>
                <w:sz w:val="24"/>
                <w:szCs w:val="24"/>
                <w:lang w:val="en-US" w:eastAsia="zh-CN"/>
              </w:rPr>
              <w:t>五</w:t>
            </w:r>
            <w:r>
              <w:rPr>
                <w:rFonts w:hint="default" w:ascii="Times New Roman" w:hAnsi="Times New Roman" w:cs="Times New Roman"/>
                <w:color w:val="auto"/>
                <w:sz w:val="24"/>
                <w:szCs w:val="24"/>
                <w:lang w:val="en-US" w:eastAsia="zh-CN"/>
              </w:rPr>
              <w:t>、电气机械和器材制造业</w:t>
            </w:r>
            <w:r>
              <w:rPr>
                <w:rFonts w:hint="eastAsia" w:ascii="Times New Roman" w:hAnsi="Times New Roman" w:cs="Times New Roman"/>
                <w:color w:val="auto"/>
                <w:sz w:val="24"/>
                <w:szCs w:val="24"/>
                <w:lang w:val="en-US" w:eastAsia="zh-CN"/>
              </w:rPr>
              <w:t>38、</w:t>
            </w:r>
            <w:r>
              <w:rPr>
                <w:rFonts w:ascii="宋体" w:hAnsi="宋体" w:eastAsia="宋体" w:cs="宋体"/>
                <w:color w:val="auto"/>
                <w:sz w:val="24"/>
                <w:szCs w:val="24"/>
              </w:rPr>
              <w:t>其他电气机械及器材制造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其他</w:t>
            </w:r>
          </w:p>
        </w:tc>
      </w:tr>
      <w:tr w14:paraId="3F792D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27" w:type="dxa"/>
            <w:noWrap w:val="0"/>
            <w:tcMar>
              <w:top w:w="16" w:type="dxa"/>
              <w:left w:w="16" w:type="dxa"/>
              <w:right w:w="16" w:type="dxa"/>
            </w:tcMar>
            <w:vAlign w:val="center"/>
          </w:tcPr>
          <w:p w14:paraId="76530A0F">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建设性质</w:t>
            </w:r>
          </w:p>
        </w:tc>
        <w:tc>
          <w:tcPr>
            <w:tcW w:w="2250" w:type="dxa"/>
            <w:noWrap w:val="0"/>
            <w:vAlign w:val="center"/>
          </w:tcPr>
          <w:p w14:paraId="4518BD27">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新建（迁建）</w:t>
            </w:r>
          </w:p>
          <w:p w14:paraId="639D5DB9">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改建</w:t>
            </w:r>
          </w:p>
          <w:p w14:paraId="461C2BFA">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扩建</w:t>
            </w:r>
          </w:p>
          <w:p w14:paraId="7E5E352C">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技术改造</w:t>
            </w:r>
          </w:p>
        </w:tc>
        <w:tc>
          <w:tcPr>
            <w:tcW w:w="1867" w:type="dxa"/>
            <w:noWrap w:val="0"/>
            <w:vAlign w:val="center"/>
          </w:tcPr>
          <w:p w14:paraId="4CE67B35">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w:t>
            </w:r>
          </w:p>
          <w:p w14:paraId="14437E86">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申报情形</w:t>
            </w:r>
          </w:p>
        </w:tc>
        <w:tc>
          <w:tcPr>
            <w:tcW w:w="3026" w:type="dxa"/>
            <w:noWrap w:val="0"/>
            <w:vAlign w:val="center"/>
          </w:tcPr>
          <w:p w14:paraId="2A46CD6B">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52"/>
            </w:r>
            <w:r>
              <w:rPr>
                <w:rFonts w:hint="default" w:ascii="Times New Roman" w:hAnsi="Times New Roman" w:cs="Times New Roman"/>
                <w:color w:val="auto"/>
                <w:sz w:val="24"/>
                <w:szCs w:val="24"/>
              </w:rPr>
              <w:t>首次申报项目</w:t>
            </w:r>
          </w:p>
          <w:p w14:paraId="58F5F912">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不予批准后再次申报项目</w:t>
            </w:r>
          </w:p>
          <w:p w14:paraId="3647D852">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超五年重新审核项目</w:t>
            </w:r>
          </w:p>
          <w:p w14:paraId="76AA8A63">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重大变动重新报批项目</w:t>
            </w:r>
          </w:p>
        </w:tc>
      </w:tr>
      <w:tr w14:paraId="4969B4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27" w:type="dxa"/>
            <w:noWrap w:val="0"/>
            <w:tcMar>
              <w:top w:w="16" w:type="dxa"/>
              <w:left w:w="16" w:type="dxa"/>
              <w:right w:w="16" w:type="dxa"/>
            </w:tcMar>
            <w:vAlign w:val="center"/>
          </w:tcPr>
          <w:p w14:paraId="5B0E3032">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项目审批（核准/</w:t>
            </w:r>
          </w:p>
          <w:p w14:paraId="236C809E">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备案）部门</w:t>
            </w:r>
          </w:p>
        </w:tc>
        <w:tc>
          <w:tcPr>
            <w:tcW w:w="2250" w:type="dxa"/>
            <w:noWrap w:val="0"/>
            <w:vAlign w:val="center"/>
          </w:tcPr>
          <w:p w14:paraId="48242DFA">
            <w:pPr>
              <w:adjustRightInd w:val="0"/>
              <w:snapToGrid w:val="0"/>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陕西省西咸新区</w:t>
            </w:r>
          </w:p>
          <w:p w14:paraId="157D1C28">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泾河新城管理委员会</w:t>
            </w:r>
          </w:p>
        </w:tc>
        <w:tc>
          <w:tcPr>
            <w:tcW w:w="1867" w:type="dxa"/>
            <w:noWrap w:val="0"/>
            <w:vAlign w:val="center"/>
          </w:tcPr>
          <w:p w14:paraId="4DC0104B">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项目审批（核准/备案）文号</w:t>
            </w:r>
          </w:p>
        </w:tc>
        <w:tc>
          <w:tcPr>
            <w:tcW w:w="3026" w:type="dxa"/>
            <w:noWrap w:val="0"/>
            <w:vAlign w:val="center"/>
          </w:tcPr>
          <w:p w14:paraId="6AFE429E">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r>
      <w:tr w14:paraId="1835C9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27" w:type="dxa"/>
            <w:noWrap w:val="0"/>
            <w:tcMar>
              <w:top w:w="16" w:type="dxa"/>
              <w:left w:w="16" w:type="dxa"/>
              <w:right w:w="16" w:type="dxa"/>
            </w:tcMar>
            <w:vAlign w:val="center"/>
          </w:tcPr>
          <w:p w14:paraId="66775764">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总投资（万元）</w:t>
            </w:r>
          </w:p>
        </w:tc>
        <w:tc>
          <w:tcPr>
            <w:tcW w:w="2250" w:type="dxa"/>
            <w:noWrap w:val="0"/>
            <w:vAlign w:val="center"/>
          </w:tcPr>
          <w:p w14:paraId="74CBF67E">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32000</w:t>
            </w:r>
          </w:p>
        </w:tc>
        <w:tc>
          <w:tcPr>
            <w:tcW w:w="1867" w:type="dxa"/>
            <w:noWrap w:val="0"/>
            <w:tcMar>
              <w:top w:w="16" w:type="dxa"/>
              <w:left w:w="16" w:type="dxa"/>
              <w:right w:w="16" w:type="dxa"/>
            </w:tcMar>
            <w:vAlign w:val="center"/>
          </w:tcPr>
          <w:p w14:paraId="5DD4EC42">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环保投资（万元）</w:t>
            </w:r>
          </w:p>
        </w:tc>
        <w:tc>
          <w:tcPr>
            <w:tcW w:w="3026" w:type="dxa"/>
            <w:noWrap w:val="0"/>
            <w:vAlign w:val="center"/>
          </w:tcPr>
          <w:p w14:paraId="4856952C">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30</w:t>
            </w:r>
          </w:p>
        </w:tc>
      </w:tr>
      <w:tr w14:paraId="44D8FE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27" w:type="dxa"/>
            <w:noWrap w:val="0"/>
            <w:tcMar>
              <w:top w:w="16" w:type="dxa"/>
              <w:left w:w="16" w:type="dxa"/>
              <w:right w:w="16" w:type="dxa"/>
            </w:tcMar>
            <w:vAlign w:val="center"/>
          </w:tcPr>
          <w:p w14:paraId="66D9A348">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环保投资占比（%）</w:t>
            </w:r>
          </w:p>
        </w:tc>
        <w:tc>
          <w:tcPr>
            <w:tcW w:w="2250" w:type="dxa"/>
            <w:noWrap w:val="0"/>
            <w:vAlign w:val="center"/>
          </w:tcPr>
          <w:p w14:paraId="4750BD1F">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0.09</w:t>
            </w:r>
          </w:p>
        </w:tc>
        <w:tc>
          <w:tcPr>
            <w:tcW w:w="1867" w:type="dxa"/>
            <w:noWrap w:val="0"/>
            <w:tcMar>
              <w:top w:w="16" w:type="dxa"/>
              <w:left w:w="16" w:type="dxa"/>
              <w:right w:w="16" w:type="dxa"/>
            </w:tcMar>
            <w:vAlign w:val="center"/>
          </w:tcPr>
          <w:p w14:paraId="7721D3A6">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施工工期</w:t>
            </w:r>
          </w:p>
        </w:tc>
        <w:tc>
          <w:tcPr>
            <w:tcW w:w="3026" w:type="dxa"/>
            <w:noWrap w:val="0"/>
            <w:vAlign w:val="center"/>
          </w:tcPr>
          <w:p w14:paraId="7F679431">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val="en-US" w:eastAsia="zh-CN"/>
              </w:rPr>
              <w:t>个月</w:t>
            </w:r>
          </w:p>
        </w:tc>
      </w:tr>
      <w:tr w14:paraId="0B5B91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27" w:type="dxa"/>
            <w:noWrap w:val="0"/>
            <w:tcMar>
              <w:top w:w="16" w:type="dxa"/>
              <w:left w:w="16" w:type="dxa"/>
              <w:right w:w="16" w:type="dxa"/>
            </w:tcMar>
            <w:vAlign w:val="center"/>
          </w:tcPr>
          <w:p w14:paraId="25480882">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是否开工建设</w:t>
            </w:r>
          </w:p>
        </w:tc>
        <w:tc>
          <w:tcPr>
            <w:tcW w:w="2250" w:type="dxa"/>
            <w:noWrap w:val="0"/>
            <w:vAlign w:val="center"/>
          </w:tcPr>
          <w:p w14:paraId="59D02807">
            <w:pPr>
              <w:adjustRightInd w:val="0"/>
              <w:snapToGrid w:val="0"/>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52"/>
            </w:r>
            <w:r>
              <w:rPr>
                <w:rFonts w:hint="default" w:ascii="Times New Roman" w:hAnsi="Times New Roman" w:cs="Times New Roman"/>
                <w:color w:val="auto"/>
                <w:sz w:val="24"/>
                <w:szCs w:val="24"/>
              </w:rPr>
              <w:t>否</w:t>
            </w:r>
          </w:p>
          <w:p w14:paraId="7C15E4B8">
            <w:pPr>
              <w:adjustRightInd w:val="0"/>
              <w:snapToGrid w:val="0"/>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是：</w:t>
            </w:r>
            <w:r>
              <w:rPr>
                <w:rFonts w:hint="default" w:ascii="Times New Roman" w:hAnsi="Times New Roman" w:cs="Times New Roman"/>
                <w:color w:val="auto"/>
                <w:sz w:val="24"/>
                <w:szCs w:val="24"/>
                <w:u w:val="single"/>
              </w:rPr>
              <w:t xml:space="preserve">          </w:t>
            </w:r>
          </w:p>
        </w:tc>
        <w:tc>
          <w:tcPr>
            <w:tcW w:w="1867" w:type="dxa"/>
            <w:noWrap w:val="0"/>
            <w:tcMar>
              <w:top w:w="16" w:type="dxa"/>
              <w:left w:w="16" w:type="dxa"/>
              <w:right w:w="16" w:type="dxa"/>
            </w:tcMar>
            <w:vAlign w:val="center"/>
          </w:tcPr>
          <w:p w14:paraId="4E813FC9">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pacing w:val="-6"/>
                <w:sz w:val="24"/>
                <w:szCs w:val="24"/>
              </w:rPr>
              <w:t>用地面积（m</w:t>
            </w:r>
            <w:r>
              <w:rPr>
                <w:rFonts w:hint="default" w:ascii="Times New Roman" w:hAnsi="Times New Roman" w:cs="Times New Roman"/>
                <w:color w:val="auto"/>
                <w:spacing w:val="-6"/>
                <w:sz w:val="24"/>
                <w:szCs w:val="24"/>
                <w:vertAlign w:val="superscript"/>
              </w:rPr>
              <w:t>2</w:t>
            </w:r>
            <w:r>
              <w:rPr>
                <w:rFonts w:hint="default" w:ascii="Times New Roman" w:hAnsi="Times New Roman" w:cs="Times New Roman"/>
                <w:color w:val="auto"/>
                <w:spacing w:val="-6"/>
                <w:sz w:val="24"/>
                <w:szCs w:val="24"/>
              </w:rPr>
              <w:t>）</w:t>
            </w:r>
          </w:p>
        </w:tc>
        <w:tc>
          <w:tcPr>
            <w:tcW w:w="3026" w:type="dxa"/>
            <w:noWrap w:val="0"/>
            <w:vAlign w:val="center"/>
          </w:tcPr>
          <w:p w14:paraId="51690E04">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690</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2</w:t>
            </w:r>
          </w:p>
        </w:tc>
      </w:tr>
      <w:tr w14:paraId="54A611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27" w:type="dxa"/>
            <w:noWrap w:val="0"/>
            <w:vAlign w:val="center"/>
          </w:tcPr>
          <w:p w14:paraId="30696442">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专项评价</w:t>
            </w:r>
          </w:p>
          <w:p w14:paraId="21883E9D">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设置情况</w:t>
            </w:r>
          </w:p>
        </w:tc>
        <w:tc>
          <w:tcPr>
            <w:tcW w:w="7143" w:type="dxa"/>
            <w:gridSpan w:val="3"/>
            <w:noWrap w:val="0"/>
            <w:vAlign w:val="center"/>
          </w:tcPr>
          <w:p w14:paraId="337FFB46">
            <w:pPr>
              <w:autoSpaceDE w:val="0"/>
              <w:autoSpaceDN w:val="0"/>
              <w:adjustRightInd w:val="0"/>
              <w:snapToGrid w:val="0"/>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无</w:t>
            </w:r>
          </w:p>
        </w:tc>
      </w:tr>
      <w:tr w14:paraId="2A2099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27" w:type="dxa"/>
            <w:noWrap w:val="0"/>
            <w:vAlign w:val="center"/>
          </w:tcPr>
          <w:p w14:paraId="75D62F36">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规划情况</w:t>
            </w:r>
          </w:p>
        </w:tc>
        <w:tc>
          <w:tcPr>
            <w:tcW w:w="7143" w:type="dxa"/>
            <w:gridSpan w:val="3"/>
            <w:noWrap w:val="0"/>
            <w:vAlign w:val="center"/>
          </w:tcPr>
          <w:p w14:paraId="4DC94D1A">
            <w:pPr>
              <w:widowControl/>
              <w:spacing w:line="360" w:lineRule="auto"/>
              <w:jc w:val="left"/>
              <w:rPr>
                <w:rFonts w:hint="default" w:ascii="Times New Roman" w:hAnsi="Times New Roman" w:cs="Times New Roman"/>
                <w:color w:val="auto"/>
              </w:rPr>
            </w:pPr>
            <w:r>
              <w:rPr>
                <w:rFonts w:hint="default" w:ascii="Times New Roman" w:hAnsi="Times New Roman" w:cs="Times New Roman"/>
                <w:color w:val="auto"/>
                <w:kern w:val="0"/>
                <w:sz w:val="24"/>
                <w:lang w:val="en-US" w:eastAsia="zh-CN" w:bidi="ar"/>
              </w:rPr>
              <w:t>规划名称：</w:t>
            </w:r>
            <w:r>
              <w:rPr>
                <w:rFonts w:hint="default" w:ascii="Times New Roman" w:hAnsi="Times New Roman" w:cs="Times New Roman"/>
                <w:color w:val="auto"/>
                <w:kern w:val="0"/>
                <w:sz w:val="24"/>
                <w:lang w:bidi="ar"/>
              </w:rPr>
              <w:t>《</w:t>
            </w:r>
            <w:r>
              <w:rPr>
                <w:rFonts w:hint="default" w:ascii="Times New Roman" w:hAnsi="Times New Roman" w:cs="Times New Roman"/>
                <w:color w:val="auto"/>
                <w:kern w:val="0"/>
                <w:sz w:val="24"/>
                <w:lang w:val="en-US" w:eastAsia="zh-CN" w:bidi="ar"/>
              </w:rPr>
              <w:t>西咸新区-泾河新城分区规划修编</w:t>
            </w:r>
            <w:r>
              <w:rPr>
                <w:rFonts w:hint="default" w:ascii="Times New Roman" w:hAnsi="Times New Roman" w:cs="Times New Roman"/>
                <w:color w:val="auto"/>
                <w:kern w:val="0"/>
                <w:sz w:val="24"/>
                <w:lang w:bidi="ar"/>
              </w:rPr>
              <w:t>》</w:t>
            </w:r>
            <w:r>
              <w:rPr>
                <w:rFonts w:hint="default" w:ascii="Times New Roman" w:hAnsi="Times New Roman" w:cs="Times New Roman"/>
                <w:color w:val="auto"/>
                <w:kern w:val="0"/>
                <w:sz w:val="24"/>
                <w:lang w:eastAsia="zh-CN" w:bidi="ar"/>
              </w:rPr>
              <w:t>（</w:t>
            </w:r>
            <w:r>
              <w:rPr>
                <w:rFonts w:hint="default" w:ascii="Times New Roman" w:hAnsi="Times New Roman" w:cs="Times New Roman"/>
                <w:color w:val="auto"/>
                <w:kern w:val="0"/>
                <w:sz w:val="24"/>
                <w:lang w:val="en-US" w:eastAsia="zh-CN" w:bidi="ar"/>
              </w:rPr>
              <w:t>2016-2035年</w:t>
            </w:r>
            <w:r>
              <w:rPr>
                <w:rFonts w:hint="default" w:ascii="Times New Roman" w:hAnsi="Times New Roman" w:cs="Times New Roman"/>
                <w:color w:val="auto"/>
                <w:kern w:val="0"/>
                <w:sz w:val="24"/>
                <w:lang w:eastAsia="zh-CN" w:bidi="ar"/>
              </w:rPr>
              <w:t>）</w:t>
            </w:r>
          </w:p>
          <w:p w14:paraId="3E1A51FA">
            <w:pPr>
              <w:autoSpaceDE w:val="0"/>
              <w:autoSpaceDN w:val="0"/>
              <w:adjustRightInd w:val="0"/>
              <w:snapToGrid w:val="0"/>
              <w:spacing w:line="360" w:lineRule="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lang w:bidi="ar"/>
              </w:rPr>
              <w:t>规划审批机关</w:t>
            </w:r>
            <w:r>
              <w:rPr>
                <w:rFonts w:hint="default" w:ascii="Times New Roman" w:hAnsi="Times New Roman" w:cs="Times New Roman"/>
                <w:color w:val="auto"/>
                <w:kern w:val="0"/>
                <w:sz w:val="24"/>
                <w:lang w:eastAsia="zh-CN" w:bidi="ar"/>
              </w:rPr>
              <w:t>：</w:t>
            </w:r>
            <w:r>
              <w:rPr>
                <w:rFonts w:hint="default" w:ascii="Times New Roman" w:hAnsi="Times New Roman" w:cs="Times New Roman"/>
                <w:color w:val="auto"/>
                <w:kern w:val="0"/>
                <w:sz w:val="24"/>
                <w:lang w:val="en-US" w:eastAsia="zh-CN" w:bidi="ar"/>
              </w:rPr>
              <w:t>西咸新区开发建设管理委员会</w:t>
            </w:r>
          </w:p>
        </w:tc>
      </w:tr>
      <w:tr w14:paraId="08AB2D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727" w:type="dxa"/>
            <w:noWrap w:val="0"/>
            <w:vAlign w:val="center"/>
          </w:tcPr>
          <w:p w14:paraId="5AE440DD">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规划环境影响</w:t>
            </w:r>
          </w:p>
          <w:p w14:paraId="5AEABA6C">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评价情况</w:t>
            </w:r>
          </w:p>
        </w:tc>
        <w:tc>
          <w:tcPr>
            <w:tcW w:w="7143" w:type="dxa"/>
            <w:gridSpan w:val="3"/>
            <w:noWrap w:val="0"/>
            <w:vAlign w:val="center"/>
          </w:tcPr>
          <w:p w14:paraId="43CA8B31">
            <w:pPr>
              <w:widowControl/>
              <w:spacing w:line="360" w:lineRule="auto"/>
              <w:jc w:val="left"/>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规划环境影响评价文件：《</w:t>
            </w:r>
            <w:r>
              <w:rPr>
                <w:rFonts w:hint="default" w:ascii="Times New Roman" w:hAnsi="Times New Roman" w:cs="Times New Roman"/>
                <w:color w:val="auto"/>
                <w:kern w:val="0"/>
                <w:sz w:val="24"/>
                <w:lang w:val="en-US" w:eastAsia="zh-CN" w:bidi="ar"/>
              </w:rPr>
              <w:t>陕西省西咸新区泾河新城分区</w:t>
            </w:r>
            <w:r>
              <w:rPr>
                <w:rFonts w:hint="default" w:ascii="Times New Roman" w:hAnsi="Times New Roman" w:cs="Times New Roman"/>
                <w:color w:val="auto"/>
                <w:kern w:val="0"/>
                <w:sz w:val="24"/>
                <w:lang w:bidi="ar"/>
              </w:rPr>
              <w:t>规划</w:t>
            </w:r>
            <w:r>
              <w:rPr>
                <w:rFonts w:hint="default" w:ascii="Times New Roman" w:hAnsi="Times New Roman" w:cs="Times New Roman"/>
                <w:color w:val="auto"/>
                <w:kern w:val="0"/>
                <w:sz w:val="24"/>
                <w:lang w:eastAsia="zh-CN" w:bidi="ar"/>
              </w:rPr>
              <w:t>（</w:t>
            </w:r>
            <w:r>
              <w:rPr>
                <w:rFonts w:hint="default" w:ascii="Times New Roman" w:hAnsi="Times New Roman" w:cs="Times New Roman"/>
                <w:color w:val="auto"/>
                <w:kern w:val="0"/>
                <w:sz w:val="24"/>
                <w:lang w:val="en-US" w:eastAsia="zh-CN" w:bidi="ar"/>
              </w:rPr>
              <w:t>2016-2035</w:t>
            </w:r>
            <w:r>
              <w:rPr>
                <w:rFonts w:hint="default" w:ascii="Times New Roman" w:hAnsi="Times New Roman" w:cs="Times New Roman"/>
                <w:color w:val="auto"/>
                <w:kern w:val="0"/>
                <w:sz w:val="24"/>
                <w:lang w:eastAsia="zh-CN" w:bidi="ar"/>
              </w:rPr>
              <w:t>）</w:t>
            </w:r>
            <w:r>
              <w:rPr>
                <w:rFonts w:hint="default" w:ascii="Times New Roman" w:hAnsi="Times New Roman" w:cs="Times New Roman"/>
                <w:color w:val="auto"/>
                <w:kern w:val="0"/>
                <w:sz w:val="24"/>
                <w:lang w:bidi="ar"/>
              </w:rPr>
              <w:t>环境影响报告书》</w:t>
            </w:r>
          </w:p>
          <w:p w14:paraId="29056088">
            <w:pPr>
              <w:widowControl/>
              <w:spacing w:line="360" w:lineRule="auto"/>
              <w:jc w:val="left"/>
              <w:rPr>
                <w:rFonts w:hint="default" w:ascii="Times New Roman" w:hAnsi="Times New Roman" w:eastAsia="宋体" w:cs="Times New Roman"/>
                <w:color w:val="auto"/>
                <w:lang w:val="en-US" w:eastAsia="zh-CN"/>
              </w:rPr>
            </w:pPr>
            <w:r>
              <w:rPr>
                <w:rFonts w:hint="default" w:ascii="Times New Roman" w:hAnsi="Times New Roman" w:cs="Times New Roman"/>
                <w:color w:val="auto"/>
                <w:kern w:val="0"/>
                <w:sz w:val="24"/>
                <w:lang w:bidi="ar"/>
              </w:rPr>
              <w:t>召集审查机关：</w:t>
            </w:r>
            <w:r>
              <w:rPr>
                <w:rFonts w:hint="default" w:ascii="Times New Roman" w:hAnsi="Times New Roman" w:cs="Times New Roman"/>
                <w:color w:val="auto"/>
                <w:kern w:val="0"/>
                <w:sz w:val="24"/>
                <w:lang w:val="en-US" w:eastAsia="zh-CN" w:bidi="ar"/>
              </w:rPr>
              <w:t>陕西省西咸新区生态环境局</w:t>
            </w:r>
          </w:p>
          <w:p w14:paraId="1EBAFA70">
            <w:pPr>
              <w:autoSpaceDE w:val="0"/>
              <w:autoSpaceDN w:val="0"/>
              <w:adjustRightInd w:val="0"/>
              <w:snapToGrid w:val="0"/>
              <w:spacing w:line="360" w:lineRule="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lang w:bidi="ar"/>
              </w:rPr>
              <w:t>审查文件名称及文号：</w:t>
            </w:r>
            <w:r>
              <w:rPr>
                <w:rFonts w:hint="default" w:ascii="Times New Roman" w:hAnsi="Times New Roman" w:cs="Times New Roman"/>
                <w:color w:val="auto"/>
                <w:kern w:val="0"/>
                <w:sz w:val="24"/>
                <w:szCs w:val="24"/>
              </w:rPr>
              <w:t>《关于〈西咸新区泾河新城分区规划（2016</w:t>
            </w:r>
            <w:r>
              <w:rPr>
                <w:rFonts w:hint="default" w:ascii="Times New Roman" w:hAnsi="Times New Roman" w:cs="Times New Roman"/>
                <w:color w:val="auto"/>
                <w:kern w:val="0"/>
                <w:sz w:val="24"/>
                <w:szCs w:val="24"/>
                <w:lang w:val="en-US" w:eastAsia="zh-CN"/>
              </w:rPr>
              <w:t>-</w:t>
            </w:r>
            <w:r>
              <w:rPr>
                <w:rFonts w:hint="default" w:ascii="Times New Roman" w:hAnsi="Times New Roman" w:cs="Times New Roman"/>
                <w:color w:val="auto"/>
                <w:kern w:val="0"/>
                <w:sz w:val="24"/>
                <w:szCs w:val="24"/>
              </w:rPr>
              <w:t>2035）环境影响报告书〉审查意见的函》（陕西咸环函</w:t>
            </w:r>
            <w:r>
              <w:rPr>
                <w:rFonts w:hint="default" w:ascii="Times New Roman" w:hAnsi="Times New Roman" w:eastAsia="宋体" w:cs="Times New Roman"/>
                <w:color w:val="auto"/>
                <w:kern w:val="0"/>
                <w:sz w:val="24"/>
                <w:szCs w:val="24"/>
              </w:rPr>
              <w:t>〔</w:t>
            </w:r>
            <w:r>
              <w:rPr>
                <w:rFonts w:hint="default" w:ascii="Times New Roman" w:hAnsi="Times New Roman" w:cs="Times New Roman"/>
                <w:color w:val="auto"/>
                <w:kern w:val="0"/>
                <w:sz w:val="24"/>
                <w:szCs w:val="24"/>
              </w:rPr>
              <w:t>2021</w:t>
            </w:r>
            <w:r>
              <w:rPr>
                <w:rFonts w:hint="default" w:ascii="Times New Roman" w:hAnsi="Times New Roman" w:eastAsia="宋体" w:cs="Times New Roman"/>
                <w:color w:val="auto"/>
                <w:kern w:val="0"/>
                <w:sz w:val="24"/>
                <w:szCs w:val="24"/>
              </w:rPr>
              <w:t>〕</w:t>
            </w:r>
            <w:r>
              <w:rPr>
                <w:rFonts w:hint="default" w:ascii="Times New Roman" w:hAnsi="Times New Roman" w:cs="Times New Roman"/>
                <w:color w:val="auto"/>
                <w:kern w:val="0"/>
                <w:sz w:val="24"/>
                <w:szCs w:val="24"/>
              </w:rPr>
              <w:t>41号）</w:t>
            </w:r>
          </w:p>
        </w:tc>
      </w:tr>
      <w:tr w14:paraId="53C098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27" w:type="dxa"/>
            <w:noWrap w:val="0"/>
            <w:vAlign w:val="center"/>
          </w:tcPr>
          <w:p w14:paraId="42F26552">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规划及规划</w:t>
            </w:r>
          </w:p>
          <w:p w14:paraId="3ADD677F">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环境影响评价符合性分析</w:t>
            </w:r>
          </w:p>
        </w:tc>
        <w:tc>
          <w:tcPr>
            <w:tcW w:w="7143" w:type="dxa"/>
            <w:gridSpan w:val="3"/>
            <w:noWrap w:val="0"/>
            <w:vAlign w:val="center"/>
          </w:tcPr>
          <w:p w14:paraId="4744C499">
            <w:pPr>
              <w:autoSpaceDE w:val="0"/>
              <w:autoSpaceDN w:val="0"/>
              <w:adjustRightInd w:val="0"/>
              <w:snapToGrid w:val="0"/>
              <w:spacing w:line="360" w:lineRule="auto"/>
              <w:ind w:firstLine="480" w:firstLineChars="200"/>
              <w:jc w:val="both"/>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与相关规划、规划环评结论及审查意见的符合性见下表。</w:t>
            </w:r>
          </w:p>
          <w:p w14:paraId="51AB9DA2">
            <w:pPr>
              <w:pStyle w:val="4"/>
              <w:spacing w:line="240" w:lineRule="auto"/>
              <w:jc w:val="center"/>
              <w:rPr>
                <w:rFonts w:hint="default" w:ascii="Times New Roman" w:hAnsi="Times New Roman" w:cs="Times New Roman"/>
                <w:b/>
                <w:bCs/>
                <w:color w:val="auto"/>
                <w:sz w:val="21"/>
                <w:szCs w:val="21"/>
                <w:lang w:val="en-US" w:eastAsia="zh-CN"/>
              </w:rPr>
            </w:pPr>
            <w:bookmarkStart w:id="4" w:name="_Toc24745"/>
            <w:r>
              <w:rPr>
                <w:rFonts w:hint="default" w:ascii="Times New Roman" w:hAnsi="Times New Roman" w:cs="Times New Roman"/>
                <w:b/>
                <w:bCs/>
                <w:color w:val="auto"/>
                <w:kern w:val="0"/>
                <w:sz w:val="24"/>
                <w:szCs w:val="24"/>
                <w:lang w:val="en-US" w:eastAsia="zh-CN" w:bidi="ar"/>
              </w:rPr>
              <w:t>表1-1 与相关规划及规划环评符合性分析</w:t>
            </w:r>
            <w:bookmarkEnd w:id="4"/>
          </w:p>
          <w:tbl>
            <w:tblPr>
              <w:tblStyle w:val="26"/>
              <w:tblW w:w="700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6"/>
              <w:gridCol w:w="2820"/>
              <w:gridCol w:w="2235"/>
              <w:gridCol w:w="879"/>
            </w:tblGrid>
            <w:tr w14:paraId="003117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6" w:type="dxa"/>
                  <w:tcBorders>
                    <w:tl2br w:val="nil"/>
                    <w:tr2bl w:val="nil"/>
                  </w:tcBorders>
                  <w:noWrap w:val="0"/>
                  <w:vAlign w:val="center"/>
                </w:tcPr>
                <w:p w14:paraId="712310EA">
                  <w:pPr>
                    <w:widowControl/>
                    <w:jc w:val="center"/>
                    <w:rPr>
                      <w:rFonts w:hint="default" w:ascii="Times New Roman" w:hAnsi="Times New Roman" w:cs="Times New Roman"/>
                      <w:b/>
                      <w:bCs/>
                      <w:color w:val="auto"/>
                      <w:kern w:val="0"/>
                      <w:szCs w:val="21"/>
                      <w:lang w:bidi="ar"/>
                    </w:rPr>
                  </w:pPr>
                  <w:r>
                    <w:rPr>
                      <w:rFonts w:hint="default" w:ascii="Times New Roman" w:hAnsi="Times New Roman" w:cs="Times New Roman"/>
                      <w:b/>
                      <w:bCs/>
                      <w:color w:val="auto"/>
                      <w:kern w:val="0"/>
                      <w:szCs w:val="21"/>
                      <w:lang w:bidi="ar"/>
                    </w:rPr>
                    <w:t>名称</w:t>
                  </w:r>
                </w:p>
              </w:tc>
              <w:tc>
                <w:tcPr>
                  <w:tcW w:w="2820" w:type="dxa"/>
                  <w:tcBorders>
                    <w:tl2br w:val="nil"/>
                    <w:tr2bl w:val="nil"/>
                  </w:tcBorders>
                  <w:noWrap w:val="0"/>
                  <w:vAlign w:val="center"/>
                </w:tcPr>
                <w:p w14:paraId="28E4D440">
                  <w:pPr>
                    <w:widowControl/>
                    <w:jc w:val="center"/>
                    <w:rPr>
                      <w:rFonts w:hint="default" w:ascii="Times New Roman" w:hAnsi="Times New Roman" w:cs="Times New Roman"/>
                      <w:b/>
                      <w:bCs/>
                      <w:color w:val="auto"/>
                      <w:kern w:val="0"/>
                      <w:szCs w:val="21"/>
                      <w:lang w:bidi="ar"/>
                    </w:rPr>
                  </w:pPr>
                  <w:r>
                    <w:rPr>
                      <w:rFonts w:hint="default" w:ascii="Times New Roman" w:hAnsi="Times New Roman" w:cs="Times New Roman"/>
                      <w:b/>
                      <w:bCs/>
                      <w:color w:val="auto"/>
                      <w:kern w:val="0"/>
                      <w:szCs w:val="21"/>
                      <w:lang w:bidi="ar"/>
                    </w:rPr>
                    <w:t>相关内容</w:t>
                  </w:r>
                </w:p>
              </w:tc>
              <w:tc>
                <w:tcPr>
                  <w:tcW w:w="2235" w:type="dxa"/>
                  <w:tcBorders>
                    <w:tl2br w:val="nil"/>
                    <w:tr2bl w:val="nil"/>
                  </w:tcBorders>
                  <w:noWrap w:val="0"/>
                  <w:vAlign w:val="center"/>
                </w:tcPr>
                <w:p w14:paraId="2F6415AD">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本项目情况</w:t>
                  </w:r>
                </w:p>
              </w:tc>
              <w:tc>
                <w:tcPr>
                  <w:tcW w:w="879" w:type="dxa"/>
                  <w:tcBorders>
                    <w:tl2br w:val="nil"/>
                    <w:tr2bl w:val="nil"/>
                  </w:tcBorders>
                  <w:noWrap w:val="0"/>
                  <w:vAlign w:val="center"/>
                </w:tcPr>
                <w:p w14:paraId="0BF448B2">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符合性</w:t>
                  </w:r>
                </w:p>
              </w:tc>
            </w:tr>
            <w:tr w14:paraId="2C4070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6" w:type="dxa"/>
                  <w:tcBorders>
                    <w:tl2br w:val="nil"/>
                    <w:tr2bl w:val="nil"/>
                  </w:tcBorders>
                  <w:noWrap w:val="0"/>
                  <w:vAlign w:val="center"/>
                </w:tcPr>
                <w:p w14:paraId="1A99D086">
                  <w:pPr>
                    <w:widowControl/>
                    <w:jc w:val="left"/>
                    <w:rPr>
                      <w:rFonts w:hint="default" w:ascii="Times New Roman" w:hAnsi="Times New Roman" w:eastAsia="宋体" w:cs="Times New Roman"/>
                      <w:color w:val="auto"/>
                      <w:kern w:val="0"/>
                      <w:szCs w:val="21"/>
                      <w:lang w:eastAsia="zh-CN" w:bidi="ar"/>
                    </w:rPr>
                  </w:pPr>
                  <w:r>
                    <w:rPr>
                      <w:rFonts w:hint="default" w:ascii="Times New Roman" w:hAnsi="Times New Roman" w:cs="Times New Roman"/>
                      <w:color w:val="auto"/>
                      <w:kern w:val="0"/>
                      <w:szCs w:val="21"/>
                      <w:lang w:bidi="ar"/>
                    </w:rPr>
                    <w:t>《</w:t>
                  </w:r>
                  <w:r>
                    <w:rPr>
                      <w:rFonts w:hint="default" w:ascii="Times New Roman" w:hAnsi="Times New Roman" w:cs="Times New Roman"/>
                      <w:color w:val="auto"/>
                      <w:kern w:val="0"/>
                      <w:szCs w:val="21"/>
                      <w:lang w:val="en-US" w:eastAsia="zh-CN" w:bidi="ar"/>
                    </w:rPr>
                    <w:t>西咸新区-泾河新城分区规划修编（2016-2035）</w:t>
                  </w:r>
                  <w:r>
                    <w:rPr>
                      <w:rFonts w:hint="default" w:ascii="Times New Roman" w:hAnsi="Times New Roman" w:cs="Times New Roman"/>
                      <w:color w:val="auto"/>
                      <w:kern w:val="0"/>
                      <w:szCs w:val="21"/>
                      <w:lang w:bidi="ar"/>
                    </w:rPr>
                    <w:t>》</w:t>
                  </w:r>
                </w:p>
              </w:tc>
              <w:tc>
                <w:tcPr>
                  <w:tcW w:w="2820" w:type="dxa"/>
                  <w:tcBorders>
                    <w:tl2br w:val="nil"/>
                    <w:tr2bl w:val="nil"/>
                  </w:tcBorders>
                  <w:noWrap w:val="0"/>
                  <w:vAlign w:val="center"/>
                </w:tcPr>
                <w:p w14:paraId="437248E0">
                  <w:pPr>
                    <w:widowControl/>
                    <w:jc w:val="left"/>
                    <w:rPr>
                      <w:rFonts w:hint="default" w:ascii="Times New Roman" w:hAnsi="Times New Roman" w:eastAsia="宋体" w:cs="Times New Roman"/>
                      <w:color w:val="auto"/>
                      <w:kern w:val="0"/>
                      <w:szCs w:val="21"/>
                      <w:lang w:val="en-US" w:eastAsia="zh-CN" w:bidi="ar"/>
                    </w:rPr>
                  </w:pPr>
                  <w:r>
                    <w:rPr>
                      <w:rFonts w:hint="default" w:ascii="Times New Roman" w:hAnsi="Times New Roman" w:cs="Times New Roman"/>
                      <w:b w:val="0"/>
                      <w:bCs w:val="0"/>
                      <w:color w:val="auto"/>
                      <w:sz w:val="21"/>
                      <w:szCs w:val="21"/>
                    </w:rPr>
                    <w:t>规划将泾河新城总体定位为：以先进制造业、现代服务业、现代农业为主导产业，以智能制造、生产性服务、文化旅游和茯茶产业为特色产业，具有浓厚古今文化韵味、智慧宜居氛围的大西安北部生态休闲示范区和渭北创新产业服务高地。</w:t>
                  </w:r>
                </w:p>
              </w:tc>
              <w:tc>
                <w:tcPr>
                  <w:tcW w:w="2235" w:type="dxa"/>
                  <w:vMerge w:val="restart"/>
                  <w:tcBorders>
                    <w:tl2br w:val="nil"/>
                    <w:tr2bl w:val="nil"/>
                  </w:tcBorders>
                  <w:noWrap w:val="0"/>
                  <w:vAlign w:val="center"/>
                </w:tcPr>
                <w:p w14:paraId="334C7DFE">
                  <w:pPr>
                    <w:widowControl/>
                    <w:jc w:val="left"/>
                    <w:rPr>
                      <w:rFonts w:hint="default" w:ascii="Times New Roman" w:hAnsi="Times New Roman" w:eastAsia="宋体" w:cs="Times New Roman"/>
                      <w:color w:val="auto"/>
                      <w:kern w:val="0"/>
                      <w:szCs w:val="21"/>
                      <w:lang w:val="en-US" w:eastAsia="zh-CN" w:bidi="ar"/>
                    </w:rPr>
                  </w:pPr>
                  <w:r>
                    <w:rPr>
                      <w:rFonts w:hint="default" w:ascii="Times New Roman" w:hAnsi="Times New Roman" w:cs="Times New Roman"/>
                      <w:color w:val="auto"/>
                      <w:kern w:val="0"/>
                      <w:szCs w:val="21"/>
                      <w:lang w:bidi="ar"/>
                    </w:rPr>
                    <w:t>本项目</w:t>
                  </w:r>
                  <w:r>
                    <w:rPr>
                      <w:rFonts w:hint="default" w:ascii="Times New Roman" w:hAnsi="Times New Roman" w:cs="Times New Roman"/>
                      <w:color w:val="auto"/>
                      <w:kern w:val="0"/>
                      <w:szCs w:val="21"/>
                      <w:lang w:val="en-US" w:eastAsia="zh-CN" w:bidi="ar"/>
                    </w:rPr>
                    <w:t>位于西咸新区泾河新城永乐镇泾河智造创新产业园，属于规划范围内。本项目为新建项目，主要进行高效氢燃料电池膜电极生产，属于</w:t>
                  </w:r>
                  <w:r>
                    <w:rPr>
                      <w:rFonts w:hint="eastAsia" w:ascii="Times New Roman" w:hAnsi="Times New Roman" w:cs="Times New Roman"/>
                      <w:color w:val="auto"/>
                      <w:kern w:val="0"/>
                      <w:szCs w:val="21"/>
                      <w:lang w:val="en-US" w:eastAsia="zh-CN" w:bidi="ar"/>
                    </w:rPr>
                    <w:t>先进</w:t>
                  </w:r>
                  <w:r>
                    <w:rPr>
                      <w:rFonts w:hint="default" w:ascii="Times New Roman" w:hAnsi="Times New Roman" w:cs="Times New Roman"/>
                      <w:color w:val="auto"/>
                      <w:kern w:val="0"/>
                      <w:szCs w:val="21"/>
                      <w:lang w:val="en-US" w:eastAsia="zh-CN" w:bidi="ar"/>
                    </w:rPr>
                    <w:t>制造业，符合产业定位。</w:t>
                  </w:r>
                </w:p>
              </w:tc>
              <w:tc>
                <w:tcPr>
                  <w:tcW w:w="879" w:type="dxa"/>
                  <w:tcBorders>
                    <w:tl2br w:val="nil"/>
                    <w:tr2bl w:val="nil"/>
                  </w:tcBorders>
                  <w:noWrap w:val="0"/>
                  <w:vAlign w:val="center"/>
                </w:tcPr>
                <w:p w14:paraId="5B03C20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7AA087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6" w:type="dxa"/>
                  <w:tcBorders>
                    <w:tl2br w:val="nil"/>
                    <w:tr2bl w:val="nil"/>
                  </w:tcBorders>
                  <w:noWrap w:val="0"/>
                  <w:vAlign w:val="center"/>
                </w:tcPr>
                <w:p w14:paraId="132AAE4E">
                  <w:pPr>
                    <w:jc w:val="center"/>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rPr>
                    <w:t>《陕西省西咸新区泾河新城控制性详细规划（2016-2035）》</w:t>
                  </w:r>
                </w:p>
              </w:tc>
              <w:tc>
                <w:tcPr>
                  <w:tcW w:w="2820" w:type="dxa"/>
                  <w:tcBorders>
                    <w:tl2br w:val="nil"/>
                    <w:tr2bl w:val="nil"/>
                  </w:tcBorders>
                  <w:noWrap w:val="0"/>
                  <w:vAlign w:val="center"/>
                </w:tcPr>
                <w:p w14:paraId="484E9F8E">
                  <w:pPr>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rPr>
                    <w:t>规划将泾河新城总体定位为：以先进制造业、现代服务业、现代农业为主导产业，以智能制造、生产性服务、文化旅游和茯茶产业为特色产业，具有浓厚古今文化韵味、智慧宜居氛围的大西安北部生态休闲示范区和渭北创新产业服务高地。</w:t>
                  </w:r>
                </w:p>
              </w:tc>
              <w:tc>
                <w:tcPr>
                  <w:tcW w:w="2235" w:type="dxa"/>
                  <w:vMerge w:val="continue"/>
                  <w:tcBorders>
                    <w:tl2br w:val="nil"/>
                    <w:tr2bl w:val="nil"/>
                  </w:tcBorders>
                  <w:noWrap w:val="0"/>
                  <w:vAlign w:val="center"/>
                </w:tcPr>
                <w:p w14:paraId="0CE70254">
                  <w:pPr>
                    <w:widowControl/>
                    <w:jc w:val="left"/>
                    <w:rPr>
                      <w:rFonts w:hint="default" w:ascii="Times New Roman" w:hAnsi="Times New Roman" w:cs="Times New Roman"/>
                      <w:color w:val="auto"/>
                      <w:kern w:val="0"/>
                      <w:szCs w:val="21"/>
                      <w:lang w:bidi="ar"/>
                    </w:rPr>
                  </w:pPr>
                </w:p>
              </w:tc>
              <w:tc>
                <w:tcPr>
                  <w:tcW w:w="879" w:type="dxa"/>
                  <w:tcBorders>
                    <w:tl2br w:val="nil"/>
                    <w:tr2bl w:val="nil"/>
                  </w:tcBorders>
                  <w:noWrap w:val="0"/>
                  <w:vAlign w:val="center"/>
                </w:tcPr>
                <w:p w14:paraId="31B0CE74">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符合</w:t>
                  </w:r>
                </w:p>
              </w:tc>
            </w:tr>
            <w:tr w14:paraId="3B0AF7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17" w:hRule="atLeast"/>
                <w:jc w:val="center"/>
              </w:trPr>
              <w:tc>
                <w:tcPr>
                  <w:tcW w:w="1066" w:type="dxa"/>
                  <w:vMerge w:val="restart"/>
                  <w:tcBorders>
                    <w:tl2br w:val="nil"/>
                    <w:tr2bl w:val="nil"/>
                  </w:tcBorders>
                  <w:noWrap w:val="0"/>
                  <w:vAlign w:val="center"/>
                </w:tcPr>
                <w:p w14:paraId="208271D0">
                  <w:pPr>
                    <w:widowControl/>
                    <w:jc w:val="left"/>
                    <w:rPr>
                      <w:rFonts w:hint="default" w:ascii="Times New Roman" w:hAnsi="Times New Roman" w:cs="Times New Roman"/>
                      <w:color w:val="auto"/>
                      <w:kern w:val="0"/>
                      <w:szCs w:val="21"/>
                      <w:lang w:bidi="ar"/>
                    </w:rPr>
                  </w:pPr>
                  <w:r>
                    <w:rPr>
                      <w:rFonts w:hint="default" w:ascii="Times New Roman" w:hAnsi="Times New Roman" w:cs="Times New Roman"/>
                      <w:b w:val="0"/>
                      <w:bCs w:val="0"/>
                      <w:color w:val="auto"/>
                      <w:sz w:val="21"/>
                      <w:szCs w:val="21"/>
                    </w:rPr>
                    <w:t>《陕西省西咸新区泾河新城分区规划（2016-2035）环境影响报告书》及审查意见</w:t>
                  </w:r>
                </w:p>
              </w:tc>
              <w:tc>
                <w:tcPr>
                  <w:tcW w:w="2820" w:type="dxa"/>
                  <w:tcBorders>
                    <w:tl2br w:val="nil"/>
                    <w:tr2bl w:val="nil"/>
                  </w:tcBorders>
                  <w:noWrap w:val="0"/>
                  <w:vAlign w:val="center"/>
                </w:tcPr>
                <w:p w14:paraId="76DB0812">
                  <w:pPr>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rPr>
                    <w:t>规划实施后区域污水集中收集处理，部分污水经处理作为中水回用，水污染物排放现状大幅降低，泾河能够满足水环境容量要求。</w:t>
                  </w:r>
                </w:p>
              </w:tc>
              <w:tc>
                <w:tcPr>
                  <w:tcW w:w="2235" w:type="dxa"/>
                  <w:tcBorders>
                    <w:tl2br w:val="nil"/>
                    <w:tr2bl w:val="nil"/>
                  </w:tcBorders>
                  <w:noWrap w:val="0"/>
                  <w:vAlign w:val="center"/>
                </w:tcPr>
                <w:p w14:paraId="7AA435A4">
                  <w:pPr>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rPr>
                    <w:t>本项目</w:t>
                  </w:r>
                  <w:r>
                    <w:rPr>
                      <w:rFonts w:hint="eastAsia"/>
                      <w:color w:val="auto"/>
                      <w:szCs w:val="21"/>
                    </w:rPr>
                    <w:t>中实验室器皿后段清洗废水经pH调节池收集处理后</w:t>
                  </w:r>
                  <w:r>
                    <w:rPr>
                      <w:color w:val="auto"/>
                      <w:szCs w:val="21"/>
                    </w:rPr>
                    <w:t>与生活污水</w:t>
                  </w:r>
                  <w:r>
                    <w:rPr>
                      <w:rFonts w:hint="eastAsia"/>
                      <w:color w:val="auto"/>
                      <w:szCs w:val="21"/>
                      <w:lang w:eastAsia="zh-CN"/>
                    </w:rPr>
                    <w:t>、</w:t>
                  </w:r>
                  <w:r>
                    <w:rPr>
                      <w:rFonts w:hint="eastAsia"/>
                      <w:color w:val="auto"/>
                      <w:szCs w:val="21"/>
                      <w:lang w:val="en-US" w:eastAsia="zh-CN"/>
                    </w:rPr>
                    <w:t>纯水机浓水</w:t>
                  </w:r>
                  <w:r>
                    <w:rPr>
                      <w:color w:val="auto"/>
                      <w:szCs w:val="21"/>
                    </w:rPr>
                    <w:t>一起进入化粪池处理达标后排入市政污水管网</w:t>
                  </w:r>
                  <w:r>
                    <w:rPr>
                      <w:rFonts w:hint="default" w:ascii="Times New Roman" w:hAnsi="Times New Roman" w:cs="Times New Roman"/>
                      <w:b w:val="0"/>
                      <w:bCs w:val="0"/>
                      <w:color w:val="auto"/>
                      <w:sz w:val="21"/>
                      <w:szCs w:val="21"/>
                      <w:lang w:eastAsia="zh-CN"/>
                    </w:rPr>
                    <w:t>。</w:t>
                  </w:r>
                </w:p>
              </w:tc>
              <w:tc>
                <w:tcPr>
                  <w:tcW w:w="879" w:type="dxa"/>
                  <w:tcBorders>
                    <w:tl2br w:val="nil"/>
                    <w:tr2bl w:val="nil"/>
                  </w:tcBorders>
                  <w:noWrap w:val="0"/>
                  <w:vAlign w:val="center"/>
                </w:tcPr>
                <w:p w14:paraId="1FD24821">
                  <w:pPr>
                    <w:widowControl/>
                    <w:jc w:val="center"/>
                    <w:rPr>
                      <w:rFonts w:hint="default" w:ascii="Times New Roman" w:hAnsi="Times New Roman" w:cs="Times New Roman"/>
                      <w:color w:val="auto"/>
                      <w:kern w:val="0"/>
                      <w:szCs w:val="21"/>
                      <w:lang w:bidi="ar"/>
                    </w:rPr>
                  </w:pPr>
                  <w:r>
                    <w:rPr>
                      <w:rFonts w:hint="default" w:ascii="Times New Roman" w:hAnsi="Times New Roman" w:cs="Times New Roman"/>
                      <w:color w:val="auto"/>
                      <w:szCs w:val="21"/>
                    </w:rPr>
                    <w:t>符合</w:t>
                  </w:r>
                </w:p>
              </w:tc>
            </w:tr>
            <w:tr w14:paraId="307E8E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61" w:hRule="atLeast"/>
                <w:jc w:val="center"/>
              </w:trPr>
              <w:tc>
                <w:tcPr>
                  <w:tcW w:w="1066" w:type="dxa"/>
                  <w:vMerge w:val="continue"/>
                  <w:tcBorders>
                    <w:tl2br w:val="nil"/>
                    <w:tr2bl w:val="nil"/>
                  </w:tcBorders>
                  <w:noWrap w:val="0"/>
                  <w:vAlign w:val="center"/>
                </w:tcPr>
                <w:p w14:paraId="718A1375">
                  <w:pPr>
                    <w:widowControl/>
                    <w:jc w:val="left"/>
                    <w:rPr>
                      <w:rFonts w:hint="default" w:ascii="Times New Roman" w:hAnsi="Times New Roman" w:cs="Times New Roman"/>
                      <w:color w:val="auto"/>
                      <w:kern w:val="0"/>
                      <w:szCs w:val="21"/>
                      <w:lang w:bidi="ar"/>
                    </w:rPr>
                  </w:pPr>
                </w:p>
              </w:tc>
              <w:tc>
                <w:tcPr>
                  <w:tcW w:w="2820" w:type="dxa"/>
                  <w:tcBorders>
                    <w:tl2br w:val="nil"/>
                    <w:tr2bl w:val="nil"/>
                  </w:tcBorders>
                  <w:noWrap w:val="0"/>
                  <w:vAlign w:val="center"/>
                </w:tcPr>
                <w:p w14:paraId="788C6045">
                  <w:pPr>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rPr>
                    <w:t>加强运输车辆的管理，如对运输土方、建筑垃圾或散装建材等的车辆，控制其装载量，并要求其采用篷布覆盖或密闭方式等，可减少路面尘源。</w:t>
                  </w:r>
                </w:p>
              </w:tc>
              <w:tc>
                <w:tcPr>
                  <w:tcW w:w="2235" w:type="dxa"/>
                  <w:tcBorders>
                    <w:tl2br w:val="nil"/>
                    <w:tr2bl w:val="nil"/>
                  </w:tcBorders>
                  <w:noWrap w:val="0"/>
                  <w:vAlign w:val="center"/>
                </w:tcPr>
                <w:p w14:paraId="438D93A8">
                  <w:pP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rPr>
                    <w:t>项目</w:t>
                  </w:r>
                  <w:r>
                    <w:rPr>
                      <w:rFonts w:hint="default" w:ascii="Times New Roman" w:hAnsi="Times New Roman" w:cs="Times New Roman"/>
                      <w:b w:val="0"/>
                      <w:bCs w:val="0"/>
                      <w:color w:val="auto"/>
                      <w:sz w:val="21"/>
                      <w:szCs w:val="21"/>
                      <w:lang w:val="en-US" w:eastAsia="zh-CN"/>
                    </w:rPr>
                    <w:t>利用已建成</w:t>
                  </w:r>
                  <w:r>
                    <w:rPr>
                      <w:rFonts w:hint="default" w:ascii="Times New Roman" w:hAnsi="Times New Roman" w:cs="Times New Roman"/>
                      <w:b w:val="0"/>
                      <w:bCs w:val="0"/>
                      <w:color w:val="auto"/>
                      <w:sz w:val="21"/>
                      <w:szCs w:val="21"/>
                    </w:rPr>
                    <w:t>厂房</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lang w:val="en-US" w:eastAsia="zh-CN"/>
                    </w:rPr>
                    <w:t>施工期仅为设备安装</w:t>
                  </w:r>
                  <w:r>
                    <w:rPr>
                      <w:rFonts w:hint="default" w:ascii="Times New Roman" w:hAnsi="Times New Roman" w:cs="Times New Roman"/>
                      <w:b w:val="0"/>
                      <w:bCs w:val="0"/>
                      <w:color w:val="auto"/>
                      <w:sz w:val="21"/>
                      <w:szCs w:val="21"/>
                    </w:rPr>
                    <w:t>，不涉及土方运输</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lang w:val="en-US" w:eastAsia="zh-CN"/>
                    </w:rPr>
                    <w:t>其他运输时严格按施工要求。</w:t>
                  </w:r>
                </w:p>
              </w:tc>
              <w:tc>
                <w:tcPr>
                  <w:tcW w:w="879" w:type="dxa"/>
                  <w:tcBorders>
                    <w:tl2br w:val="nil"/>
                    <w:tr2bl w:val="nil"/>
                  </w:tcBorders>
                  <w:noWrap w:val="0"/>
                  <w:vAlign w:val="center"/>
                </w:tcPr>
                <w:p w14:paraId="0A3C1873">
                  <w:pPr>
                    <w:widowControl/>
                    <w:jc w:val="center"/>
                    <w:rPr>
                      <w:rFonts w:hint="default" w:ascii="Times New Roman" w:hAnsi="Times New Roman" w:cs="Times New Roman"/>
                      <w:color w:val="auto"/>
                      <w:kern w:val="0"/>
                      <w:szCs w:val="21"/>
                      <w:lang w:bidi="ar"/>
                    </w:rPr>
                  </w:pPr>
                  <w:r>
                    <w:rPr>
                      <w:rFonts w:hint="default" w:ascii="Times New Roman" w:hAnsi="Times New Roman" w:cs="Times New Roman"/>
                      <w:color w:val="auto"/>
                      <w:szCs w:val="21"/>
                    </w:rPr>
                    <w:t>符合</w:t>
                  </w:r>
                </w:p>
              </w:tc>
            </w:tr>
            <w:tr w14:paraId="550EFB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6" w:type="dxa"/>
                  <w:vMerge w:val="continue"/>
                  <w:tcBorders>
                    <w:tl2br w:val="nil"/>
                    <w:tr2bl w:val="nil"/>
                  </w:tcBorders>
                  <w:noWrap w:val="0"/>
                  <w:vAlign w:val="center"/>
                </w:tcPr>
                <w:p w14:paraId="60986C27">
                  <w:pPr>
                    <w:widowControl/>
                    <w:jc w:val="left"/>
                    <w:rPr>
                      <w:rFonts w:hint="default" w:ascii="Times New Roman" w:hAnsi="Times New Roman" w:cs="Times New Roman"/>
                      <w:color w:val="auto"/>
                      <w:kern w:val="0"/>
                      <w:szCs w:val="21"/>
                      <w:lang w:bidi="ar"/>
                    </w:rPr>
                  </w:pPr>
                </w:p>
              </w:tc>
              <w:tc>
                <w:tcPr>
                  <w:tcW w:w="2820" w:type="dxa"/>
                  <w:tcBorders>
                    <w:tl2br w:val="nil"/>
                    <w:tr2bl w:val="nil"/>
                  </w:tcBorders>
                  <w:noWrap w:val="0"/>
                  <w:vAlign w:val="center"/>
                </w:tcPr>
                <w:p w14:paraId="64952139">
                  <w:pPr>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rPr>
                    <w:t>规划新增项目产生的一般工业固体废物可以回收利用的，企业直接回收利用，或送厂家进行回收再利用，或外卖其他企业回收利用；无法综合利用的一般工业固体废物按《一般工业固体废物贮存和填埋污染控制标准》（GB18599-2020）要求，进行贮存。对于涉及危险废物的企业应建立危险废物暂存库并严格按照重点防渗区进行防渗处理，防止污染地下水，并定期及时交由有资质单位处置，应与有危险废物处置资质单位建立长期合作关系。</w:t>
                  </w:r>
                </w:p>
              </w:tc>
              <w:tc>
                <w:tcPr>
                  <w:tcW w:w="2235" w:type="dxa"/>
                  <w:tcBorders>
                    <w:tl2br w:val="nil"/>
                    <w:tr2bl w:val="nil"/>
                  </w:tcBorders>
                  <w:noWrap w:val="0"/>
                  <w:vAlign w:val="center"/>
                </w:tcPr>
                <w:p w14:paraId="042EFBF1">
                  <w:pP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rPr>
                    <w:t>本项目产生的一般固废</w:t>
                  </w:r>
                  <w:r>
                    <w:rPr>
                      <w:rFonts w:hint="eastAsia"/>
                      <w:color w:val="auto"/>
                      <w:szCs w:val="21"/>
                      <w:lang w:val="en-US" w:eastAsia="zh-CN"/>
                    </w:rPr>
                    <w:t>废</w:t>
                  </w:r>
                  <w:r>
                    <w:rPr>
                      <w:rFonts w:hint="default"/>
                      <w:color w:val="auto"/>
                      <w:szCs w:val="21"/>
                      <w:lang w:val="en-US" w:eastAsia="zh-CN"/>
                    </w:rPr>
                    <w:t>边角料</w:t>
                  </w:r>
                  <w:r>
                    <w:rPr>
                      <w:rFonts w:hint="eastAsia"/>
                      <w:color w:val="auto"/>
                      <w:szCs w:val="21"/>
                      <w:lang w:val="en-US" w:eastAsia="zh-CN"/>
                    </w:rPr>
                    <w:t>、</w:t>
                  </w:r>
                  <w:r>
                    <w:rPr>
                      <w:rFonts w:hint="default"/>
                      <w:color w:val="auto"/>
                      <w:szCs w:val="21"/>
                      <w:lang w:val="en-US" w:eastAsia="zh-CN"/>
                    </w:rPr>
                    <w:t>废包装</w:t>
                  </w:r>
                  <w:r>
                    <w:rPr>
                      <w:rFonts w:hint="eastAsia"/>
                      <w:color w:val="auto"/>
                      <w:szCs w:val="21"/>
                      <w:lang w:val="en-US" w:eastAsia="zh-CN"/>
                    </w:rPr>
                    <w:t>材料、不合格品</w:t>
                  </w:r>
                  <w:r>
                    <w:rPr>
                      <w:rFonts w:hint="default" w:ascii="Times New Roman" w:hAnsi="Times New Roman"/>
                      <w:color w:val="auto"/>
                      <w:sz w:val="21"/>
                      <w:szCs w:val="21"/>
                      <w:lang w:val="en-US" w:eastAsia="zh-CN"/>
                    </w:rPr>
                    <w:t>集中收集后外售</w:t>
                  </w:r>
                  <w:r>
                    <w:rPr>
                      <w:rFonts w:hint="eastAsia" w:ascii="Times New Roman" w:hAnsi="Times New Roman"/>
                      <w:color w:val="auto"/>
                      <w:sz w:val="21"/>
                      <w:szCs w:val="21"/>
                      <w:lang w:val="en-US" w:eastAsia="zh-CN"/>
                    </w:rPr>
                    <w:t>，</w:t>
                  </w:r>
                  <w:r>
                    <w:rPr>
                      <w:rFonts w:hint="eastAsia"/>
                      <w:color w:val="auto"/>
                      <w:szCs w:val="21"/>
                      <w:lang w:val="en-US" w:eastAsia="zh-CN"/>
                    </w:rPr>
                    <w:t>废反渗透膜</w:t>
                  </w:r>
                  <w:r>
                    <w:rPr>
                      <w:rFonts w:hint="eastAsia"/>
                      <w:color w:val="auto"/>
                      <w:sz w:val="21"/>
                      <w:szCs w:val="21"/>
                      <w:lang w:val="en-US" w:eastAsia="zh-CN"/>
                    </w:rPr>
                    <w:t>交供应商回收利用</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lang w:val="en-US" w:eastAsia="zh-CN"/>
                    </w:rPr>
                    <w:t>危险废物暂存在危废贮存库内，交由有资质单位定期处置。</w:t>
                  </w:r>
                </w:p>
              </w:tc>
              <w:tc>
                <w:tcPr>
                  <w:tcW w:w="879" w:type="dxa"/>
                  <w:tcBorders>
                    <w:tl2br w:val="nil"/>
                    <w:tr2bl w:val="nil"/>
                  </w:tcBorders>
                  <w:noWrap w:val="0"/>
                  <w:vAlign w:val="center"/>
                </w:tcPr>
                <w:p w14:paraId="30A9D66F">
                  <w:pPr>
                    <w:widowControl/>
                    <w:jc w:val="center"/>
                    <w:rPr>
                      <w:rFonts w:hint="default" w:ascii="Times New Roman" w:hAnsi="Times New Roman" w:cs="Times New Roman"/>
                      <w:color w:val="auto"/>
                      <w:kern w:val="0"/>
                      <w:szCs w:val="21"/>
                      <w:lang w:bidi="ar"/>
                    </w:rPr>
                  </w:pPr>
                  <w:r>
                    <w:rPr>
                      <w:rFonts w:hint="default" w:ascii="Times New Roman" w:hAnsi="Times New Roman" w:cs="Times New Roman"/>
                      <w:color w:val="auto"/>
                      <w:szCs w:val="21"/>
                    </w:rPr>
                    <w:t>符合</w:t>
                  </w:r>
                </w:p>
              </w:tc>
            </w:tr>
          </w:tbl>
          <w:p w14:paraId="6D0FBE24">
            <w:pPr>
              <w:pStyle w:val="11"/>
              <w:rPr>
                <w:rFonts w:hint="default" w:ascii="Times New Roman" w:hAnsi="Times New Roman" w:cs="Times New Roman"/>
                <w:color w:val="auto"/>
                <w:lang w:val="en-US" w:eastAsia="zh-CN"/>
              </w:rPr>
            </w:pPr>
          </w:p>
        </w:tc>
      </w:tr>
      <w:tr w14:paraId="0B7357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27" w:type="dxa"/>
            <w:noWrap w:val="0"/>
            <w:vAlign w:val="center"/>
          </w:tcPr>
          <w:p w14:paraId="4E607826">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其他</w:t>
            </w:r>
          </w:p>
          <w:p w14:paraId="23F4FA52">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符合性分析</w:t>
            </w:r>
          </w:p>
        </w:tc>
        <w:tc>
          <w:tcPr>
            <w:tcW w:w="7143" w:type="dxa"/>
            <w:gridSpan w:val="3"/>
            <w:noWrap w:val="0"/>
            <w:vAlign w:val="center"/>
          </w:tcPr>
          <w:p w14:paraId="3EC6224A">
            <w:pPr>
              <w:numPr>
                <w:ilvl w:val="0"/>
                <w:numId w:val="0"/>
              </w:numPr>
              <w:spacing w:line="360" w:lineRule="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kern w:val="2"/>
                <w:sz w:val="24"/>
                <w:szCs w:val="24"/>
                <w:lang w:val="en-US" w:eastAsia="zh-CN" w:bidi="ar-SA"/>
              </w:rPr>
              <w:t>1、</w:t>
            </w:r>
            <w:r>
              <w:rPr>
                <w:rFonts w:hint="default" w:ascii="Times New Roman" w:hAnsi="Times New Roman" w:cs="Times New Roman"/>
                <w:b/>
                <w:bCs/>
                <w:color w:val="auto"/>
                <w:sz w:val="24"/>
                <w:szCs w:val="24"/>
                <w:lang w:val="en-US" w:eastAsia="zh-CN"/>
              </w:rPr>
              <w:t>产业政策符合性分析</w:t>
            </w:r>
          </w:p>
          <w:p w14:paraId="14D5358D">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根据《产业结构调整指导目录（2024年本）》，本项目不属于其中规定的鼓励类，限制类和淘汰类项目；经查阅，本项目不属于《市场准入负面清单（2025年版）》中禁止或许可准入类；不属于《陕西省限制投资类产业指导目录》中限制投资类产业。</w:t>
            </w:r>
          </w:p>
          <w:p w14:paraId="303FE91C">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本项目已取得陕西省西咸新区泾河新城管理委员会备案确认书（项目代码：</w:t>
            </w:r>
            <w:r>
              <w:rPr>
                <w:rFonts w:hint="default" w:ascii="Times New Roman" w:hAnsi="Times New Roman" w:eastAsia="宋体" w:cs="Times New Roman"/>
                <w:color w:val="auto"/>
                <w:sz w:val="24"/>
                <w:szCs w:val="24"/>
                <w:lang w:val="en-US" w:eastAsia="zh-CN"/>
              </w:rPr>
              <w:t>2506-611206-04-05-188230</w:t>
            </w:r>
            <w:r>
              <w:rPr>
                <w:rFonts w:hint="default" w:ascii="Times New Roman" w:hAnsi="Times New Roman" w:cs="Times New Roman"/>
                <w:color w:val="auto"/>
                <w:sz w:val="24"/>
                <w:szCs w:val="24"/>
                <w:lang w:val="en-US" w:eastAsia="zh-CN"/>
              </w:rPr>
              <w:t>），见附件2。</w:t>
            </w:r>
          </w:p>
          <w:p w14:paraId="3A1D4EFC">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因此，本项目符合相关产业政策。</w:t>
            </w:r>
          </w:p>
          <w:p w14:paraId="1696E001">
            <w:pPr>
              <w:numPr>
                <w:ilvl w:val="0"/>
                <w:numId w:val="2"/>
              </w:numPr>
              <w:spacing w:line="360" w:lineRule="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w:t>
            </w:r>
            <w:r>
              <w:rPr>
                <w:rFonts w:hint="default" w:ascii="Times New Roman" w:hAnsi="Times New Roman" w:cs="Times New Roman"/>
                <w:b/>
                <w:bCs/>
                <w:color w:val="auto"/>
                <w:sz w:val="24"/>
                <w:szCs w:val="24"/>
                <w:lang w:val="en-US" w:eastAsia="zh-CN"/>
              </w:rPr>
              <w:t>三线一单</w:t>
            </w:r>
            <w:r>
              <w:rPr>
                <w:rFonts w:hint="eastAsia" w:ascii="Times New Roman" w:hAnsi="Times New Roman" w:cs="Times New Roman"/>
                <w:b/>
                <w:bCs/>
                <w:color w:val="auto"/>
                <w:sz w:val="24"/>
                <w:szCs w:val="24"/>
                <w:lang w:val="en-US" w:eastAsia="zh-CN"/>
              </w:rPr>
              <w:t>”</w:t>
            </w:r>
            <w:r>
              <w:rPr>
                <w:rFonts w:hint="default" w:ascii="Times New Roman" w:hAnsi="Times New Roman" w:cs="Times New Roman"/>
                <w:b/>
                <w:bCs/>
                <w:color w:val="auto"/>
                <w:sz w:val="24"/>
                <w:szCs w:val="24"/>
                <w:lang w:val="en-US" w:eastAsia="zh-CN"/>
              </w:rPr>
              <w:t>符合性分析</w:t>
            </w:r>
          </w:p>
          <w:p w14:paraId="3D902E3A">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eastAsia"/>
                <w:color w:val="auto"/>
                <w:sz w:val="24"/>
              </w:rPr>
              <w:t>根据《2023年陕西省生态环境分区管控成果动态更新实施方案》</w:t>
            </w:r>
            <w:r>
              <w:rPr>
                <w:rFonts w:hint="default" w:ascii="Times New Roman" w:hAnsi="Times New Roman" w:eastAsia="宋体" w:cs="Times New Roman"/>
                <w:color w:val="auto"/>
                <w:sz w:val="24"/>
                <w:lang w:val="en-US" w:eastAsia="zh-CN"/>
              </w:rPr>
              <w:t>（市生态委办发〔2024〕16号）</w:t>
            </w:r>
            <w:r>
              <w:rPr>
                <w:rFonts w:hint="eastAsia"/>
                <w:color w:val="auto"/>
                <w:sz w:val="24"/>
              </w:rPr>
              <w:t>及《陕西省“</w:t>
            </w:r>
            <w:r>
              <w:rPr>
                <w:color w:val="auto"/>
                <w:sz w:val="24"/>
              </w:rPr>
              <w:t>三线一单</w:t>
            </w:r>
            <w:r>
              <w:rPr>
                <w:rFonts w:hint="eastAsia"/>
                <w:color w:val="auto"/>
                <w:sz w:val="24"/>
              </w:rPr>
              <w:t>”</w:t>
            </w:r>
            <w:r>
              <w:rPr>
                <w:color w:val="auto"/>
                <w:sz w:val="24"/>
              </w:rPr>
              <w:t>生态环境分区管控</w:t>
            </w:r>
            <w:r>
              <w:rPr>
                <w:rFonts w:hint="eastAsia"/>
                <w:color w:val="auto"/>
                <w:sz w:val="24"/>
              </w:rPr>
              <w:t>应用技术指南：环境影响评价（试行）》，环评文件涉及“三线一单”生态环境分区管控符合性分析应采取“一图一表一说明”的表达方式，本项目生态环境分区管控符合性分析如下</w:t>
            </w:r>
            <w:r>
              <w:rPr>
                <w:rFonts w:hint="eastAsia" w:cs="Times New Roman"/>
                <w:color w:val="auto"/>
                <w:kern w:val="0"/>
                <w:sz w:val="24"/>
                <w:lang w:val="en-US" w:eastAsia="zh-CN"/>
              </w:rPr>
              <w:t>：</w:t>
            </w:r>
          </w:p>
          <w:p w14:paraId="4391214A">
            <w:pPr>
              <w:numPr>
                <w:ilvl w:val="0"/>
                <w:numId w:val="0"/>
              </w:num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（1）一图</w:t>
            </w:r>
          </w:p>
          <w:p w14:paraId="0AAACF83">
            <w:pPr>
              <w:numPr>
                <w:ilvl w:val="0"/>
                <w:numId w:val="0"/>
              </w:numPr>
              <w:spacing w:line="360" w:lineRule="auto"/>
              <w:ind w:firstLine="480" w:firstLineChars="200"/>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根据</w:t>
            </w:r>
            <w:r>
              <w:rPr>
                <w:rFonts w:hint="eastAsia"/>
                <w:color w:val="auto"/>
                <w:sz w:val="24"/>
                <w:lang w:eastAsia="zh-CN"/>
              </w:rPr>
              <w:t>《</w:t>
            </w:r>
            <w:r>
              <w:rPr>
                <w:rFonts w:hint="eastAsia"/>
                <w:color w:val="auto"/>
                <w:sz w:val="24"/>
                <w:lang w:val="en-US" w:eastAsia="zh-CN"/>
              </w:rPr>
              <w:t>2023年咸阳市生态环境分区管控调整方案</w:t>
            </w:r>
            <w:r>
              <w:rPr>
                <w:rFonts w:hint="eastAsia"/>
                <w:color w:val="auto"/>
                <w:sz w:val="24"/>
                <w:lang w:eastAsia="zh-CN"/>
              </w:rPr>
              <w:t>》（咸政办函〔2024〕162号）</w:t>
            </w:r>
            <w:r>
              <w:rPr>
                <w:rFonts w:hint="default" w:ascii="Times New Roman" w:hAnsi="Times New Roman" w:cs="Times New Roman"/>
                <w:b w:val="0"/>
                <w:bCs w:val="0"/>
                <w:color w:val="auto"/>
                <w:sz w:val="24"/>
                <w:szCs w:val="24"/>
                <w:lang w:val="en-US" w:eastAsia="zh-CN"/>
              </w:rPr>
              <w:t>，本</w:t>
            </w:r>
            <w:r>
              <w:rPr>
                <w:rFonts w:hint="default" w:ascii="Times New Roman" w:hAnsi="Times New Roman" w:cs="Times New Roman"/>
                <w:b w:val="0"/>
                <w:bCs w:val="0"/>
                <w:color w:val="auto"/>
                <w:sz w:val="24"/>
                <w:szCs w:val="24"/>
                <w:highlight w:val="none"/>
                <w:lang w:val="en-US" w:eastAsia="zh-CN"/>
              </w:rPr>
              <w:t>项目位于重点管控单元，本项目与</w:t>
            </w:r>
            <w:r>
              <w:rPr>
                <w:rFonts w:hint="eastAsia" w:ascii="Times New Roman" w:hAnsi="Times New Roman" w:cs="Times New Roman"/>
                <w:b w:val="0"/>
                <w:bCs w:val="0"/>
                <w:color w:val="auto"/>
                <w:sz w:val="24"/>
                <w:szCs w:val="24"/>
                <w:highlight w:val="none"/>
                <w:lang w:val="en-US" w:eastAsia="zh-CN"/>
              </w:rPr>
              <w:t>咸阳</w:t>
            </w:r>
            <w:r>
              <w:rPr>
                <w:rFonts w:hint="default" w:ascii="Times New Roman" w:hAnsi="Times New Roman" w:cs="Times New Roman"/>
                <w:b w:val="0"/>
                <w:bCs w:val="0"/>
                <w:color w:val="auto"/>
                <w:sz w:val="24"/>
                <w:szCs w:val="24"/>
                <w:highlight w:val="none"/>
                <w:lang w:val="en-US" w:eastAsia="zh-CN"/>
              </w:rPr>
              <w:t>市生态环境分区管控的位置关系见图1-1。</w:t>
            </w:r>
          </w:p>
          <w:p w14:paraId="63709720">
            <w:pPr>
              <w:spacing w:line="240" w:lineRule="auto"/>
              <w:jc w:val="center"/>
              <w:rPr>
                <w:rFonts w:hint="default" w:ascii="Times New Roman" w:hAnsi="Times New Roman" w:eastAsia="宋体" w:cs="Times New Roman"/>
                <w:color w:val="auto"/>
                <w:lang w:val="en-US" w:eastAsia="zh-CN"/>
              </w:rPr>
            </w:pPr>
          </w:p>
          <w:p w14:paraId="656D29C3">
            <w:pPr>
              <w:pStyle w:val="11"/>
              <w:spacing w:line="240" w:lineRule="auto"/>
              <w:ind w:left="420" w:leftChars="0" w:hanging="420" w:hangingChars="200"/>
              <w:jc w:val="center"/>
              <w:rPr>
                <w:rFonts w:hint="default" w:ascii="Times New Roman" w:hAnsi="Times New Roman" w:cs="Times New Roman"/>
                <w:color w:val="auto"/>
              </w:rPr>
            </w:pPr>
            <w:r>
              <w:rPr>
                <w:color w:val="auto"/>
              </w:rPr>
              <w:drawing>
                <wp:inline distT="0" distB="0" distL="114300" distR="114300">
                  <wp:extent cx="3590925" cy="60483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3590925" cy="6048375"/>
                          </a:xfrm>
                          <a:prstGeom prst="rect">
                            <a:avLst/>
                          </a:prstGeom>
                          <a:noFill/>
                          <a:ln>
                            <a:noFill/>
                          </a:ln>
                        </pic:spPr>
                      </pic:pic>
                    </a:graphicData>
                  </a:graphic>
                </wp:inline>
              </w:drawing>
            </w:r>
          </w:p>
          <w:p w14:paraId="30FC63D9">
            <w:pPr>
              <w:spacing w:line="240" w:lineRule="auto"/>
              <w:jc w:val="center"/>
              <w:rPr>
                <w:rFonts w:hint="default" w:ascii="Times New Roman" w:hAnsi="Times New Roman" w:eastAsia="宋体" w:cs="Times New Roman"/>
                <w:color w:val="auto"/>
                <w:sz w:val="24"/>
                <w:szCs w:val="32"/>
                <w:lang w:val="en-US" w:eastAsia="zh-CN"/>
              </w:rPr>
            </w:pPr>
            <w:r>
              <w:rPr>
                <w:rFonts w:hint="default" w:ascii="Times New Roman" w:hAnsi="Times New Roman" w:cs="Times New Roman"/>
                <w:b/>
                <w:bCs/>
                <w:color w:val="auto"/>
                <w:sz w:val="24"/>
                <w:szCs w:val="32"/>
                <w:lang w:val="en-US" w:eastAsia="zh-CN"/>
              </w:rPr>
              <w:t>图1-</w:t>
            </w:r>
            <w:r>
              <w:rPr>
                <w:rFonts w:hint="eastAsia" w:ascii="Times New Roman" w:hAnsi="Times New Roman" w:cs="Times New Roman"/>
                <w:b/>
                <w:bCs/>
                <w:color w:val="auto"/>
                <w:sz w:val="24"/>
                <w:szCs w:val="32"/>
                <w:lang w:val="en-US" w:eastAsia="zh-CN"/>
              </w:rPr>
              <w:t>1</w:t>
            </w:r>
            <w:r>
              <w:rPr>
                <w:rFonts w:hint="default" w:ascii="Times New Roman" w:hAnsi="Times New Roman" w:cs="Times New Roman"/>
                <w:b/>
                <w:bCs/>
                <w:color w:val="auto"/>
                <w:sz w:val="24"/>
                <w:szCs w:val="32"/>
                <w:lang w:val="en-US" w:eastAsia="zh-CN"/>
              </w:rPr>
              <w:t xml:space="preserve"> 空间冲突分布图</w:t>
            </w:r>
          </w:p>
          <w:p w14:paraId="0FA1912B">
            <w:pPr>
              <w:rPr>
                <w:rFonts w:hint="default" w:ascii="Times New Roman" w:hAnsi="Times New Roman" w:cs="Times New Roman"/>
                <w:color w:val="auto"/>
                <w:lang w:val="en-US" w:eastAsia="zh-CN"/>
              </w:rPr>
            </w:pPr>
          </w:p>
          <w:p w14:paraId="049E9523">
            <w:pPr>
              <w:numPr>
                <w:ilvl w:val="0"/>
                <w:numId w:val="3"/>
              </w:num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一表</w:t>
            </w:r>
          </w:p>
          <w:p w14:paraId="04BC56AE">
            <w:pPr>
              <w:pStyle w:val="11"/>
              <w:numPr>
                <w:ilvl w:val="0"/>
                <w:numId w:val="0"/>
              </w:numPr>
              <w:spacing w:line="360" w:lineRule="auto"/>
              <w:ind w:firstLine="480" w:firstLineChars="200"/>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根据</w:t>
            </w:r>
            <w:r>
              <w:rPr>
                <w:rFonts w:hint="eastAsia"/>
                <w:color w:val="auto"/>
                <w:sz w:val="24"/>
                <w:lang w:eastAsia="zh-CN"/>
              </w:rPr>
              <w:t>《</w:t>
            </w:r>
            <w:r>
              <w:rPr>
                <w:rFonts w:hint="eastAsia"/>
                <w:color w:val="auto"/>
                <w:sz w:val="24"/>
                <w:lang w:val="en-US" w:eastAsia="zh-CN"/>
              </w:rPr>
              <w:t>2023年咸阳市生态环境分区管控调整方案</w:t>
            </w:r>
            <w:r>
              <w:rPr>
                <w:rFonts w:hint="eastAsia"/>
                <w:color w:val="auto"/>
                <w:sz w:val="24"/>
                <w:lang w:eastAsia="zh-CN"/>
              </w:rPr>
              <w:t>》（咸政办函〔2024〕162号）</w:t>
            </w:r>
            <w:r>
              <w:rPr>
                <w:rFonts w:hint="default" w:ascii="Times New Roman" w:hAnsi="Times New Roman" w:cs="Times New Roman"/>
                <w:b w:val="0"/>
                <w:bCs w:val="0"/>
                <w:color w:val="auto"/>
                <w:sz w:val="24"/>
                <w:szCs w:val="24"/>
                <w:highlight w:val="none"/>
                <w:lang w:val="en-US" w:eastAsia="zh-CN"/>
              </w:rPr>
              <w:t>，本项目与</w:t>
            </w:r>
            <w:r>
              <w:rPr>
                <w:rFonts w:hint="eastAsia" w:ascii="Times New Roman" w:hAnsi="Times New Roman" w:cs="Times New Roman"/>
                <w:b w:val="0"/>
                <w:bCs w:val="0"/>
                <w:color w:val="auto"/>
                <w:sz w:val="24"/>
                <w:szCs w:val="24"/>
                <w:highlight w:val="none"/>
                <w:lang w:val="en-US" w:eastAsia="zh-CN"/>
              </w:rPr>
              <w:t>咸阳</w:t>
            </w:r>
            <w:r>
              <w:rPr>
                <w:rFonts w:hint="default" w:ascii="Times New Roman" w:hAnsi="Times New Roman" w:cs="Times New Roman"/>
                <w:b w:val="0"/>
                <w:bCs w:val="0"/>
                <w:color w:val="auto"/>
                <w:sz w:val="24"/>
                <w:szCs w:val="24"/>
                <w:highlight w:val="none"/>
                <w:lang w:val="en-US" w:eastAsia="zh-CN"/>
              </w:rPr>
              <w:t>市生态环境管控单元准入清单符合性分析见下表。</w:t>
            </w:r>
          </w:p>
          <w:p w14:paraId="5181A742">
            <w:pPr>
              <w:pStyle w:val="4"/>
              <w:spacing w:line="240" w:lineRule="auto"/>
              <w:jc w:val="center"/>
              <w:rPr>
                <w:rFonts w:hint="default" w:ascii="Times New Roman" w:hAnsi="Times New Roman" w:eastAsia="宋体" w:cs="Times New Roman"/>
                <w:b/>
                <w:bCs/>
                <w:color w:val="auto"/>
                <w:kern w:val="0"/>
                <w:sz w:val="21"/>
                <w:szCs w:val="21"/>
                <w:lang w:val="en-US" w:eastAsia="zh-CN" w:bidi="ar"/>
              </w:rPr>
            </w:pPr>
            <w:bookmarkStart w:id="5" w:name="_Toc28423"/>
            <w:r>
              <w:rPr>
                <w:rFonts w:hint="default" w:ascii="Times New Roman" w:hAnsi="Times New Roman" w:eastAsia="宋体" w:cs="Times New Roman"/>
                <w:b/>
                <w:bCs/>
                <w:color w:val="auto"/>
                <w:kern w:val="0"/>
                <w:sz w:val="24"/>
                <w:szCs w:val="24"/>
                <w:lang w:val="en-US" w:eastAsia="zh-CN" w:bidi="ar"/>
              </w:rPr>
              <w:t xml:space="preserve">表1-2 </w:t>
            </w:r>
            <w:bookmarkEnd w:id="5"/>
            <w:r>
              <w:rPr>
                <w:rFonts w:hint="default" w:ascii="Times New Roman" w:hAnsi="Times New Roman" w:eastAsia="宋体" w:cs="Times New Roman"/>
                <w:b/>
                <w:bCs/>
                <w:color w:val="auto"/>
                <w:kern w:val="0"/>
                <w:sz w:val="24"/>
                <w:szCs w:val="24"/>
                <w:lang w:val="en-US" w:eastAsia="zh-CN" w:bidi="ar"/>
              </w:rPr>
              <w:t>与生态环境管控单元管控要求符合性分析一览表</w:t>
            </w:r>
          </w:p>
          <w:tbl>
            <w:tblPr>
              <w:tblStyle w:val="27"/>
              <w:tblW w:w="70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9"/>
              <w:gridCol w:w="405"/>
              <w:gridCol w:w="435"/>
              <w:gridCol w:w="3626"/>
              <w:gridCol w:w="480"/>
              <w:gridCol w:w="1189"/>
              <w:gridCol w:w="444"/>
            </w:tblGrid>
            <w:tr w14:paraId="16CD42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6" w:type="pct"/>
                  <w:tcBorders>
                    <w:tl2br w:val="nil"/>
                    <w:tr2bl w:val="nil"/>
                  </w:tcBorders>
                  <w:noWrap w:val="0"/>
                  <w:vAlign w:val="center"/>
                </w:tcPr>
                <w:p w14:paraId="6FF9131D">
                  <w:pPr>
                    <w:pStyle w:val="55"/>
                    <w:spacing w:before="0" w:beforeLines="0" w:line="240" w:lineRule="auto"/>
                    <w:ind w:left="0" w:leftChars="0" w:firstLine="0" w:firstLineChars="0"/>
                    <w:jc w:val="both"/>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环境管控单元名称</w:t>
                  </w:r>
                </w:p>
              </w:tc>
              <w:tc>
                <w:tcPr>
                  <w:tcW w:w="287" w:type="pct"/>
                  <w:tcBorders>
                    <w:tl2br w:val="nil"/>
                    <w:tr2bl w:val="nil"/>
                  </w:tcBorders>
                  <w:noWrap w:val="0"/>
                  <w:vAlign w:val="center"/>
                </w:tcPr>
                <w:p w14:paraId="2BD934A9">
                  <w:pPr>
                    <w:pStyle w:val="55"/>
                    <w:spacing w:before="0" w:beforeLines="0" w:line="240" w:lineRule="auto"/>
                    <w:ind w:left="0" w:leftChars="0" w:firstLine="0" w:firstLineChars="0"/>
                    <w:jc w:val="both"/>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管控维度</w:t>
                  </w:r>
                </w:p>
              </w:tc>
              <w:tc>
                <w:tcPr>
                  <w:tcW w:w="2885" w:type="pct"/>
                  <w:gridSpan w:val="2"/>
                  <w:tcBorders>
                    <w:tl2br w:val="nil"/>
                    <w:tr2bl w:val="nil"/>
                  </w:tcBorders>
                  <w:noWrap w:val="0"/>
                  <w:vAlign w:val="center"/>
                </w:tcPr>
                <w:p w14:paraId="2B1CCB94">
                  <w:pPr>
                    <w:pStyle w:val="55"/>
                    <w:spacing w:before="0" w:beforeLines="0" w:line="240" w:lineRule="auto"/>
                    <w:ind w:left="0" w:leftChars="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管控要求</w:t>
                  </w:r>
                </w:p>
              </w:tc>
              <w:tc>
                <w:tcPr>
                  <w:tcW w:w="341" w:type="pct"/>
                  <w:tcBorders>
                    <w:tl2br w:val="nil"/>
                    <w:tr2bl w:val="nil"/>
                  </w:tcBorders>
                  <w:noWrap w:val="0"/>
                  <w:vAlign w:val="center"/>
                </w:tcPr>
                <w:p w14:paraId="0D96E64A">
                  <w:pPr>
                    <w:pStyle w:val="55"/>
                    <w:spacing w:before="0" w:beforeLines="0"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面积</w:t>
                  </w:r>
                </w:p>
                <w:p w14:paraId="08941321">
                  <w:pPr>
                    <w:pStyle w:val="55"/>
                    <w:spacing w:before="0" w:beforeLines="0"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/长度</w:t>
                  </w:r>
                </w:p>
              </w:tc>
              <w:tc>
                <w:tcPr>
                  <w:tcW w:w="844" w:type="pct"/>
                  <w:tcBorders>
                    <w:tl2br w:val="nil"/>
                    <w:tr2bl w:val="nil"/>
                  </w:tcBorders>
                  <w:noWrap w:val="0"/>
                  <w:vAlign w:val="center"/>
                </w:tcPr>
                <w:p w14:paraId="2820D3A2">
                  <w:pPr>
                    <w:pStyle w:val="55"/>
                    <w:spacing w:before="0" w:beforeLines="0" w:line="240" w:lineRule="auto"/>
                    <w:ind w:left="0" w:leftChars="0"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val="en-US" w:eastAsia="zh-CN"/>
                    </w:rPr>
                    <w:t>本</w:t>
                  </w:r>
                  <w:r>
                    <w:rPr>
                      <w:rFonts w:hint="default" w:ascii="Times New Roman" w:hAnsi="Times New Roman" w:eastAsia="宋体" w:cs="Times New Roman"/>
                      <w:b/>
                      <w:bCs/>
                      <w:color w:val="auto"/>
                      <w:sz w:val="21"/>
                      <w:szCs w:val="21"/>
                      <w:lang w:eastAsia="zh-CN"/>
                    </w:rPr>
                    <w:t>项目</w:t>
                  </w:r>
                </w:p>
                <w:p w14:paraId="0D4CF674">
                  <w:pPr>
                    <w:pStyle w:val="55"/>
                    <w:spacing w:before="0" w:beforeLines="0" w:line="240" w:lineRule="auto"/>
                    <w:ind w:left="0" w:leftChars="0"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情况</w:t>
                  </w:r>
                </w:p>
              </w:tc>
              <w:tc>
                <w:tcPr>
                  <w:tcW w:w="315" w:type="pct"/>
                  <w:tcBorders>
                    <w:tl2br w:val="nil"/>
                    <w:tr2bl w:val="nil"/>
                  </w:tcBorders>
                  <w:noWrap w:val="0"/>
                  <w:vAlign w:val="center"/>
                </w:tcPr>
                <w:p w14:paraId="42D930DE">
                  <w:pPr>
                    <w:pStyle w:val="55"/>
                    <w:spacing w:before="0" w:beforeLines="0" w:line="240" w:lineRule="auto"/>
                    <w:ind w:left="0" w:leftChars="0"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符合性</w:t>
                  </w:r>
                </w:p>
              </w:tc>
            </w:tr>
            <w:tr w14:paraId="486814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6" w:type="pct"/>
                  <w:vMerge w:val="restart"/>
                  <w:tcBorders>
                    <w:tl2br w:val="nil"/>
                    <w:tr2bl w:val="nil"/>
                  </w:tcBorders>
                  <w:noWrap w:val="0"/>
                  <w:vAlign w:val="center"/>
                </w:tcPr>
                <w:p w14:paraId="39139D74">
                  <w:pPr>
                    <w:pStyle w:val="55"/>
                    <w:spacing w:before="0" w:beforeLines="0" w:line="240" w:lineRule="auto"/>
                    <w:ind w:left="0" w:leftChars="0" w:firstLine="0" w:firstLineChars="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陕西省咸阳市泾阳县重点管控单元11（西咸新区）</w:t>
                  </w:r>
                </w:p>
                <w:p w14:paraId="151AE63F">
                  <w:pPr>
                    <w:pStyle w:val="55"/>
                    <w:spacing w:before="0" w:beforeLines="0" w:line="240" w:lineRule="auto"/>
                    <w:ind w:left="0" w:leftChars="0" w:firstLine="0" w:firstLineChars="0"/>
                    <w:jc w:val="both"/>
                    <w:rPr>
                      <w:rFonts w:hint="default" w:ascii="Times New Roman" w:hAnsi="Times New Roman" w:eastAsia="宋体" w:cs="Times New Roman"/>
                      <w:color w:val="auto"/>
                      <w:kern w:val="2"/>
                      <w:sz w:val="21"/>
                      <w:szCs w:val="21"/>
                      <w:lang w:val="en-US" w:eastAsia="zh-CN" w:bidi="ar-SA"/>
                    </w:rPr>
                  </w:pPr>
                </w:p>
              </w:tc>
              <w:tc>
                <w:tcPr>
                  <w:tcW w:w="287" w:type="pct"/>
                  <w:vMerge w:val="restart"/>
                  <w:tcBorders>
                    <w:tl2br w:val="nil"/>
                    <w:tr2bl w:val="nil"/>
                  </w:tcBorders>
                  <w:noWrap w:val="0"/>
                  <w:vAlign w:val="center"/>
                </w:tcPr>
                <w:p w14:paraId="39ADA4FD">
                  <w:pPr>
                    <w:pStyle w:val="55"/>
                    <w:spacing w:before="0" w:beforeLines="0" w:line="240" w:lineRule="auto"/>
                    <w:ind w:left="0" w:leftChars="0" w:firstLine="0" w:firstLineChars="0"/>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大气环境受体敏感重点管控区、</w:t>
                  </w:r>
                  <w:r>
                    <w:rPr>
                      <w:rFonts w:hint="default" w:ascii="Times New Roman" w:hAnsi="Times New Roman" w:eastAsia="宋体" w:cs="Times New Roman"/>
                      <w:color w:val="auto"/>
                      <w:sz w:val="21"/>
                      <w:szCs w:val="21"/>
                    </w:rPr>
                    <w:t>水环境城镇生活污染重点管控区</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高污染燃料禁燃重点</w:t>
                  </w:r>
                  <w:r>
                    <w:rPr>
                      <w:rFonts w:hint="default" w:ascii="Times New Roman" w:hAnsi="Times New Roman" w:eastAsia="宋体" w:cs="Times New Roman"/>
                      <w:color w:val="auto"/>
                      <w:sz w:val="21"/>
                      <w:szCs w:val="21"/>
                      <w:lang w:val="en-US" w:eastAsia="zh-CN"/>
                    </w:rPr>
                    <w:t>管</w:t>
                  </w:r>
                  <w:r>
                    <w:rPr>
                      <w:rFonts w:hint="default" w:ascii="Times New Roman" w:hAnsi="Times New Roman" w:eastAsia="宋体" w:cs="Times New Roman"/>
                      <w:color w:val="auto"/>
                      <w:sz w:val="21"/>
                      <w:szCs w:val="21"/>
                    </w:rPr>
                    <w:t>控区</w:t>
                  </w:r>
                </w:p>
              </w:tc>
              <w:tc>
                <w:tcPr>
                  <w:tcW w:w="309" w:type="pct"/>
                  <w:tcBorders>
                    <w:tl2br w:val="nil"/>
                    <w:tr2bl w:val="nil"/>
                  </w:tcBorders>
                  <w:noWrap w:val="0"/>
                  <w:vAlign w:val="center"/>
                </w:tcPr>
                <w:p w14:paraId="78F46EBC">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空间约束要求</w:t>
                  </w:r>
                </w:p>
              </w:tc>
              <w:tc>
                <w:tcPr>
                  <w:tcW w:w="2576" w:type="pct"/>
                  <w:tcBorders>
                    <w:tl2br w:val="nil"/>
                    <w:tr2bl w:val="nil"/>
                  </w:tcBorders>
                  <w:noWrap w:val="0"/>
                  <w:vAlign w:val="center"/>
                </w:tcPr>
                <w:p w14:paraId="453991C6">
                  <w:pPr>
                    <w:autoSpaceDE w:val="0"/>
                    <w:autoSpaceDN w:val="0"/>
                    <w:jc w:val="left"/>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大气环境受体敏感重点管控区：</w:t>
                  </w:r>
                </w:p>
                <w:p w14:paraId="3B8419BD">
                  <w:pPr>
                    <w:autoSpaceDE w:val="0"/>
                    <w:autoSpaceDN w:val="0"/>
                    <w:jc w:val="left"/>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1.严格控制新增《陕西省“两高”项目管理暂行目录》行业项目（民生等项目除外，后续对“两高”范围国家如有新规定的，从其规定）。</w:t>
                  </w:r>
                </w:p>
                <w:p w14:paraId="08E4629B">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Cs w:val="21"/>
                      <w:lang w:val="en-US" w:eastAsia="zh-CN"/>
                    </w:rPr>
                    <w:t>2.推动重污染企业搬迁入园或依法关闭。</w:t>
                  </w:r>
                </w:p>
              </w:tc>
              <w:tc>
                <w:tcPr>
                  <w:tcW w:w="341" w:type="pct"/>
                  <w:vMerge w:val="restart"/>
                  <w:tcBorders>
                    <w:tl2br w:val="nil"/>
                    <w:tr2bl w:val="nil"/>
                  </w:tcBorders>
                  <w:noWrap w:val="0"/>
                  <w:vAlign w:val="center"/>
                </w:tcPr>
                <w:p w14:paraId="6D2C0DD8">
                  <w:pPr>
                    <w:pStyle w:val="55"/>
                    <w:spacing w:before="0" w:beforeLines="0" w:line="240" w:lineRule="auto"/>
                    <w:ind w:left="0" w:leftChars="0" w:firstLine="0" w:firstLineChars="0"/>
                    <w:jc w:val="both"/>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690</w:t>
                  </w: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2</w:t>
                  </w:r>
                </w:p>
              </w:tc>
              <w:tc>
                <w:tcPr>
                  <w:tcW w:w="844" w:type="pct"/>
                  <w:tcBorders>
                    <w:tl2br w:val="nil"/>
                    <w:tr2bl w:val="nil"/>
                  </w:tcBorders>
                  <w:noWrap w:val="0"/>
                  <w:vAlign w:val="center"/>
                </w:tcPr>
                <w:p w14:paraId="49D3C651">
                  <w:pPr>
                    <w:numPr>
                      <w:ilvl w:val="0"/>
                      <w:numId w:val="0"/>
                    </w:numPr>
                    <w:autoSpaceDE w:val="0"/>
                    <w:autoSpaceDN w:val="0"/>
                    <w:jc w:val="both"/>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val="en-US" w:eastAsia="zh-CN"/>
                    </w:rPr>
                    <w:t>1.</w:t>
                  </w:r>
                  <w:r>
                    <w:rPr>
                      <w:rFonts w:hint="default" w:ascii="Times New Roman" w:hAnsi="Times New Roman" w:eastAsia="宋体" w:cs="Times New Roman"/>
                      <w:color w:val="auto"/>
                      <w:kern w:val="0"/>
                      <w:szCs w:val="21"/>
                    </w:rPr>
                    <w:t>本项目为</w:t>
                  </w:r>
                  <w:r>
                    <w:rPr>
                      <w:rFonts w:hint="default" w:ascii="Times New Roman" w:hAnsi="Times New Roman" w:eastAsia="宋体" w:cs="Times New Roman"/>
                      <w:color w:val="auto"/>
                      <w:kern w:val="0"/>
                      <w:szCs w:val="21"/>
                      <w:lang w:val="en-US" w:eastAsia="zh-CN"/>
                    </w:rPr>
                    <w:t>高效氢燃料电池膜电极产业化项目</w:t>
                  </w:r>
                  <w:r>
                    <w:rPr>
                      <w:rFonts w:hint="default" w:ascii="Times New Roman" w:hAnsi="Times New Roman" w:eastAsia="宋体" w:cs="Times New Roman"/>
                      <w:color w:val="auto"/>
                      <w:kern w:val="0"/>
                      <w:szCs w:val="21"/>
                    </w:rPr>
                    <w:t>，不属于</w:t>
                  </w:r>
                  <w:r>
                    <w:rPr>
                      <w:rFonts w:hint="eastAsia"/>
                      <w:color w:val="auto"/>
                      <w:kern w:val="0"/>
                      <w:szCs w:val="21"/>
                    </w:rPr>
                    <w:t>“两高”项目</w:t>
                  </w:r>
                  <w:r>
                    <w:rPr>
                      <w:rFonts w:hint="default" w:ascii="Times New Roman" w:hAnsi="Times New Roman" w:eastAsia="宋体" w:cs="Times New Roman"/>
                      <w:color w:val="auto"/>
                      <w:kern w:val="0"/>
                      <w:szCs w:val="21"/>
                      <w:lang w:eastAsia="zh-CN"/>
                    </w:rPr>
                    <w:t>；</w:t>
                  </w:r>
                </w:p>
                <w:p w14:paraId="40D618B5">
                  <w:pPr>
                    <w:autoSpaceDE w:val="0"/>
                    <w:autoSpaceDN w:val="0"/>
                    <w:adjustRightInd w:val="0"/>
                    <w:snapToGrid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Cs w:val="21"/>
                      <w:lang w:val="en-US" w:eastAsia="zh-CN"/>
                    </w:rPr>
                    <w:t>2.</w:t>
                  </w:r>
                  <w:r>
                    <w:rPr>
                      <w:rFonts w:hint="default" w:ascii="Times New Roman" w:hAnsi="Times New Roman" w:eastAsia="宋体" w:cs="Times New Roman"/>
                      <w:color w:val="auto"/>
                      <w:kern w:val="0"/>
                      <w:szCs w:val="21"/>
                    </w:rPr>
                    <w:t>本项目不属于</w:t>
                  </w:r>
                  <w:r>
                    <w:rPr>
                      <w:rFonts w:hint="default" w:ascii="Times New Roman" w:hAnsi="Times New Roman" w:eastAsia="宋体" w:cs="Times New Roman"/>
                      <w:color w:val="auto"/>
                      <w:kern w:val="0"/>
                      <w:szCs w:val="21"/>
                      <w:lang w:val="en-US" w:eastAsia="zh-CN"/>
                    </w:rPr>
                    <w:t>重污染企业。</w:t>
                  </w:r>
                </w:p>
              </w:tc>
              <w:tc>
                <w:tcPr>
                  <w:tcW w:w="315" w:type="pct"/>
                  <w:tcBorders>
                    <w:tl2br w:val="nil"/>
                    <w:tr2bl w:val="nil"/>
                  </w:tcBorders>
                  <w:noWrap w:val="0"/>
                  <w:vAlign w:val="center"/>
                </w:tcPr>
                <w:p w14:paraId="2D34FDBF">
                  <w:pPr>
                    <w:autoSpaceDE w:val="0"/>
                    <w:autoSpaceDN w:val="0"/>
                    <w:adjustRightInd w:val="0"/>
                    <w:snapToGrid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0DC3E5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18" w:hRule="atLeast"/>
                <w:jc w:val="center"/>
              </w:trPr>
              <w:tc>
                <w:tcPr>
                  <w:tcW w:w="326" w:type="pct"/>
                  <w:vMerge w:val="continue"/>
                  <w:tcBorders>
                    <w:tl2br w:val="nil"/>
                    <w:tr2bl w:val="nil"/>
                  </w:tcBorders>
                  <w:noWrap w:val="0"/>
                  <w:vAlign w:val="center"/>
                </w:tcPr>
                <w:p w14:paraId="1E3C5632">
                  <w:pPr>
                    <w:pStyle w:val="55"/>
                    <w:spacing w:before="0" w:beforeLines="0" w:line="240" w:lineRule="auto"/>
                    <w:rPr>
                      <w:rFonts w:hint="default" w:ascii="Times New Roman" w:hAnsi="Times New Roman" w:eastAsia="宋体" w:cs="Times New Roman"/>
                      <w:color w:val="auto"/>
                      <w:sz w:val="21"/>
                      <w:szCs w:val="21"/>
                    </w:rPr>
                  </w:pPr>
                </w:p>
              </w:tc>
              <w:tc>
                <w:tcPr>
                  <w:tcW w:w="287" w:type="pct"/>
                  <w:vMerge w:val="continue"/>
                  <w:tcBorders>
                    <w:tl2br w:val="nil"/>
                    <w:tr2bl w:val="nil"/>
                  </w:tcBorders>
                  <w:noWrap w:val="0"/>
                  <w:vAlign w:val="center"/>
                </w:tcPr>
                <w:p w14:paraId="4DD0F606">
                  <w:pPr>
                    <w:pStyle w:val="55"/>
                    <w:tabs>
                      <w:tab w:val="left" w:pos="265"/>
                    </w:tabs>
                    <w:autoSpaceDE w:val="0"/>
                    <w:autoSpaceDN w:val="0"/>
                    <w:spacing w:before="0" w:beforeLines="0" w:line="240" w:lineRule="auto"/>
                    <w:jc w:val="both"/>
                    <w:rPr>
                      <w:rFonts w:hint="default" w:ascii="Times New Roman" w:hAnsi="Times New Roman" w:eastAsia="宋体" w:cs="Times New Roman"/>
                      <w:color w:val="auto"/>
                      <w:sz w:val="21"/>
                      <w:szCs w:val="21"/>
                    </w:rPr>
                  </w:pPr>
                </w:p>
              </w:tc>
              <w:tc>
                <w:tcPr>
                  <w:tcW w:w="309" w:type="pct"/>
                  <w:vMerge w:val="restart"/>
                  <w:tcBorders>
                    <w:tl2br w:val="nil"/>
                    <w:tr2bl w:val="nil"/>
                  </w:tcBorders>
                  <w:noWrap w:val="0"/>
                  <w:vAlign w:val="center"/>
                </w:tcPr>
                <w:p w14:paraId="7B5515B4">
                  <w:pPr>
                    <w:tabs>
                      <w:tab w:val="left" w:pos="265"/>
                    </w:tabs>
                    <w:autoSpaceDE w:val="0"/>
                    <w:autoSpaceDN w:val="0"/>
                    <w:spacing w:line="32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污染物排放管控</w:t>
                  </w:r>
                </w:p>
              </w:tc>
              <w:tc>
                <w:tcPr>
                  <w:tcW w:w="2576" w:type="pct"/>
                  <w:tcBorders>
                    <w:tl2br w:val="nil"/>
                    <w:tr2bl w:val="nil"/>
                  </w:tcBorders>
                  <w:noWrap w:val="0"/>
                  <w:vAlign w:val="center"/>
                </w:tcPr>
                <w:p w14:paraId="722BE266">
                  <w:pPr>
                    <w:autoSpaceDE w:val="0"/>
                    <w:autoSpaceDN w:val="0"/>
                    <w:jc w:val="left"/>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大气环境受体敏感重点管控区：</w:t>
                  </w:r>
                </w:p>
                <w:p w14:paraId="377F4EBC">
                  <w:pPr>
                    <w:keepNext w:val="0"/>
                    <w:keepLines w:val="0"/>
                    <w:widowControl/>
                    <w:suppressLineNumbers w:val="0"/>
                    <w:autoSpaceDE w:val="0"/>
                    <w:autoSpaceDN w:val="0"/>
                    <w:jc w:val="left"/>
                    <w:rPr>
                      <w:rFonts w:ascii="Times New Roman" w:hAnsi="Times New Roman" w:eastAsia="宋体" w:cs="Times New Roman"/>
                      <w:color w:val="auto"/>
                      <w:kern w:val="0"/>
                      <w:szCs w:val="21"/>
                    </w:rPr>
                  </w:pPr>
                  <w:r>
                    <w:rPr>
                      <w:rFonts w:ascii="Times New Roman" w:hAnsi="Times New Roman" w:eastAsia="宋体" w:cs="Times New Roman"/>
                      <w:color w:val="auto"/>
                      <w:kern w:val="0"/>
                      <w:sz w:val="21"/>
                      <w:szCs w:val="21"/>
                      <w:lang w:val="en-US" w:eastAsia="zh-CN" w:bidi="ar"/>
                    </w:rPr>
                    <w:t>1.</w:t>
                  </w:r>
                  <w:r>
                    <w:rPr>
                      <w:rFonts w:hint="default" w:ascii="Times New Roman" w:hAnsi="Times New Roman" w:eastAsia="宋体" w:cs="Times New Roman"/>
                      <w:color w:val="auto"/>
                      <w:kern w:val="0"/>
                      <w:sz w:val="21"/>
                      <w:szCs w:val="21"/>
                      <w:lang w:val="en-US" w:eastAsia="zh-CN" w:bidi="ar"/>
                    </w:rPr>
                    <w:t>城市建成区产生油烟的餐饮服务单位全部安装油烟净化装置并保持正常运行和定期维护。</w:t>
                  </w:r>
                </w:p>
                <w:p w14:paraId="1CFE32AA">
                  <w:pPr>
                    <w:autoSpaceDE w:val="0"/>
                    <w:autoSpaceDN w:val="0"/>
                    <w:jc w:val="left"/>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2.持续因地制宜实施“煤改气”“油改气”、电能、地热、生物质等清洁能源取暖措施。</w:t>
                  </w:r>
                </w:p>
                <w:p w14:paraId="1D99017E">
                  <w:pPr>
                    <w:autoSpaceDE w:val="0"/>
                    <w:autoSpaceDN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Cs w:val="21"/>
                      <w:lang w:val="en-US" w:eastAsia="zh-CN"/>
                    </w:rPr>
                    <w:t>3.鼓励将老旧车辆和非道路移动机械替换为清洁能源车辆。推进新能源或清洁能源汽车使用。</w:t>
                  </w:r>
                </w:p>
              </w:tc>
              <w:tc>
                <w:tcPr>
                  <w:tcW w:w="341" w:type="pct"/>
                  <w:vMerge w:val="continue"/>
                  <w:tcBorders>
                    <w:tl2br w:val="nil"/>
                    <w:tr2bl w:val="nil"/>
                  </w:tcBorders>
                  <w:noWrap w:val="0"/>
                  <w:vAlign w:val="center"/>
                </w:tcPr>
                <w:p w14:paraId="70FE441A">
                  <w:pPr>
                    <w:pStyle w:val="55"/>
                    <w:spacing w:before="0" w:beforeLines="0" w:line="240" w:lineRule="auto"/>
                    <w:rPr>
                      <w:rFonts w:hint="default" w:ascii="Times New Roman" w:hAnsi="Times New Roman" w:eastAsia="宋体" w:cs="Times New Roman"/>
                      <w:color w:val="auto"/>
                      <w:sz w:val="21"/>
                      <w:szCs w:val="21"/>
                    </w:rPr>
                  </w:pPr>
                </w:p>
              </w:tc>
              <w:tc>
                <w:tcPr>
                  <w:tcW w:w="844" w:type="pct"/>
                  <w:tcBorders>
                    <w:tl2br w:val="nil"/>
                    <w:tr2bl w:val="nil"/>
                  </w:tcBorders>
                  <w:noWrap w:val="0"/>
                  <w:vAlign w:val="center"/>
                </w:tcPr>
                <w:p w14:paraId="70ED66F4">
                  <w:pPr>
                    <w:numPr>
                      <w:ilvl w:val="0"/>
                      <w:numId w:val="0"/>
                    </w:numPr>
                    <w:autoSpaceDE w:val="0"/>
                    <w:autoSpaceDN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Cs w:val="21"/>
                      <w:lang w:val="en-US" w:eastAsia="zh-CN"/>
                    </w:rPr>
                    <w:t>1.</w:t>
                  </w:r>
                  <w:r>
                    <w:rPr>
                      <w:rFonts w:hint="default" w:ascii="Times New Roman" w:hAnsi="Times New Roman" w:eastAsia="宋体" w:cs="Times New Roman"/>
                      <w:color w:val="auto"/>
                      <w:kern w:val="0"/>
                      <w:szCs w:val="21"/>
                    </w:rPr>
                    <w:t>本项目</w:t>
                  </w:r>
                  <w:r>
                    <w:rPr>
                      <w:rFonts w:hint="eastAsia" w:ascii="Times New Roman" w:hAnsi="Times New Roman" w:eastAsia="宋体" w:cs="Times New Roman"/>
                      <w:color w:val="auto"/>
                      <w:kern w:val="0"/>
                      <w:szCs w:val="21"/>
                      <w:lang w:val="en-US" w:eastAsia="zh-CN"/>
                    </w:rPr>
                    <w:t>不涉及；</w:t>
                  </w:r>
                  <w:r>
                    <w:rPr>
                      <w:rFonts w:hint="eastAsia" w:ascii="Times New Roman" w:hAnsi="Times New Roman" w:eastAsia="宋体" w:cs="Times New Roman"/>
                      <w:color w:val="auto"/>
                      <w:kern w:val="0"/>
                      <w:sz w:val="21"/>
                      <w:szCs w:val="21"/>
                      <w:lang w:val="en-US" w:eastAsia="zh-CN"/>
                    </w:rPr>
                    <w:t>2.</w:t>
                  </w:r>
                  <w:r>
                    <w:rPr>
                      <w:rFonts w:hint="default" w:ascii="Times New Roman" w:hAnsi="Times New Roman" w:eastAsia="宋体" w:cs="Times New Roman"/>
                      <w:color w:val="auto"/>
                      <w:kern w:val="0"/>
                      <w:sz w:val="21"/>
                      <w:szCs w:val="21"/>
                      <w:lang w:val="en-US" w:eastAsia="zh-CN"/>
                    </w:rPr>
                    <w:t>本项目采用电能源</w:t>
                  </w:r>
                  <w:r>
                    <w:rPr>
                      <w:rFonts w:hint="default"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lang w:val="en-US" w:eastAsia="zh-CN"/>
                    </w:rPr>
                    <w:t>3.</w:t>
                  </w:r>
                  <w:r>
                    <w:rPr>
                      <w:rFonts w:hint="default" w:ascii="Times New Roman" w:hAnsi="Times New Roman" w:eastAsia="宋体" w:cs="Times New Roman"/>
                      <w:color w:val="auto"/>
                      <w:kern w:val="0"/>
                      <w:sz w:val="21"/>
                      <w:szCs w:val="21"/>
                      <w:lang w:val="en-US" w:eastAsia="zh-CN"/>
                    </w:rPr>
                    <w:t>本项目厂区内不涉及</w:t>
                  </w:r>
                  <w:r>
                    <w:rPr>
                      <w:rFonts w:hint="default" w:ascii="Times New Roman" w:hAnsi="Times New Roman" w:eastAsia="宋体" w:cs="Times New Roman"/>
                      <w:color w:val="auto"/>
                      <w:kern w:val="0"/>
                      <w:sz w:val="21"/>
                      <w:szCs w:val="21"/>
                    </w:rPr>
                    <w:t>非道路移动机械</w:t>
                  </w:r>
                  <w:r>
                    <w:rPr>
                      <w:rFonts w:hint="eastAsia" w:ascii="Times New Roman" w:hAnsi="Times New Roman" w:eastAsia="宋体" w:cs="Times New Roman"/>
                      <w:color w:val="auto"/>
                      <w:kern w:val="0"/>
                      <w:sz w:val="21"/>
                      <w:szCs w:val="21"/>
                      <w:lang w:eastAsia="zh-CN"/>
                    </w:rPr>
                    <w:t>。</w:t>
                  </w:r>
                </w:p>
              </w:tc>
              <w:tc>
                <w:tcPr>
                  <w:tcW w:w="315" w:type="pct"/>
                  <w:tcBorders>
                    <w:tl2br w:val="nil"/>
                    <w:tr2bl w:val="nil"/>
                  </w:tcBorders>
                  <w:noWrap w:val="0"/>
                  <w:vAlign w:val="center"/>
                </w:tcPr>
                <w:p w14:paraId="2206F82C">
                  <w:pPr>
                    <w:pStyle w:val="55"/>
                    <w:spacing w:before="0" w:beforeLines="0" w:line="240" w:lineRule="auto"/>
                    <w:ind w:left="0" w:leftChars="0" w:firstLine="0" w:firstLineChars="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01361D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3" w:hRule="atLeast"/>
                <w:jc w:val="center"/>
              </w:trPr>
              <w:tc>
                <w:tcPr>
                  <w:tcW w:w="326" w:type="pct"/>
                  <w:vMerge w:val="continue"/>
                  <w:tcBorders>
                    <w:tl2br w:val="nil"/>
                    <w:tr2bl w:val="nil"/>
                  </w:tcBorders>
                  <w:noWrap w:val="0"/>
                  <w:vAlign w:val="center"/>
                </w:tcPr>
                <w:p w14:paraId="76198744">
                  <w:pPr>
                    <w:autoSpaceDE w:val="0"/>
                    <w:autoSpaceDN w:val="0"/>
                    <w:jc w:val="left"/>
                    <w:rPr>
                      <w:color w:val="auto"/>
                    </w:rPr>
                  </w:pPr>
                </w:p>
              </w:tc>
              <w:tc>
                <w:tcPr>
                  <w:tcW w:w="287" w:type="pct"/>
                  <w:vMerge w:val="continue"/>
                  <w:tcBorders>
                    <w:tl2br w:val="nil"/>
                    <w:tr2bl w:val="nil"/>
                  </w:tcBorders>
                  <w:noWrap w:val="0"/>
                  <w:vAlign w:val="center"/>
                </w:tcPr>
                <w:p w14:paraId="2E5F60A0">
                  <w:pPr>
                    <w:autoSpaceDE w:val="0"/>
                    <w:autoSpaceDN w:val="0"/>
                    <w:jc w:val="left"/>
                    <w:rPr>
                      <w:color w:val="auto"/>
                    </w:rPr>
                  </w:pPr>
                </w:p>
              </w:tc>
              <w:tc>
                <w:tcPr>
                  <w:tcW w:w="309" w:type="pct"/>
                  <w:vMerge w:val="continue"/>
                  <w:tcBorders>
                    <w:tl2br w:val="nil"/>
                    <w:tr2bl w:val="nil"/>
                  </w:tcBorders>
                  <w:noWrap w:val="0"/>
                  <w:vAlign w:val="center"/>
                </w:tcPr>
                <w:p w14:paraId="598583A2">
                  <w:pPr>
                    <w:autoSpaceDE w:val="0"/>
                    <w:autoSpaceDN w:val="0"/>
                    <w:jc w:val="left"/>
                    <w:rPr>
                      <w:color w:val="auto"/>
                    </w:rPr>
                  </w:pPr>
                </w:p>
              </w:tc>
              <w:tc>
                <w:tcPr>
                  <w:tcW w:w="2576" w:type="pct"/>
                  <w:tcBorders>
                    <w:tl2br w:val="nil"/>
                    <w:tr2bl w:val="nil"/>
                  </w:tcBorders>
                  <w:noWrap w:val="0"/>
                  <w:vAlign w:val="center"/>
                </w:tcPr>
                <w:p w14:paraId="7F577BC9">
                  <w:pPr>
                    <w:autoSpaceDE w:val="0"/>
                    <w:autoSpaceDN w:val="0"/>
                    <w:jc w:val="left"/>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水环境城镇生活污染重点管控区：</w:t>
                  </w:r>
                </w:p>
                <w:p w14:paraId="308370F0">
                  <w:pPr>
                    <w:autoSpaceDE w:val="0"/>
                    <w:autoSpaceDN w:val="0"/>
                    <w:jc w:val="left"/>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1.加强城镇污水收集处理设施建设与提标改造。全省黄河流域城镇生活污水处理达到《陕西省黄河流域污水综合排放标准》（DB61/224-2018） 排放限值要求。</w:t>
                  </w:r>
                </w:p>
                <w:p w14:paraId="15E13819">
                  <w:pPr>
                    <w:autoSpaceDE w:val="0"/>
                    <w:autoSpaceDN w:val="0"/>
                    <w:jc w:val="left"/>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2.城镇新区管网建设及老旧城区管网升级改造中实行雨污分流，鼓励推进初期雨水收集、处理和资源化利用，建设人工湿地水质净化工程，对处理达标后的尾水进一步净化。</w:t>
                  </w:r>
                </w:p>
              </w:tc>
              <w:tc>
                <w:tcPr>
                  <w:tcW w:w="341" w:type="pct"/>
                  <w:vMerge w:val="continue"/>
                  <w:tcBorders>
                    <w:tl2br w:val="nil"/>
                    <w:tr2bl w:val="nil"/>
                  </w:tcBorders>
                  <w:noWrap w:val="0"/>
                  <w:vAlign w:val="center"/>
                </w:tcPr>
                <w:p w14:paraId="342B02E0">
                  <w:pPr>
                    <w:autoSpaceDE w:val="0"/>
                    <w:autoSpaceDN w:val="0"/>
                    <w:jc w:val="left"/>
                    <w:rPr>
                      <w:rFonts w:hint="default" w:ascii="Times New Roman" w:hAnsi="Times New Roman" w:eastAsia="宋体" w:cs="Times New Roman"/>
                      <w:color w:val="auto"/>
                      <w:kern w:val="0"/>
                      <w:szCs w:val="21"/>
                      <w:lang w:val="en-US" w:eastAsia="zh-CN"/>
                    </w:rPr>
                  </w:pPr>
                </w:p>
              </w:tc>
              <w:tc>
                <w:tcPr>
                  <w:tcW w:w="844" w:type="pct"/>
                  <w:tcBorders>
                    <w:tl2br w:val="nil"/>
                    <w:tr2bl w:val="nil"/>
                  </w:tcBorders>
                  <w:noWrap w:val="0"/>
                  <w:vAlign w:val="center"/>
                </w:tcPr>
                <w:p w14:paraId="09AAADF7">
                  <w:pPr>
                    <w:autoSpaceDE w:val="0"/>
                    <w:autoSpaceDN w:val="0"/>
                    <w:jc w:val="left"/>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 w:val="21"/>
                      <w:szCs w:val="21"/>
                      <w:lang w:val="en-US" w:eastAsia="zh-CN"/>
                    </w:rPr>
                    <w:t>1.</w:t>
                  </w:r>
                  <w:r>
                    <w:rPr>
                      <w:rFonts w:hint="default" w:ascii="Times New Roman" w:hAnsi="Times New Roman" w:eastAsia="宋体" w:cs="Times New Roman"/>
                      <w:color w:val="auto"/>
                      <w:kern w:val="0"/>
                      <w:sz w:val="21"/>
                      <w:szCs w:val="21"/>
                    </w:rPr>
                    <w:t>本项目实验室器皿后段清洗废水经pH调节池收集处理后与生活污水</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lang w:val="en-US" w:eastAsia="zh-CN"/>
                    </w:rPr>
                    <w:t>纯水机浓水</w:t>
                  </w:r>
                  <w:r>
                    <w:rPr>
                      <w:rFonts w:hint="default" w:ascii="Times New Roman" w:hAnsi="Times New Roman" w:eastAsia="宋体" w:cs="Times New Roman"/>
                      <w:color w:val="auto"/>
                      <w:kern w:val="0"/>
                      <w:sz w:val="21"/>
                      <w:szCs w:val="21"/>
                    </w:rPr>
                    <w:t>一起进入化粪池处理达标后排入市政污水管网</w:t>
                  </w:r>
                  <w:r>
                    <w:rPr>
                      <w:rFonts w:hint="eastAsia" w:ascii="Times New Roman" w:hAnsi="Times New Roman" w:eastAsia="宋体" w:cs="Times New Roman"/>
                      <w:color w:val="auto"/>
                      <w:kern w:val="0"/>
                      <w:sz w:val="21"/>
                      <w:szCs w:val="21"/>
                      <w:lang w:val="en-US" w:eastAsia="zh-CN"/>
                    </w:rPr>
                    <w:t>；2.本项目所在园区雨污分流。</w:t>
                  </w:r>
                </w:p>
              </w:tc>
              <w:tc>
                <w:tcPr>
                  <w:tcW w:w="315" w:type="pct"/>
                  <w:tcBorders>
                    <w:tl2br w:val="nil"/>
                    <w:tr2bl w:val="nil"/>
                  </w:tcBorders>
                  <w:noWrap w:val="0"/>
                  <w:vAlign w:val="center"/>
                </w:tcPr>
                <w:p w14:paraId="0CC03AE0">
                  <w:pPr>
                    <w:autoSpaceDE w:val="0"/>
                    <w:autoSpaceDN w:val="0"/>
                    <w:jc w:val="left"/>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符合</w:t>
                  </w:r>
                </w:p>
              </w:tc>
            </w:tr>
            <w:tr w14:paraId="248674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6" w:type="pct"/>
                  <w:vMerge w:val="continue"/>
                  <w:tcBorders>
                    <w:tl2br w:val="nil"/>
                    <w:tr2bl w:val="nil"/>
                  </w:tcBorders>
                  <w:noWrap w:val="0"/>
                  <w:vAlign w:val="center"/>
                </w:tcPr>
                <w:p w14:paraId="23CE48CA">
                  <w:pPr>
                    <w:pStyle w:val="55"/>
                    <w:spacing w:before="0" w:beforeLines="0" w:line="240" w:lineRule="auto"/>
                    <w:rPr>
                      <w:rFonts w:hint="default" w:ascii="Times New Roman" w:hAnsi="Times New Roman" w:eastAsia="宋体" w:cs="Times New Roman"/>
                      <w:color w:val="auto"/>
                      <w:sz w:val="21"/>
                      <w:szCs w:val="21"/>
                    </w:rPr>
                  </w:pPr>
                </w:p>
              </w:tc>
              <w:tc>
                <w:tcPr>
                  <w:tcW w:w="287" w:type="pct"/>
                  <w:vMerge w:val="continue"/>
                  <w:tcBorders>
                    <w:tl2br w:val="nil"/>
                    <w:tr2bl w:val="nil"/>
                  </w:tcBorders>
                  <w:noWrap w:val="0"/>
                  <w:vAlign w:val="center"/>
                </w:tcPr>
                <w:p w14:paraId="33D033AB">
                  <w:pPr>
                    <w:pStyle w:val="55"/>
                    <w:tabs>
                      <w:tab w:val="left" w:pos="265"/>
                    </w:tabs>
                    <w:autoSpaceDE w:val="0"/>
                    <w:autoSpaceDN w:val="0"/>
                    <w:spacing w:before="0" w:beforeLines="0" w:line="240" w:lineRule="auto"/>
                    <w:jc w:val="both"/>
                    <w:rPr>
                      <w:rFonts w:hint="default" w:ascii="Times New Roman" w:hAnsi="Times New Roman" w:eastAsia="宋体" w:cs="Times New Roman"/>
                      <w:color w:val="auto"/>
                      <w:sz w:val="21"/>
                      <w:szCs w:val="21"/>
                    </w:rPr>
                  </w:pPr>
                </w:p>
              </w:tc>
              <w:tc>
                <w:tcPr>
                  <w:tcW w:w="309" w:type="pct"/>
                  <w:tcBorders>
                    <w:tl2br w:val="nil"/>
                    <w:tr2bl w:val="nil"/>
                  </w:tcBorders>
                  <w:noWrap w:val="0"/>
                  <w:vAlign w:val="center"/>
                </w:tcPr>
                <w:p w14:paraId="287C9B10">
                  <w:pPr>
                    <w:tabs>
                      <w:tab w:val="left" w:pos="265"/>
                    </w:tabs>
                    <w:autoSpaceDE w:val="0"/>
                    <w:autoSpaceDN w:val="0"/>
                    <w:spacing w:line="320" w:lineRule="exac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资源开发效率要求</w:t>
                  </w:r>
                </w:p>
              </w:tc>
              <w:tc>
                <w:tcPr>
                  <w:tcW w:w="2576" w:type="pct"/>
                  <w:tcBorders>
                    <w:tl2br w:val="nil"/>
                    <w:tr2bl w:val="nil"/>
                  </w:tcBorders>
                  <w:noWrap w:val="0"/>
                  <w:vAlign w:val="center"/>
                </w:tcPr>
                <w:p w14:paraId="79903589">
                  <w:pPr>
                    <w:autoSpaceDE w:val="0"/>
                    <w:autoSpaceDN w:val="0"/>
                    <w:jc w:val="left"/>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高污染燃料禁燃区：严格禁燃区管控。市区和南六县市全域及北五县市城镇周边划定为高污染燃料禁燃区，禁止销售、使用煤炭及其制品等高污染燃料（35蒸吨及以上燃煤锅炉、火力发电企业、机组及水泥、砖瓦等原料煤使用企业除外）；各县市区全面退出禁燃区内洁净煤加工中心及配送网点，对配送网点及群众存量煤炭全部有偿回收。北五县市非禁燃区内可采用洁净煤或“生物质成型燃料+专用炉具”兜底。加强对直送、网络等方式销售散煤的监管，严厉打击违法销售行为，同时倒查上游企业责任，从源头杜绝散煤销售。</w:t>
                  </w:r>
                </w:p>
              </w:tc>
              <w:tc>
                <w:tcPr>
                  <w:tcW w:w="341" w:type="pct"/>
                  <w:vMerge w:val="continue"/>
                  <w:tcBorders>
                    <w:tl2br w:val="nil"/>
                    <w:tr2bl w:val="nil"/>
                  </w:tcBorders>
                  <w:noWrap w:val="0"/>
                  <w:vAlign w:val="center"/>
                </w:tcPr>
                <w:p w14:paraId="517A8AA3">
                  <w:pPr>
                    <w:pStyle w:val="55"/>
                    <w:spacing w:before="0" w:beforeLines="0" w:line="240" w:lineRule="auto"/>
                    <w:rPr>
                      <w:rFonts w:hint="default" w:ascii="Times New Roman" w:hAnsi="Times New Roman" w:eastAsia="宋体" w:cs="Times New Roman"/>
                      <w:color w:val="auto"/>
                      <w:sz w:val="21"/>
                      <w:szCs w:val="21"/>
                    </w:rPr>
                  </w:pPr>
                </w:p>
              </w:tc>
              <w:tc>
                <w:tcPr>
                  <w:tcW w:w="844" w:type="pct"/>
                  <w:tcBorders>
                    <w:tl2br w:val="nil"/>
                    <w:tr2bl w:val="nil"/>
                  </w:tcBorders>
                  <w:noWrap w:val="0"/>
                  <w:vAlign w:val="center"/>
                </w:tcPr>
                <w:p w14:paraId="7C922578">
                  <w:pPr>
                    <w:pStyle w:val="55"/>
                    <w:spacing w:before="0" w:beforeLines="0" w:line="240" w:lineRule="auto"/>
                    <w:ind w:left="0" w:leftChars="0" w:firstLine="0" w:firstLineChars="0"/>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本项目</w:t>
                  </w:r>
                  <w:r>
                    <w:rPr>
                      <w:rFonts w:hint="default" w:ascii="Times New Roman" w:hAnsi="Times New Roman" w:eastAsia="宋体" w:cs="Times New Roman"/>
                      <w:color w:val="auto"/>
                      <w:kern w:val="0"/>
                      <w:sz w:val="21"/>
                      <w:szCs w:val="21"/>
                      <w:lang w:val="en-US" w:eastAsia="zh-CN"/>
                    </w:rPr>
                    <w:t>采用电能源，不涉及燃煤等使用。</w:t>
                  </w:r>
                </w:p>
              </w:tc>
              <w:tc>
                <w:tcPr>
                  <w:tcW w:w="315" w:type="pct"/>
                  <w:tcBorders>
                    <w:tl2br w:val="nil"/>
                    <w:tr2bl w:val="nil"/>
                  </w:tcBorders>
                  <w:noWrap w:val="0"/>
                  <w:vAlign w:val="center"/>
                </w:tcPr>
                <w:p w14:paraId="44F4D04C">
                  <w:pPr>
                    <w:pStyle w:val="55"/>
                    <w:spacing w:before="0" w:beforeLines="0" w:line="240" w:lineRule="auto"/>
                    <w:ind w:left="0" w:leftChars="0" w:firstLine="0" w:firstLineChars="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bl>
          <w:p w14:paraId="08262EAA">
            <w:pPr>
              <w:numPr>
                <w:ilvl w:val="0"/>
                <w:numId w:val="3"/>
              </w:numPr>
              <w:spacing w:line="360" w:lineRule="auto"/>
              <w:ind w:left="0" w:leftChars="0"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一说明</w:t>
            </w:r>
          </w:p>
          <w:p w14:paraId="1FECA34D">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根据一图一表分析可知，本项目位于重点管控单元内，符合</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三线一单</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重点管控分区的各项要求。</w:t>
            </w:r>
          </w:p>
          <w:p w14:paraId="61D253F3">
            <w:pPr>
              <w:spacing w:line="360" w:lineRule="auto"/>
              <w:ind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sz w:val="24"/>
                <w:szCs w:val="24"/>
                <w:lang w:val="en-US" w:eastAsia="zh-CN"/>
              </w:rPr>
              <w:t>综上所述，项目建设符合</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三线一单</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相关要求。</w:t>
            </w:r>
          </w:p>
          <w:p w14:paraId="2AC07E03">
            <w:pPr>
              <w:numPr>
                <w:ilvl w:val="0"/>
                <w:numId w:val="2"/>
              </w:numPr>
              <w:spacing w:line="360" w:lineRule="auto"/>
              <w:ind w:left="0" w:leftChars="0" w:firstLine="0" w:firstLineChars="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与相关环保政策符合性分析</w:t>
            </w:r>
          </w:p>
          <w:p w14:paraId="045AB60A">
            <w:pPr>
              <w:pStyle w:val="11"/>
              <w:numPr>
                <w:ilvl w:val="0"/>
                <w:numId w:val="0"/>
              </w:numPr>
              <w:spacing w:line="360" w:lineRule="auto"/>
              <w:ind w:leftChars="0"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本项目与相关环保政策符合性分析见下表。</w:t>
            </w:r>
          </w:p>
          <w:p w14:paraId="67021428">
            <w:pPr>
              <w:jc w:val="center"/>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表1-3</w:t>
            </w:r>
            <w:r>
              <w:rPr>
                <w:rFonts w:hint="eastAsia" w:ascii="Times New Roman" w:hAnsi="Times New Roman" w:cs="Times New Roman"/>
                <w:b/>
                <w:bCs/>
                <w:color w:val="auto"/>
                <w:sz w:val="24"/>
                <w:szCs w:val="24"/>
                <w:lang w:val="en-US" w:eastAsia="zh-CN"/>
              </w:rPr>
              <w:t xml:space="preserve">  </w:t>
            </w:r>
            <w:r>
              <w:rPr>
                <w:rFonts w:hint="default" w:ascii="Times New Roman" w:hAnsi="Times New Roman" w:cs="Times New Roman"/>
                <w:b/>
                <w:bCs/>
                <w:color w:val="auto"/>
                <w:sz w:val="24"/>
                <w:szCs w:val="24"/>
                <w:lang w:val="en-US" w:eastAsia="zh-CN"/>
              </w:rPr>
              <w:t>本项目与相关环保政策符合性分析</w:t>
            </w:r>
          </w:p>
          <w:tbl>
            <w:tblPr>
              <w:tblStyle w:val="26"/>
              <w:tblW w:w="50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127"/>
              <w:gridCol w:w="3423"/>
              <w:gridCol w:w="1700"/>
              <w:gridCol w:w="747"/>
            </w:tblGrid>
            <w:tr w14:paraId="15351A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05" w:type="pct"/>
                  <w:tcBorders>
                    <w:tl2br w:val="nil"/>
                    <w:tr2bl w:val="nil"/>
                  </w:tcBorders>
                  <w:noWrap w:val="0"/>
                  <w:vAlign w:val="center"/>
                </w:tcPr>
                <w:p w14:paraId="6CB16A1F">
                  <w:pPr>
                    <w:keepNext w:val="0"/>
                    <w:keepLines w:val="0"/>
                    <w:pageBreakBefore w:val="0"/>
                    <w:kinsoku/>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1"/>
                      <w:szCs w:val="21"/>
                    </w:rPr>
                  </w:pPr>
                  <w:r>
                    <w:rPr>
                      <w:rFonts w:hint="default" w:ascii="Times New Roman" w:hAnsi="Times New Roman" w:eastAsia="宋体" w:cs="Times New Roman"/>
                      <w:b/>
                      <w:bCs/>
                      <w:color w:val="auto"/>
                      <w:kern w:val="21"/>
                      <w:szCs w:val="21"/>
                    </w:rPr>
                    <w:t>文件</w:t>
                  </w:r>
                </w:p>
              </w:tc>
              <w:tc>
                <w:tcPr>
                  <w:tcW w:w="2446" w:type="pct"/>
                  <w:tcBorders>
                    <w:tl2br w:val="nil"/>
                    <w:tr2bl w:val="nil"/>
                  </w:tcBorders>
                  <w:noWrap w:val="0"/>
                  <w:vAlign w:val="center"/>
                </w:tcPr>
                <w:p w14:paraId="3C5632FB">
                  <w:pPr>
                    <w:keepNext w:val="0"/>
                    <w:keepLines w:val="0"/>
                    <w:pageBreakBefore w:val="0"/>
                    <w:kinsoku/>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1"/>
                      <w:szCs w:val="21"/>
                    </w:rPr>
                  </w:pPr>
                  <w:r>
                    <w:rPr>
                      <w:rFonts w:hint="default" w:ascii="Times New Roman" w:hAnsi="Times New Roman" w:eastAsia="宋体" w:cs="Times New Roman"/>
                      <w:b/>
                      <w:bCs/>
                      <w:color w:val="auto"/>
                      <w:kern w:val="21"/>
                      <w:szCs w:val="21"/>
                    </w:rPr>
                    <w:t>政策要求</w:t>
                  </w:r>
                </w:p>
              </w:tc>
              <w:tc>
                <w:tcPr>
                  <w:tcW w:w="1214" w:type="pct"/>
                  <w:tcBorders>
                    <w:tl2br w:val="nil"/>
                    <w:tr2bl w:val="nil"/>
                  </w:tcBorders>
                  <w:noWrap w:val="0"/>
                  <w:vAlign w:val="center"/>
                </w:tcPr>
                <w:p w14:paraId="3C7762D8">
                  <w:pPr>
                    <w:keepNext w:val="0"/>
                    <w:keepLines w:val="0"/>
                    <w:pageBreakBefore w:val="0"/>
                    <w:kinsoku/>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1"/>
                      <w:szCs w:val="21"/>
                    </w:rPr>
                  </w:pPr>
                  <w:r>
                    <w:rPr>
                      <w:rFonts w:hint="default" w:ascii="Times New Roman" w:hAnsi="Times New Roman" w:eastAsia="宋体" w:cs="Times New Roman"/>
                      <w:b/>
                      <w:bCs/>
                      <w:color w:val="auto"/>
                      <w:kern w:val="21"/>
                      <w:szCs w:val="21"/>
                    </w:rPr>
                    <w:t>本项目情况</w:t>
                  </w:r>
                </w:p>
              </w:tc>
              <w:tc>
                <w:tcPr>
                  <w:tcW w:w="533" w:type="pct"/>
                  <w:tcBorders>
                    <w:tl2br w:val="nil"/>
                    <w:tr2bl w:val="nil"/>
                  </w:tcBorders>
                  <w:noWrap w:val="0"/>
                  <w:vAlign w:val="center"/>
                </w:tcPr>
                <w:p w14:paraId="702AB8CF">
                  <w:pPr>
                    <w:keepNext w:val="0"/>
                    <w:keepLines w:val="0"/>
                    <w:pageBreakBefore w:val="0"/>
                    <w:kinsoku/>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1"/>
                      <w:szCs w:val="21"/>
                    </w:rPr>
                  </w:pPr>
                  <w:r>
                    <w:rPr>
                      <w:rFonts w:hint="default" w:ascii="Times New Roman" w:hAnsi="Times New Roman" w:eastAsia="宋体" w:cs="Times New Roman"/>
                      <w:b/>
                      <w:bCs/>
                      <w:color w:val="auto"/>
                      <w:kern w:val="21"/>
                      <w:szCs w:val="21"/>
                    </w:rPr>
                    <w:t>相符性</w:t>
                  </w:r>
                </w:p>
              </w:tc>
            </w:tr>
            <w:tr w14:paraId="41782A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05" w:type="pct"/>
                  <w:tcBorders>
                    <w:tl2br w:val="nil"/>
                    <w:tr2bl w:val="nil"/>
                  </w:tcBorders>
                  <w:noWrap w:val="0"/>
                  <w:vAlign w:val="center"/>
                </w:tcPr>
                <w:p w14:paraId="1DD1329D">
                  <w:pPr>
                    <w:keepNext w:val="0"/>
                    <w:keepLines w:val="0"/>
                    <w:pageBreakBefore w:val="0"/>
                    <w:kinsoku/>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1"/>
                      <w:szCs w:val="21"/>
                    </w:rPr>
                  </w:pPr>
                  <w:r>
                    <w:rPr>
                      <w:rFonts w:hint="default" w:ascii="Times New Roman" w:hAnsi="Times New Roman" w:eastAsia="宋体" w:cs="Times New Roman"/>
                      <w:b w:val="0"/>
                      <w:bCs w:val="0"/>
                      <w:color w:val="auto"/>
                      <w:kern w:val="21"/>
                      <w:szCs w:val="21"/>
                      <w:lang w:val="en-US" w:eastAsia="zh-CN"/>
                    </w:rPr>
                    <w:t>《</w:t>
                  </w:r>
                  <w:r>
                    <w:rPr>
                      <w:rFonts w:hint="default" w:ascii="Times New Roman" w:hAnsi="Times New Roman" w:eastAsia="宋体" w:cs="Times New Roman"/>
                      <w:b w:val="0"/>
                      <w:bCs w:val="0"/>
                      <w:color w:val="auto"/>
                      <w:kern w:val="21"/>
                      <w:szCs w:val="21"/>
                    </w:rPr>
                    <w:t>国家污染防治技术指导目录</w:t>
                  </w:r>
                  <w:r>
                    <w:rPr>
                      <w:rFonts w:hint="default" w:ascii="Times New Roman" w:hAnsi="Times New Roman" w:eastAsia="宋体" w:cs="Times New Roman"/>
                      <w:b w:val="0"/>
                      <w:bCs w:val="0"/>
                      <w:color w:val="auto"/>
                      <w:kern w:val="21"/>
                      <w:szCs w:val="21"/>
                      <w:lang w:val="en-US" w:eastAsia="zh-CN"/>
                    </w:rPr>
                    <w:t>》</w:t>
                  </w:r>
                  <w:r>
                    <w:rPr>
                      <w:rFonts w:hint="default" w:ascii="Times New Roman" w:hAnsi="Times New Roman" w:eastAsia="宋体" w:cs="Times New Roman"/>
                      <w:b w:val="0"/>
                      <w:bCs w:val="0"/>
                      <w:color w:val="auto"/>
                      <w:kern w:val="21"/>
                      <w:szCs w:val="21"/>
                    </w:rPr>
                    <w:t>（2024 年</w:t>
                  </w:r>
                  <w:r>
                    <w:rPr>
                      <w:rFonts w:hint="eastAsia" w:cs="Times New Roman"/>
                      <w:b w:val="0"/>
                      <w:bCs w:val="0"/>
                      <w:color w:val="auto"/>
                      <w:kern w:val="21"/>
                      <w:szCs w:val="21"/>
                      <w:lang w:eastAsia="zh-CN"/>
                    </w:rPr>
                    <w:t>，</w:t>
                  </w:r>
                  <w:r>
                    <w:rPr>
                      <w:rFonts w:hint="default" w:ascii="Times New Roman" w:hAnsi="Times New Roman" w:eastAsia="宋体" w:cs="Times New Roman"/>
                      <w:b w:val="0"/>
                      <w:bCs w:val="0"/>
                      <w:color w:val="auto"/>
                      <w:kern w:val="21"/>
                      <w:szCs w:val="21"/>
                    </w:rPr>
                    <w:t>限制类和淘汰类</w:t>
                  </w:r>
                  <w:r>
                    <w:rPr>
                      <w:rFonts w:hint="default" w:ascii="Times New Roman" w:hAnsi="Times New Roman" w:eastAsia="宋体" w:cs="Times New Roman"/>
                      <w:b w:val="0"/>
                      <w:bCs w:val="0"/>
                      <w:color w:val="auto"/>
                      <w:kern w:val="21"/>
                      <w:szCs w:val="21"/>
                      <w:lang w:eastAsia="zh-CN"/>
                    </w:rPr>
                    <w:t>）</w:t>
                  </w:r>
                </w:p>
              </w:tc>
              <w:tc>
                <w:tcPr>
                  <w:tcW w:w="2446" w:type="pct"/>
                  <w:tcBorders>
                    <w:tl2br w:val="nil"/>
                    <w:tr2bl w:val="nil"/>
                  </w:tcBorders>
                  <w:noWrap w:val="0"/>
                  <w:vAlign w:val="center"/>
                </w:tcPr>
                <w:p w14:paraId="34CB13EF">
                  <w:pPr>
                    <w:keepNext w:val="0"/>
                    <w:keepLines w:val="0"/>
                    <w:pageBreakBefore w:val="0"/>
                    <w:kinsoku/>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1"/>
                      <w:szCs w:val="21"/>
                    </w:rPr>
                  </w:pPr>
                  <w:r>
                    <w:rPr>
                      <w:rFonts w:hint="eastAsia"/>
                      <w:color w:val="auto"/>
                      <w:szCs w:val="21"/>
                      <w:lang w:val="en-US" w:eastAsia="zh-CN"/>
                    </w:rPr>
                    <w:t>有机废气限制类和淘汰类</w:t>
                  </w:r>
                  <w:r>
                    <w:rPr>
                      <w:rFonts w:hint="eastAsia"/>
                      <w:color w:val="auto"/>
                      <w:szCs w:val="21"/>
                    </w:rPr>
                    <w:t>技术：VOCs(挥发性有机物)洗涤吸收净化技术</w:t>
                  </w:r>
                  <w:r>
                    <w:rPr>
                      <w:rFonts w:hint="eastAsia"/>
                      <w:color w:val="auto"/>
                      <w:szCs w:val="21"/>
                      <w:lang w:eastAsia="zh-CN"/>
                    </w:rPr>
                    <w:t>；</w:t>
                  </w:r>
                  <w:r>
                    <w:rPr>
                      <w:rFonts w:hint="eastAsia"/>
                      <w:color w:val="auto"/>
                      <w:szCs w:val="21"/>
                      <w:lang w:val="en-US" w:eastAsia="zh-CN"/>
                    </w:rPr>
                    <w:t>吸附-脱附VOCs治理技术；VOCs光催化及其组合净化技术；</w:t>
                  </w:r>
                  <w:r>
                    <w:rPr>
                      <w:rFonts w:hint="eastAsia"/>
                      <w:color w:val="auto"/>
                      <w:szCs w:val="21"/>
                    </w:rPr>
                    <w:t>VOCs低温等离子体及其组合净化技术</w:t>
                  </w:r>
                  <w:r>
                    <w:rPr>
                      <w:rFonts w:hint="eastAsia"/>
                      <w:color w:val="auto"/>
                      <w:szCs w:val="21"/>
                      <w:lang w:eastAsia="zh-CN"/>
                    </w:rPr>
                    <w:t>；</w:t>
                  </w:r>
                  <w:r>
                    <w:rPr>
                      <w:rFonts w:hint="eastAsia"/>
                      <w:color w:val="auto"/>
                      <w:szCs w:val="21"/>
                    </w:rPr>
                    <w:t>VOCs光解（光氧化）及其组合净化技术。</w:t>
                  </w:r>
                </w:p>
              </w:tc>
              <w:tc>
                <w:tcPr>
                  <w:tcW w:w="1214" w:type="pct"/>
                  <w:tcBorders>
                    <w:tl2br w:val="nil"/>
                    <w:tr2bl w:val="nil"/>
                  </w:tcBorders>
                  <w:shd w:val="clear" w:color="auto" w:fill="auto"/>
                  <w:noWrap w:val="0"/>
                  <w:vAlign w:val="center"/>
                </w:tcPr>
                <w:p w14:paraId="07A6B27A">
                  <w:pPr>
                    <w:autoSpaceDE w:val="0"/>
                    <w:autoSpaceDN w:val="0"/>
                    <w:adjustRightInd w:val="0"/>
                    <w:snapToGrid w:val="0"/>
                    <w:rPr>
                      <w:rFonts w:hint="default"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本项目有机废气</w:t>
                  </w:r>
                  <w:r>
                    <w:rPr>
                      <w:rFonts w:hint="default" w:ascii="Times New Roman" w:hAnsi="Times New Roman" w:eastAsia="宋体" w:cs="Times New Roman"/>
                      <w:color w:val="auto"/>
                      <w:kern w:val="2"/>
                      <w:sz w:val="21"/>
                      <w:szCs w:val="21"/>
                      <w:lang w:val="en-US" w:eastAsia="zh-CN" w:bidi="ar-SA"/>
                    </w:rPr>
                    <w:t>经</w:t>
                  </w:r>
                  <w:r>
                    <w:rPr>
                      <w:rFonts w:hint="eastAsia"/>
                      <w:color w:val="auto"/>
                      <w:szCs w:val="21"/>
                    </w:rPr>
                    <w:t>通风橱</w:t>
                  </w:r>
                  <w:r>
                    <w:rPr>
                      <w:rFonts w:hint="eastAsia"/>
                      <w:color w:val="auto"/>
                      <w:szCs w:val="21"/>
                      <w:lang w:val="en-US" w:eastAsia="zh-CN"/>
                    </w:rPr>
                    <w:t>/密闭式管道</w:t>
                  </w:r>
                  <w:r>
                    <w:rPr>
                      <w:rFonts w:hint="eastAsia"/>
                      <w:color w:val="auto"/>
                      <w:szCs w:val="21"/>
                    </w:rPr>
                    <w:t>+二级活性炭吸附</w:t>
                  </w:r>
                  <w:r>
                    <w:rPr>
                      <w:color w:val="auto"/>
                      <w:szCs w:val="21"/>
                    </w:rPr>
                    <w:t>+</w:t>
                  </w:r>
                  <w:r>
                    <w:rPr>
                      <w:rFonts w:hint="eastAsia"/>
                      <w:color w:val="auto"/>
                      <w:szCs w:val="21"/>
                      <w:lang w:val="en-US" w:eastAsia="zh-CN"/>
                    </w:rPr>
                    <w:t>17m</w:t>
                  </w:r>
                  <w:r>
                    <w:rPr>
                      <w:color w:val="auto"/>
                      <w:szCs w:val="21"/>
                    </w:rPr>
                    <w:t>排气筒</w:t>
                  </w:r>
                  <w:r>
                    <w:rPr>
                      <w:rFonts w:hint="eastAsia"/>
                      <w:color w:val="auto"/>
                    </w:rPr>
                    <w:t>（DA001）</w:t>
                  </w:r>
                  <w:r>
                    <w:rPr>
                      <w:rFonts w:hint="eastAsia"/>
                      <w:color w:val="auto"/>
                      <w:szCs w:val="21"/>
                    </w:rPr>
                    <w:t>处理</w:t>
                  </w:r>
                  <w:r>
                    <w:rPr>
                      <w:rFonts w:hint="eastAsia"/>
                      <w:color w:val="auto"/>
                      <w:szCs w:val="21"/>
                      <w:lang w:val="en-US" w:eastAsia="zh-CN"/>
                    </w:rPr>
                    <w:t>后</w:t>
                  </w:r>
                  <w:r>
                    <w:rPr>
                      <w:rFonts w:hint="eastAsia"/>
                      <w:color w:val="auto"/>
                      <w:szCs w:val="21"/>
                    </w:rPr>
                    <w:t>达标排放</w:t>
                  </w:r>
                  <w:r>
                    <w:rPr>
                      <w:rFonts w:hint="eastAsia"/>
                      <w:color w:val="auto"/>
                      <w:szCs w:val="21"/>
                      <w:lang w:eastAsia="zh-CN"/>
                    </w:rPr>
                    <w:t>。</w:t>
                  </w:r>
                  <w:r>
                    <w:rPr>
                      <w:rFonts w:hint="eastAsia"/>
                      <w:color w:val="auto"/>
                      <w:szCs w:val="21"/>
                      <w:lang w:val="en-US" w:eastAsia="zh-CN"/>
                    </w:rPr>
                    <w:t>不属于所列限制类和淘汰类</w:t>
                  </w:r>
                  <w:r>
                    <w:rPr>
                      <w:rFonts w:hint="eastAsia"/>
                      <w:color w:val="auto"/>
                      <w:szCs w:val="21"/>
                    </w:rPr>
                    <w:t>技术</w:t>
                  </w:r>
                  <w:r>
                    <w:rPr>
                      <w:rFonts w:hint="eastAsia"/>
                      <w:color w:val="auto"/>
                      <w:szCs w:val="21"/>
                      <w:lang w:eastAsia="zh-CN"/>
                    </w:rPr>
                    <w:t>。</w:t>
                  </w:r>
                </w:p>
              </w:tc>
              <w:tc>
                <w:tcPr>
                  <w:tcW w:w="533" w:type="pct"/>
                  <w:tcBorders>
                    <w:tl2br w:val="nil"/>
                    <w:tr2bl w:val="nil"/>
                  </w:tcBorders>
                  <w:shd w:val="clear" w:color="auto" w:fill="auto"/>
                  <w:noWrap w:val="0"/>
                  <w:vAlign w:val="center"/>
                </w:tcPr>
                <w:p w14:paraId="71493B58">
                  <w:pPr>
                    <w:autoSpaceDE w:val="0"/>
                    <w:autoSpaceDN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符合</w:t>
                  </w:r>
                </w:p>
              </w:tc>
            </w:tr>
            <w:tr w14:paraId="505673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05" w:type="pct"/>
                  <w:tcBorders>
                    <w:tl2br w:val="nil"/>
                    <w:tr2bl w:val="nil"/>
                  </w:tcBorders>
                  <w:noWrap w:val="0"/>
                  <w:vAlign w:val="center"/>
                </w:tcPr>
                <w:p w14:paraId="593A1003">
                  <w:pPr>
                    <w:keepNext w:val="0"/>
                    <w:keepLines w:val="0"/>
                    <w:pageBreakBefore w:val="0"/>
                    <w:kinsoku/>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1"/>
                      <w:szCs w:val="21"/>
                    </w:rPr>
                  </w:pPr>
                  <w:r>
                    <w:rPr>
                      <w:rFonts w:hint="eastAsia"/>
                      <w:color w:val="auto"/>
                      <w:szCs w:val="21"/>
                      <w:lang w:val="en-US" w:eastAsia="zh-CN"/>
                    </w:rPr>
                    <w:t>2025年</w:t>
                  </w:r>
                  <w:r>
                    <w:rPr>
                      <w:rFonts w:hint="default" w:ascii="Times New Roman" w:hAnsi="Times New Roman" w:eastAsia="宋体" w:cs="Times New Roman"/>
                      <w:b w:val="0"/>
                      <w:bCs w:val="0"/>
                      <w:color w:val="auto"/>
                      <w:kern w:val="21"/>
                      <w:szCs w:val="21"/>
                    </w:rPr>
                    <w:t>《国家污染防治技术指导目录》</w:t>
                  </w:r>
                </w:p>
              </w:tc>
              <w:tc>
                <w:tcPr>
                  <w:tcW w:w="2446" w:type="pct"/>
                  <w:tcBorders>
                    <w:tl2br w:val="nil"/>
                    <w:tr2bl w:val="nil"/>
                  </w:tcBorders>
                  <w:noWrap w:val="0"/>
                  <w:vAlign w:val="center"/>
                </w:tcPr>
                <w:p w14:paraId="389BF4DB">
                  <w:pPr>
                    <w:keepNext w:val="0"/>
                    <w:keepLines w:val="0"/>
                    <w:pageBreakBefore w:val="0"/>
                    <w:kinsoku/>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1"/>
                      <w:szCs w:val="21"/>
                    </w:rPr>
                  </w:pPr>
                  <w:r>
                    <w:rPr>
                      <w:rFonts w:hint="eastAsia"/>
                      <w:color w:val="auto"/>
                      <w:szCs w:val="21"/>
                      <w:lang w:val="en-US" w:eastAsia="zh-CN"/>
                    </w:rPr>
                    <w:t>有机废气</w:t>
                  </w:r>
                  <w:r>
                    <w:rPr>
                      <w:rFonts w:hint="eastAsia"/>
                      <w:color w:val="auto"/>
                      <w:szCs w:val="21"/>
                    </w:rPr>
                    <w:t>低效类技术：VOCs(挥发性有机物)洗涤吸收净化技术</w:t>
                  </w:r>
                  <w:r>
                    <w:rPr>
                      <w:rFonts w:hint="eastAsia"/>
                      <w:color w:val="auto"/>
                      <w:szCs w:val="21"/>
                      <w:lang w:eastAsia="zh-CN"/>
                    </w:rPr>
                    <w:t>；</w:t>
                  </w:r>
                  <w:r>
                    <w:rPr>
                      <w:rFonts w:hint="eastAsia"/>
                      <w:color w:val="auto"/>
                      <w:szCs w:val="21"/>
                    </w:rPr>
                    <w:t>VOCs光催化及其组合净化技术</w:t>
                  </w:r>
                  <w:r>
                    <w:rPr>
                      <w:rFonts w:hint="eastAsia"/>
                      <w:color w:val="auto"/>
                      <w:szCs w:val="21"/>
                      <w:lang w:eastAsia="zh-CN"/>
                    </w:rPr>
                    <w:t>；</w:t>
                  </w:r>
                  <w:r>
                    <w:rPr>
                      <w:rFonts w:hint="eastAsia"/>
                      <w:color w:val="auto"/>
                      <w:szCs w:val="21"/>
                    </w:rPr>
                    <w:t>VOCs低温等离子体及其组合净化技术</w:t>
                  </w:r>
                  <w:r>
                    <w:rPr>
                      <w:rFonts w:hint="eastAsia"/>
                      <w:color w:val="auto"/>
                      <w:szCs w:val="21"/>
                      <w:lang w:eastAsia="zh-CN"/>
                    </w:rPr>
                    <w:t>；</w:t>
                  </w:r>
                  <w:r>
                    <w:rPr>
                      <w:rFonts w:hint="eastAsia"/>
                      <w:color w:val="auto"/>
                      <w:szCs w:val="21"/>
                    </w:rPr>
                    <w:t>VOCs光解（光氧化）及其组合净化技术。</w:t>
                  </w:r>
                </w:p>
              </w:tc>
              <w:tc>
                <w:tcPr>
                  <w:tcW w:w="1214" w:type="pct"/>
                  <w:tcBorders>
                    <w:tl2br w:val="nil"/>
                    <w:tr2bl w:val="nil"/>
                  </w:tcBorders>
                  <w:shd w:val="clear" w:color="auto" w:fill="auto"/>
                  <w:noWrap w:val="0"/>
                  <w:vAlign w:val="center"/>
                </w:tcPr>
                <w:p w14:paraId="6B2887CF">
                  <w:pPr>
                    <w:autoSpaceDE w:val="0"/>
                    <w:autoSpaceDN w:val="0"/>
                    <w:adjustRightInd w:val="0"/>
                    <w:snapToGrid w:val="0"/>
                    <w:rPr>
                      <w:rFonts w:hint="default"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本项目有机废气</w:t>
                  </w:r>
                  <w:r>
                    <w:rPr>
                      <w:rFonts w:hint="default" w:ascii="Times New Roman" w:hAnsi="Times New Roman" w:eastAsia="宋体" w:cs="Times New Roman"/>
                      <w:color w:val="auto"/>
                      <w:kern w:val="2"/>
                      <w:sz w:val="21"/>
                      <w:szCs w:val="21"/>
                      <w:lang w:val="en-US" w:eastAsia="zh-CN" w:bidi="ar-SA"/>
                    </w:rPr>
                    <w:t>经</w:t>
                  </w:r>
                  <w:r>
                    <w:rPr>
                      <w:rFonts w:hint="eastAsia"/>
                      <w:color w:val="auto"/>
                      <w:szCs w:val="21"/>
                    </w:rPr>
                    <w:t>通风橱</w:t>
                  </w:r>
                  <w:r>
                    <w:rPr>
                      <w:rFonts w:hint="eastAsia"/>
                      <w:color w:val="auto"/>
                      <w:szCs w:val="21"/>
                      <w:lang w:val="en-US" w:eastAsia="zh-CN"/>
                    </w:rPr>
                    <w:t>/密闭式管道</w:t>
                  </w:r>
                  <w:r>
                    <w:rPr>
                      <w:rFonts w:hint="eastAsia"/>
                      <w:color w:val="auto"/>
                      <w:szCs w:val="21"/>
                    </w:rPr>
                    <w:t>+二级活性炭吸附</w:t>
                  </w:r>
                  <w:r>
                    <w:rPr>
                      <w:color w:val="auto"/>
                      <w:szCs w:val="21"/>
                    </w:rPr>
                    <w:t>+</w:t>
                  </w:r>
                  <w:r>
                    <w:rPr>
                      <w:rFonts w:hint="eastAsia"/>
                      <w:color w:val="auto"/>
                      <w:szCs w:val="21"/>
                      <w:lang w:val="en-US" w:eastAsia="zh-CN"/>
                    </w:rPr>
                    <w:t>17m</w:t>
                  </w:r>
                  <w:r>
                    <w:rPr>
                      <w:color w:val="auto"/>
                      <w:szCs w:val="21"/>
                    </w:rPr>
                    <w:t>排气筒</w:t>
                  </w:r>
                  <w:r>
                    <w:rPr>
                      <w:rFonts w:hint="eastAsia"/>
                      <w:color w:val="auto"/>
                    </w:rPr>
                    <w:t>（DA001）</w:t>
                  </w:r>
                  <w:r>
                    <w:rPr>
                      <w:rFonts w:hint="eastAsia"/>
                      <w:color w:val="auto"/>
                      <w:szCs w:val="21"/>
                    </w:rPr>
                    <w:t>处理</w:t>
                  </w:r>
                  <w:r>
                    <w:rPr>
                      <w:rFonts w:hint="eastAsia"/>
                      <w:color w:val="auto"/>
                      <w:szCs w:val="21"/>
                      <w:lang w:val="en-US" w:eastAsia="zh-CN"/>
                    </w:rPr>
                    <w:t>后</w:t>
                  </w:r>
                  <w:r>
                    <w:rPr>
                      <w:rFonts w:hint="eastAsia"/>
                      <w:color w:val="auto"/>
                      <w:szCs w:val="21"/>
                    </w:rPr>
                    <w:t>达标排放</w:t>
                  </w:r>
                  <w:r>
                    <w:rPr>
                      <w:rFonts w:hint="eastAsia"/>
                      <w:color w:val="auto"/>
                      <w:szCs w:val="21"/>
                      <w:lang w:eastAsia="zh-CN"/>
                    </w:rPr>
                    <w:t>。</w:t>
                  </w:r>
                  <w:r>
                    <w:rPr>
                      <w:rFonts w:hint="eastAsia"/>
                      <w:color w:val="auto"/>
                      <w:szCs w:val="21"/>
                      <w:lang w:val="en-US" w:eastAsia="zh-CN"/>
                    </w:rPr>
                    <w:t>不属于所列</w:t>
                  </w:r>
                  <w:r>
                    <w:rPr>
                      <w:rFonts w:hint="eastAsia"/>
                      <w:color w:val="auto"/>
                      <w:szCs w:val="21"/>
                    </w:rPr>
                    <w:t>低效类技术</w:t>
                  </w:r>
                  <w:r>
                    <w:rPr>
                      <w:rFonts w:hint="eastAsia"/>
                      <w:color w:val="auto"/>
                      <w:szCs w:val="21"/>
                      <w:lang w:eastAsia="zh-CN"/>
                    </w:rPr>
                    <w:t>。</w:t>
                  </w:r>
                </w:p>
              </w:tc>
              <w:tc>
                <w:tcPr>
                  <w:tcW w:w="533" w:type="pct"/>
                  <w:tcBorders>
                    <w:tl2br w:val="nil"/>
                    <w:tr2bl w:val="nil"/>
                  </w:tcBorders>
                  <w:shd w:val="clear" w:color="auto" w:fill="auto"/>
                  <w:noWrap w:val="0"/>
                  <w:vAlign w:val="center"/>
                </w:tcPr>
                <w:p w14:paraId="0F866B5F">
                  <w:pPr>
                    <w:autoSpaceDE w:val="0"/>
                    <w:autoSpaceDN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符合</w:t>
                  </w:r>
                </w:p>
              </w:tc>
            </w:tr>
            <w:tr w14:paraId="63229E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05" w:type="pct"/>
                  <w:tcBorders>
                    <w:tl2br w:val="nil"/>
                    <w:tr2bl w:val="nil"/>
                  </w:tcBorders>
                  <w:noWrap w:val="0"/>
                  <w:vAlign w:val="center"/>
                </w:tcPr>
                <w:p w14:paraId="51F538FC">
                  <w:pPr>
                    <w:autoSpaceDE w:val="0"/>
                    <w:autoSpaceDN w:val="0"/>
                    <w:adjustRightInd w:val="0"/>
                    <w:snapToGrid w:val="0"/>
                    <w:jc w:val="center"/>
                    <w:rPr>
                      <w:rFonts w:hint="default" w:ascii="Times New Roman" w:hAnsi="Times New Roman" w:eastAsia="宋体" w:cs="Times New Roman"/>
                      <w:b w:val="0"/>
                      <w:bCs w:val="0"/>
                      <w:color w:val="auto"/>
                      <w:kern w:val="21"/>
                      <w:szCs w:val="21"/>
                    </w:rPr>
                  </w:pPr>
                  <w:r>
                    <w:rPr>
                      <w:rFonts w:hint="eastAsia"/>
                      <w:color w:val="auto"/>
                      <w:kern w:val="2"/>
                      <w:sz w:val="21"/>
                      <w:szCs w:val="21"/>
                      <w:lang w:val="en-US" w:eastAsia="zh-CN" w:bidi="ar-SA"/>
                    </w:rPr>
                    <w:t>《陕西省“两高”项目重点管理范围（2025年）》（陕发改环资2025〔703〕号）</w:t>
                  </w:r>
                </w:p>
              </w:tc>
              <w:tc>
                <w:tcPr>
                  <w:tcW w:w="2446" w:type="pct"/>
                  <w:tcBorders>
                    <w:tl2br w:val="nil"/>
                    <w:tr2bl w:val="nil"/>
                  </w:tcBorders>
                  <w:noWrap w:val="0"/>
                  <w:vAlign w:val="center"/>
                </w:tcPr>
                <w:p w14:paraId="55DCADA4">
                  <w:pPr>
                    <w:autoSpaceDE w:val="0"/>
                    <w:adjustRightInd w:val="0"/>
                    <w:snapToGrid w:val="0"/>
                    <w:rPr>
                      <w:rFonts w:hint="default" w:ascii="Times New Roman" w:hAnsi="Times New Roman" w:eastAsia="宋体" w:cs="Times New Roman"/>
                      <w:b/>
                      <w:bCs/>
                      <w:color w:val="auto"/>
                      <w:kern w:val="21"/>
                      <w:szCs w:val="21"/>
                    </w:rPr>
                  </w:pPr>
                  <w:r>
                    <w:rPr>
                      <w:rFonts w:hint="eastAsia"/>
                      <w:color w:val="auto"/>
                      <w:szCs w:val="21"/>
                      <w:lang w:eastAsia="zh-CN"/>
                    </w:rPr>
                    <w:t>“</w:t>
                  </w:r>
                  <w:r>
                    <w:rPr>
                      <w:rFonts w:hint="eastAsia"/>
                      <w:color w:val="auto"/>
                      <w:szCs w:val="21"/>
                      <w:lang w:val="en-US" w:eastAsia="zh-CN"/>
                    </w:rPr>
                    <w:t>两高</w:t>
                  </w:r>
                  <w:r>
                    <w:rPr>
                      <w:rFonts w:hint="eastAsia"/>
                      <w:color w:val="auto"/>
                      <w:szCs w:val="21"/>
                      <w:lang w:eastAsia="zh-CN"/>
                    </w:rPr>
                    <w:t>”</w:t>
                  </w:r>
                  <w:r>
                    <w:rPr>
                      <w:rFonts w:hint="eastAsia"/>
                      <w:color w:val="auto"/>
                      <w:szCs w:val="21"/>
                      <w:lang w:val="en-US" w:eastAsia="zh-CN"/>
                    </w:rPr>
                    <w:t>项目包含石油、煤炭及其他燃料加工业；化学原料和化学制品制造业；非金属矿物制品业；黑色金属冶炼和压延加工业；有色金属冶炼和压延加工业；电力、热力生产和供应业；软件和信息技术服务业。</w:t>
                  </w:r>
                </w:p>
              </w:tc>
              <w:tc>
                <w:tcPr>
                  <w:tcW w:w="1214" w:type="pct"/>
                  <w:tcBorders>
                    <w:tl2br w:val="nil"/>
                    <w:tr2bl w:val="nil"/>
                  </w:tcBorders>
                  <w:noWrap w:val="0"/>
                  <w:vAlign w:val="center"/>
                </w:tcPr>
                <w:p w14:paraId="55EDB4A2">
                  <w:pPr>
                    <w:autoSpaceDE w:val="0"/>
                    <w:adjustRightInd w:val="0"/>
                    <w:snapToGrid w:val="0"/>
                    <w:rPr>
                      <w:rFonts w:hint="default" w:ascii="Times New Roman" w:hAnsi="Times New Roman" w:eastAsia="宋体" w:cs="Times New Roman"/>
                      <w:b/>
                      <w:bCs/>
                      <w:color w:val="auto"/>
                      <w:kern w:val="21"/>
                      <w:szCs w:val="21"/>
                    </w:rPr>
                  </w:pPr>
                  <w:r>
                    <w:rPr>
                      <w:rFonts w:hint="default" w:ascii="Times New Roman" w:hAnsi="Times New Roman" w:eastAsia="宋体" w:cs="Times New Roman"/>
                      <w:color w:val="auto"/>
                      <w:kern w:val="0"/>
                      <w:szCs w:val="21"/>
                    </w:rPr>
                    <w:t>本项目为</w:t>
                  </w:r>
                  <w:r>
                    <w:rPr>
                      <w:rFonts w:hint="default" w:ascii="Times New Roman" w:hAnsi="Times New Roman" w:eastAsia="宋体" w:cs="Times New Roman"/>
                      <w:color w:val="auto"/>
                      <w:kern w:val="0"/>
                      <w:szCs w:val="21"/>
                      <w:lang w:val="en-US" w:eastAsia="zh-CN"/>
                    </w:rPr>
                    <w:t>高效氢燃料电池膜电极产业化项目</w:t>
                  </w:r>
                  <w:r>
                    <w:rPr>
                      <w:rFonts w:hint="eastAsia"/>
                      <w:color w:val="auto"/>
                      <w:szCs w:val="21"/>
                      <w:lang w:eastAsia="zh-CN"/>
                    </w:rPr>
                    <w:t>，</w:t>
                  </w:r>
                  <w:r>
                    <w:rPr>
                      <w:rFonts w:hint="eastAsia"/>
                      <w:color w:val="auto"/>
                      <w:szCs w:val="21"/>
                      <w:lang w:val="en-US" w:eastAsia="zh-CN"/>
                    </w:rPr>
                    <w:t>不属于所列“两高”项目类。</w:t>
                  </w:r>
                </w:p>
              </w:tc>
              <w:tc>
                <w:tcPr>
                  <w:tcW w:w="533" w:type="pct"/>
                  <w:tcBorders>
                    <w:tl2br w:val="nil"/>
                    <w:tr2bl w:val="nil"/>
                  </w:tcBorders>
                  <w:noWrap w:val="0"/>
                  <w:vAlign w:val="center"/>
                </w:tcPr>
                <w:p w14:paraId="46EC5F5C">
                  <w:pPr>
                    <w:autoSpaceDE w:val="0"/>
                    <w:autoSpaceDN w:val="0"/>
                    <w:adjustRightInd w:val="0"/>
                    <w:snapToGrid w:val="0"/>
                    <w:jc w:val="center"/>
                    <w:rPr>
                      <w:rFonts w:hint="default" w:ascii="Times New Roman" w:hAnsi="Times New Roman" w:eastAsia="宋体" w:cs="Times New Roman"/>
                      <w:b/>
                      <w:bCs/>
                      <w:color w:val="auto"/>
                      <w:kern w:val="21"/>
                      <w:szCs w:val="21"/>
                    </w:rPr>
                  </w:pPr>
                  <w:r>
                    <w:rPr>
                      <w:rFonts w:hint="eastAsia"/>
                      <w:color w:val="auto"/>
                      <w:szCs w:val="21"/>
                      <w:lang w:val="en-US" w:eastAsia="zh-CN"/>
                    </w:rPr>
                    <w:t>符合</w:t>
                  </w:r>
                </w:p>
              </w:tc>
            </w:tr>
            <w:tr w14:paraId="793F2A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05" w:type="pct"/>
                  <w:tcBorders>
                    <w:tl2br w:val="nil"/>
                    <w:tr2bl w:val="nil"/>
                  </w:tcBorders>
                  <w:noWrap w:val="0"/>
                  <w:vAlign w:val="center"/>
                </w:tcPr>
                <w:p w14:paraId="1C49CFE8">
                  <w:pPr>
                    <w:keepNext w:val="0"/>
                    <w:keepLines w:val="0"/>
                    <w:pageBreakBefore w:val="0"/>
                    <w:kinsoku/>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color w:val="auto"/>
                      <w:kern w:val="21"/>
                      <w:szCs w:val="21"/>
                      <w:lang w:val="en"/>
                    </w:rPr>
                    <w:t>《陕西省</w:t>
                  </w:r>
                  <w:r>
                    <w:rPr>
                      <w:rFonts w:hint="default" w:ascii="Times New Roman" w:hAnsi="Times New Roman" w:cs="Times New Roman"/>
                      <w:color w:val="auto"/>
                      <w:kern w:val="21"/>
                      <w:szCs w:val="21"/>
                      <w:lang w:val="en" w:eastAsia="zh-CN"/>
                    </w:rPr>
                    <w:t>“</w:t>
                  </w:r>
                  <w:r>
                    <w:rPr>
                      <w:rFonts w:hint="default" w:ascii="Times New Roman" w:hAnsi="Times New Roman" w:eastAsia="宋体" w:cs="Times New Roman"/>
                      <w:color w:val="auto"/>
                      <w:kern w:val="21"/>
                      <w:szCs w:val="21"/>
                      <w:lang w:val="en"/>
                    </w:rPr>
                    <w:t>十四五</w:t>
                  </w:r>
                  <w:r>
                    <w:rPr>
                      <w:rFonts w:hint="default" w:ascii="Times New Roman" w:hAnsi="Times New Roman" w:cs="Times New Roman"/>
                      <w:color w:val="auto"/>
                      <w:kern w:val="21"/>
                      <w:szCs w:val="21"/>
                      <w:lang w:val="en" w:eastAsia="zh-CN"/>
                    </w:rPr>
                    <w:t>”</w:t>
                  </w:r>
                  <w:r>
                    <w:rPr>
                      <w:rFonts w:hint="default" w:ascii="Times New Roman" w:hAnsi="Times New Roman" w:eastAsia="宋体" w:cs="Times New Roman"/>
                      <w:color w:val="auto"/>
                      <w:kern w:val="21"/>
                      <w:szCs w:val="21"/>
                      <w:lang w:val="en"/>
                    </w:rPr>
                    <w:t>生态环境保护规划》（陕政办发〔2021〕25号）</w:t>
                  </w:r>
                </w:p>
              </w:tc>
              <w:tc>
                <w:tcPr>
                  <w:tcW w:w="2446" w:type="pct"/>
                  <w:tcBorders>
                    <w:tl2br w:val="nil"/>
                    <w:tr2bl w:val="nil"/>
                  </w:tcBorders>
                  <w:noWrap w:val="0"/>
                  <w:vAlign w:val="center"/>
                </w:tcPr>
                <w:p w14:paraId="1EEB7C6C">
                  <w:pPr>
                    <w:keepNext w:val="0"/>
                    <w:keepLines w:val="0"/>
                    <w:pageBreakBefore w:val="0"/>
                    <w:kinsoku/>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21"/>
                      <w:szCs w:val="21"/>
                    </w:rPr>
                  </w:pPr>
                  <w:r>
                    <w:rPr>
                      <w:rFonts w:hint="default" w:ascii="Times New Roman" w:hAnsi="Times New Roman" w:eastAsia="宋体" w:cs="Times New Roman"/>
                      <w:bCs/>
                      <w:color w:val="auto"/>
                      <w:kern w:val="0"/>
                      <w:szCs w:val="21"/>
                      <w:lang w:val="en-GB"/>
                    </w:rPr>
                    <w:t>深化落实环评制度。不断健全环境影响评价等生态源头预防体系，对重点区域、重点流域、重点行业依法开展规划环境影响评价，严格建设项目生态环境准入。</w:t>
                  </w:r>
                </w:p>
              </w:tc>
              <w:tc>
                <w:tcPr>
                  <w:tcW w:w="1214" w:type="pct"/>
                  <w:tcBorders>
                    <w:tl2br w:val="nil"/>
                    <w:tr2bl w:val="nil"/>
                  </w:tcBorders>
                  <w:noWrap w:val="0"/>
                  <w:vAlign w:val="center"/>
                </w:tcPr>
                <w:p w14:paraId="4A4D4A43">
                  <w:pPr>
                    <w:keepNext w:val="0"/>
                    <w:keepLines w:val="0"/>
                    <w:pageBreakBefore w:val="0"/>
                    <w:kinsoku/>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21"/>
                      <w:szCs w:val="21"/>
                    </w:rPr>
                  </w:pPr>
                  <w:r>
                    <w:rPr>
                      <w:rFonts w:hint="default" w:ascii="Times New Roman" w:hAnsi="Times New Roman" w:cs="Times New Roman"/>
                      <w:color w:val="auto"/>
                      <w:kern w:val="0"/>
                      <w:szCs w:val="21"/>
                      <w:lang w:bidi="ar"/>
                    </w:rPr>
                    <w:t>本项目</w:t>
                  </w:r>
                  <w:r>
                    <w:rPr>
                      <w:rFonts w:hint="default" w:ascii="Times New Roman" w:hAnsi="Times New Roman" w:cs="Times New Roman"/>
                      <w:color w:val="auto"/>
                      <w:kern w:val="0"/>
                      <w:szCs w:val="21"/>
                      <w:lang w:val="en-US" w:eastAsia="zh-CN" w:bidi="ar"/>
                    </w:rPr>
                    <w:t>位于西咸新区泾河新城永乐镇泾河智造创新产业园</w:t>
                  </w:r>
                  <w:r>
                    <w:rPr>
                      <w:rFonts w:hint="default" w:ascii="Times New Roman" w:hAnsi="Times New Roman" w:eastAsia="宋体" w:cs="Times New Roman"/>
                      <w:bCs/>
                      <w:color w:val="auto"/>
                      <w:kern w:val="0"/>
                      <w:szCs w:val="21"/>
                      <w:lang w:val="en-GB"/>
                    </w:rPr>
                    <w:t>，租用</w:t>
                  </w:r>
                  <w:r>
                    <w:rPr>
                      <w:rFonts w:hint="default" w:ascii="Times New Roman" w:hAnsi="Times New Roman" w:eastAsia="宋体" w:cs="Times New Roman"/>
                      <w:bCs/>
                      <w:color w:val="auto"/>
                      <w:kern w:val="0"/>
                      <w:szCs w:val="21"/>
                      <w:lang w:val="en-US" w:eastAsia="zh-CN"/>
                    </w:rPr>
                    <w:t>已建成厂房</w:t>
                  </w:r>
                  <w:r>
                    <w:rPr>
                      <w:rFonts w:hint="default" w:ascii="Times New Roman" w:hAnsi="Times New Roman" w:eastAsia="宋体" w:cs="Times New Roman"/>
                      <w:bCs/>
                      <w:color w:val="auto"/>
                      <w:kern w:val="0"/>
                      <w:szCs w:val="21"/>
                      <w:lang w:val="en-GB"/>
                    </w:rPr>
                    <w:t>，</w:t>
                  </w:r>
                  <w:r>
                    <w:rPr>
                      <w:rFonts w:hint="default" w:ascii="Times New Roman" w:hAnsi="Times New Roman" w:eastAsia="宋体" w:cs="Times New Roman"/>
                      <w:bCs/>
                      <w:color w:val="auto"/>
                      <w:kern w:val="0"/>
                      <w:szCs w:val="21"/>
                    </w:rPr>
                    <w:t>目前在</w:t>
                  </w:r>
                  <w:r>
                    <w:rPr>
                      <w:rFonts w:hint="default" w:ascii="Times New Roman" w:hAnsi="Times New Roman" w:eastAsia="宋体" w:cs="Times New Roman"/>
                      <w:bCs/>
                      <w:color w:val="auto"/>
                      <w:kern w:val="0"/>
                      <w:szCs w:val="21"/>
                      <w:lang w:val="en-GB"/>
                    </w:rPr>
                    <w:t>开展相关的环评手续。</w:t>
                  </w:r>
                </w:p>
              </w:tc>
              <w:tc>
                <w:tcPr>
                  <w:tcW w:w="533" w:type="pct"/>
                  <w:tcBorders>
                    <w:tl2br w:val="nil"/>
                    <w:tr2bl w:val="nil"/>
                  </w:tcBorders>
                  <w:noWrap w:val="0"/>
                  <w:vAlign w:val="center"/>
                </w:tcPr>
                <w:p w14:paraId="7FB59FCD">
                  <w:pPr>
                    <w:keepNext w:val="0"/>
                    <w:keepLines w:val="0"/>
                    <w:pageBreakBefore w:val="0"/>
                    <w:kinsoku/>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1"/>
                      <w:szCs w:val="21"/>
                    </w:rPr>
                  </w:pPr>
                  <w:r>
                    <w:rPr>
                      <w:rFonts w:hint="default" w:ascii="Times New Roman" w:hAnsi="Times New Roman" w:eastAsia="宋体" w:cs="Times New Roman"/>
                      <w:color w:val="auto"/>
                      <w:kern w:val="0"/>
                      <w:szCs w:val="21"/>
                    </w:rPr>
                    <w:t>符合</w:t>
                  </w:r>
                </w:p>
              </w:tc>
            </w:tr>
            <w:tr w14:paraId="0CABDF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05" w:type="pct"/>
                  <w:tcBorders>
                    <w:tl2br w:val="nil"/>
                    <w:tr2bl w:val="nil"/>
                  </w:tcBorders>
                  <w:noWrap w:val="0"/>
                  <w:vAlign w:val="center"/>
                </w:tcPr>
                <w:p w14:paraId="7150DD6A">
                  <w:pPr>
                    <w:keepNext w:val="0"/>
                    <w:keepLines w:val="0"/>
                    <w:pageBreakBefore w:val="0"/>
                    <w:widowControl/>
                    <w:suppressLineNumbers w:val="0"/>
                    <w:kinsoku/>
                    <w:wordWrap/>
                    <w:overflowPunct/>
                    <w:topLinePunct w:val="0"/>
                    <w:autoSpaceDE/>
                    <w:autoSpaceDN/>
                    <w:bidi w:val="0"/>
                    <w:adjustRightInd/>
                    <w:snapToGrid/>
                    <w:spacing w:line="264"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 w:eastAsia="zh-CN" w:bidi="ar-SA"/>
                    </w:rPr>
                  </w:pPr>
                  <w:r>
                    <w:rPr>
                      <w:rFonts w:hint="default" w:ascii="Times New Roman" w:hAnsi="Times New Roman" w:eastAsia="宋体" w:cs="Times New Roman"/>
                      <w:color w:val="auto"/>
                      <w:kern w:val="0"/>
                      <w:sz w:val="21"/>
                      <w:szCs w:val="21"/>
                      <w:lang w:val="en-US" w:eastAsia="zh-CN" w:bidi="ar"/>
                    </w:rPr>
                    <w:t>《陕西省大气污染防治条例》</w:t>
                  </w:r>
                  <w:r>
                    <w:rPr>
                      <w:rFonts w:hint="default" w:ascii="Times New Roman" w:hAnsi="Times New Roman"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第三次修正</w:t>
                  </w:r>
                  <w:r>
                    <w:rPr>
                      <w:rFonts w:hint="default" w:ascii="Times New Roman" w:hAnsi="Times New Roman" w:cs="Times New Roman"/>
                      <w:color w:val="auto"/>
                      <w:kern w:val="0"/>
                      <w:sz w:val="21"/>
                      <w:szCs w:val="21"/>
                      <w:lang w:val="en-US" w:eastAsia="zh-CN" w:bidi="ar"/>
                    </w:rPr>
                    <w:t>）</w:t>
                  </w:r>
                </w:p>
              </w:tc>
              <w:tc>
                <w:tcPr>
                  <w:tcW w:w="2446" w:type="pct"/>
                  <w:tcBorders>
                    <w:tl2br w:val="nil"/>
                    <w:tr2bl w:val="nil"/>
                  </w:tcBorders>
                  <w:noWrap w:val="0"/>
                  <w:vAlign w:val="center"/>
                </w:tcPr>
                <w:p w14:paraId="267761A6">
                  <w:pPr>
                    <w:keepNext w:val="0"/>
                    <w:keepLines w:val="0"/>
                    <w:pageBreakBefore w:val="0"/>
                    <w:widowControl/>
                    <w:suppressLineNumbers w:val="0"/>
                    <w:kinsoku/>
                    <w:wordWrap/>
                    <w:overflowPunct/>
                    <w:topLinePunct w:val="0"/>
                    <w:autoSpaceDE/>
                    <w:autoSpaceDN/>
                    <w:bidi w:val="0"/>
                    <w:adjustRightInd/>
                    <w:snapToGrid/>
                    <w:spacing w:line="264" w:lineRule="auto"/>
                    <w:ind w:left="0" w:leftChars="0" w:right="0" w:rightChars="0" w:firstLine="0" w:firstLineChars="0"/>
                    <w:jc w:val="left"/>
                    <w:textAlignment w:val="auto"/>
                    <w:rPr>
                      <w:rFonts w:hint="default" w:ascii="Times New Roman" w:hAnsi="Times New Roman" w:eastAsia="宋体" w:cs="Times New Roman"/>
                      <w:color w:val="auto"/>
                      <w:kern w:val="0"/>
                      <w:sz w:val="21"/>
                      <w:szCs w:val="21"/>
                      <w:lang w:val="en-GB" w:eastAsia="zh-CN" w:bidi="ar-SA"/>
                    </w:rPr>
                  </w:pPr>
                  <w:r>
                    <w:rPr>
                      <w:rFonts w:hint="default" w:ascii="Times New Roman" w:hAnsi="Times New Roman" w:eastAsia="宋体" w:cs="Times New Roman"/>
                      <w:color w:val="auto"/>
                      <w:kern w:val="0"/>
                      <w:sz w:val="21"/>
                      <w:szCs w:val="21"/>
                      <w:lang w:val="en-US" w:eastAsia="zh-CN" w:bidi="ar"/>
                    </w:rPr>
                    <w:t>企业应当优先采用能源和原材料利用效率高、污染物排放量少的清洁生产技术、工艺和装备，减少大气污染物的产生和排放。</w:t>
                  </w:r>
                </w:p>
              </w:tc>
              <w:tc>
                <w:tcPr>
                  <w:tcW w:w="1214" w:type="pct"/>
                  <w:tcBorders>
                    <w:tl2br w:val="nil"/>
                    <w:tr2bl w:val="nil"/>
                  </w:tcBorders>
                  <w:noWrap w:val="0"/>
                  <w:vAlign w:val="center"/>
                </w:tcPr>
                <w:p w14:paraId="73A1E9DC">
                  <w:pPr>
                    <w:keepNext w:val="0"/>
                    <w:keepLines w:val="0"/>
                    <w:pageBreakBefore w:val="0"/>
                    <w:widowControl/>
                    <w:suppressLineNumbers w:val="0"/>
                    <w:kinsoku/>
                    <w:wordWrap/>
                    <w:overflowPunct/>
                    <w:topLinePunct w:val="0"/>
                    <w:autoSpaceDE/>
                    <w:autoSpaceDN/>
                    <w:bidi w:val="0"/>
                    <w:adjustRightInd/>
                    <w:snapToGrid/>
                    <w:spacing w:line="264"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lang w:val="en-GB" w:eastAsia="zh-CN" w:bidi="ar-SA"/>
                    </w:rPr>
                  </w:pPr>
                  <w:r>
                    <w:rPr>
                      <w:rFonts w:hint="default" w:ascii="Times New Roman" w:hAnsi="Times New Roman" w:eastAsia="宋体" w:cs="Times New Roman"/>
                      <w:color w:val="auto"/>
                      <w:kern w:val="0"/>
                      <w:sz w:val="21"/>
                      <w:szCs w:val="21"/>
                      <w:lang w:val="en-US" w:eastAsia="zh-CN" w:bidi="ar"/>
                    </w:rPr>
                    <w:t>本项目生产工</w:t>
                  </w:r>
                  <w:r>
                    <w:rPr>
                      <w:rFonts w:hint="default" w:ascii="Times New Roman" w:hAnsi="Times New Roman" w:cs="Times New Roman"/>
                      <w:color w:val="auto"/>
                      <w:kern w:val="0"/>
                      <w:sz w:val="21"/>
                      <w:szCs w:val="21"/>
                      <w:lang w:val="en-US" w:eastAsia="zh-CN" w:bidi="ar"/>
                    </w:rPr>
                    <w:t>序</w:t>
                  </w:r>
                  <w:r>
                    <w:rPr>
                      <w:rFonts w:hint="default" w:ascii="Times New Roman" w:hAnsi="Times New Roman" w:eastAsia="宋体" w:cs="Times New Roman"/>
                      <w:color w:val="auto"/>
                      <w:kern w:val="0"/>
                      <w:sz w:val="21"/>
                      <w:szCs w:val="21"/>
                      <w:lang w:val="en-US" w:eastAsia="zh-CN" w:bidi="ar"/>
                    </w:rPr>
                    <w:t>均使用电能。</w:t>
                  </w:r>
                </w:p>
              </w:tc>
              <w:tc>
                <w:tcPr>
                  <w:tcW w:w="533" w:type="pct"/>
                  <w:tcBorders>
                    <w:tl2br w:val="nil"/>
                    <w:tr2bl w:val="nil"/>
                  </w:tcBorders>
                  <w:noWrap w:val="0"/>
                  <w:vAlign w:val="center"/>
                </w:tcPr>
                <w:p w14:paraId="0DF96183">
                  <w:pPr>
                    <w:keepNext w:val="0"/>
                    <w:keepLines w:val="0"/>
                    <w:pageBreakBefore w:val="0"/>
                    <w:kinsoku/>
                    <w:wordWrap/>
                    <w:overflowPunct/>
                    <w:topLinePunct w:val="0"/>
                    <w:autoSpaceDE/>
                    <w:autoSpaceDN/>
                    <w:bidi w:val="0"/>
                    <w:adjustRightInd/>
                    <w:snapToGrid/>
                    <w:spacing w:line="264"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符合</w:t>
                  </w:r>
                </w:p>
              </w:tc>
            </w:tr>
            <w:tr w14:paraId="109933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05" w:type="pct"/>
                  <w:tcBorders>
                    <w:tl2br w:val="nil"/>
                    <w:tr2bl w:val="nil"/>
                  </w:tcBorders>
                  <w:noWrap w:val="0"/>
                  <w:vAlign w:val="center"/>
                </w:tcPr>
                <w:p w14:paraId="77691992">
                  <w:pPr>
                    <w:keepNext w:val="0"/>
                    <w:keepLines w:val="0"/>
                    <w:pageBreakBefore w:val="0"/>
                    <w:widowControl/>
                    <w:suppressLineNumbers w:val="0"/>
                    <w:kinsoku/>
                    <w:overflowPunct/>
                    <w:autoSpaceDE/>
                    <w:autoSpaceDN/>
                    <w:bidi w:val="0"/>
                    <w:spacing w:line="264"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《陕西省大气污染治理专项</w:t>
                  </w:r>
                </w:p>
                <w:p w14:paraId="70E76CA7">
                  <w:pPr>
                    <w:keepNext w:val="0"/>
                    <w:keepLines w:val="0"/>
                    <w:pageBreakBefore w:val="0"/>
                    <w:widowControl/>
                    <w:suppressLineNumbers w:val="0"/>
                    <w:kinsoku/>
                    <w:overflowPunct/>
                    <w:autoSpaceDE/>
                    <w:autoSpaceDN/>
                    <w:bidi w:val="0"/>
                    <w:spacing w:line="264"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行动方案》</w:t>
                  </w:r>
                </w:p>
                <w:p w14:paraId="4C08BBCF">
                  <w:pPr>
                    <w:keepNext w:val="0"/>
                    <w:keepLines w:val="0"/>
                    <w:pageBreakBefore w:val="0"/>
                    <w:widowControl/>
                    <w:suppressLineNumbers w:val="0"/>
                    <w:kinsoku/>
                    <w:overflowPunct/>
                    <w:autoSpaceDE/>
                    <w:autoSpaceDN/>
                    <w:bidi w:val="0"/>
                    <w:spacing w:line="264" w:lineRule="auto"/>
                    <w:jc w:val="center"/>
                    <w:textAlignment w:val="auto"/>
                    <w:rPr>
                      <w:rFonts w:hint="default" w:ascii="Times New Roman" w:hAnsi="Times New Roman" w:eastAsia="宋体" w:cs="Times New Roman"/>
                      <w:color w:val="auto"/>
                      <w:kern w:val="0"/>
                      <w:sz w:val="21"/>
                      <w:szCs w:val="21"/>
                      <w:lang w:val="en" w:eastAsia="zh-CN" w:bidi="ar"/>
                    </w:rPr>
                  </w:pPr>
                  <w:r>
                    <w:rPr>
                      <w:rFonts w:hint="default" w:ascii="Times New Roman" w:hAnsi="Times New Roman" w:eastAsia="宋体" w:cs="Times New Roman"/>
                      <w:color w:val="auto"/>
                      <w:kern w:val="0"/>
                      <w:sz w:val="21"/>
                      <w:szCs w:val="21"/>
                      <w:lang w:val="en-US" w:eastAsia="zh-CN" w:bidi="ar"/>
                    </w:rPr>
                    <w:t>（2023-2027年）</w:t>
                  </w:r>
                </w:p>
              </w:tc>
              <w:tc>
                <w:tcPr>
                  <w:tcW w:w="2446" w:type="pct"/>
                  <w:tcBorders>
                    <w:tl2br w:val="nil"/>
                    <w:tr2bl w:val="nil"/>
                  </w:tcBorders>
                  <w:noWrap w:val="0"/>
                  <w:vAlign w:val="center"/>
                </w:tcPr>
                <w:p w14:paraId="25B59908">
                  <w:pPr>
                    <w:keepNext w:val="0"/>
                    <w:keepLines w:val="0"/>
                    <w:pageBreakBefore w:val="0"/>
                    <w:widowControl/>
                    <w:suppressLineNumbers w:val="0"/>
                    <w:kinsoku/>
                    <w:overflowPunct/>
                    <w:autoSpaceDE/>
                    <w:autoSpaceDN/>
                    <w:bidi w:val="0"/>
                    <w:spacing w:line="264" w:lineRule="auto"/>
                    <w:jc w:val="left"/>
                    <w:textAlignment w:val="auto"/>
                    <w:rPr>
                      <w:rFonts w:hint="default" w:ascii="Times New Roman" w:hAnsi="Times New Roman" w:eastAsia="宋体" w:cs="Times New Roman"/>
                      <w:color w:val="auto"/>
                      <w:kern w:val="0"/>
                      <w:sz w:val="21"/>
                      <w:szCs w:val="21"/>
                      <w:lang w:val="en-GB" w:eastAsia="zh-CN" w:bidi="ar"/>
                    </w:rPr>
                  </w:pPr>
                  <w:r>
                    <w:rPr>
                      <w:rFonts w:hint="default" w:ascii="Times New Roman" w:hAnsi="Times New Roman" w:eastAsia="宋体" w:cs="Times New Roman"/>
                      <w:color w:val="auto"/>
                      <w:kern w:val="0"/>
                      <w:sz w:val="21"/>
                      <w:szCs w:val="21"/>
                      <w:lang w:val="en-US" w:eastAsia="zh-CN" w:bidi="ar"/>
                    </w:rPr>
                    <w:t>12.夏季臭氧应对行动。......新建挥发性有机物治理设施不再采用单一低温等离子、光氧化、光催化等治理技术，非水溶性挥发性有机物废气不再采用单一喷淋吸收方式处理。</w:t>
                  </w:r>
                </w:p>
              </w:tc>
              <w:tc>
                <w:tcPr>
                  <w:tcW w:w="1214" w:type="pct"/>
                  <w:tcBorders>
                    <w:tl2br w:val="nil"/>
                    <w:tr2bl w:val="nil"/>
                  </w:tcBorders>
                  <w:noWrap w:val="0"/>
                  <w:vAlign w:val="center"/>
                </w:tcPr>
                <w:p w14:paraId="591CCEA2">
                  <w:pPr>
                    <w:keepNext w:val="0"/>
                    <w:keepLines w:val="0"/>
                    <w:pageBreakBefore w:val="0"/>
                    <w:widowControl/>
                    <w:suppressLineNumbers w:val="0"/>
                    <w:kinsoku/>
                    <w:wordWrap/>
                    <w:overflowPunct/>
                    <w:topLinePunct w:val="0"/>
                    <w:autoSpaceDE/>
                    <w:autoSpaceDN/>
                    <w:bidi w:val="0"/>
                    <w:adjustRightInd/>
                    <w:snapToGrid/>
                    <w:spacing w:line="264" w:lineRule="auto"/>
                    <w:ind w:left="0" w:leftChars="0" w:right="0" w:rightChars="0" w:firstLine="0" w:firstLineChars="0"/>
                    <w:jc w:val="left"/>
                    <w:textAlignment w:val="auto"/>
                    <w:rPr>
                      <w:rFonts w:hint="default" w:ascii="Times New Roman" w:hAnsi="Times New Roman" w:eastAsia="宋体" w:cs="Times New Roman"/>
                      <w:color w:val="auto"/>
                      <w:kern w:val="0"/>
                      <w:sz w:val="21"/>
                      <w:szCs w:val="21"/>
                      <w:lang w:val="en-GB" w:eastAsia="zh-CN" w:bidi="ar"/>
                    </w:rPr>
                  </w:pPr>
                  <w:r>
                    <w:rPr>
                      <w:rFonts w:hint="eastAsia" w:ascii="Times New Roman" w:hAnsi="Times New Roman" w:eastAsia="宋体" w:cs="Times New Roman"/>
                      <w:color w:val="auto"/>
                      <w:kern w:val="2"/>
                      <w:sz w:val="21"/>
                      <w:szCs w:val="21"/>
                      <w:lang w:val="en-US" w:eastAsia="zh-CN" w:bidi="ar-SA"/>
                    </w:rPr>
                    <w:t>本项目生产</w:t>
                  </w:r>
                  <w:r>
                    <w:rPr>
                      <w:rFonts w:hint="default" w:ascii="Times New Roman" w:hAnsi="Times New Roman" w:eastAsia="宋体" w:cs="Times New Roman"/>
                      <w:color w:val="auto"/>
                      <w:kern w:val="2"/>
                      <w:sz w:val="21"/>
                      <w:szCs w:val="21"/>
                      <w:lang w:val="en-US" w:eastAsia="zh-CN" w:bidi="ar-SA"/>
                    </w:rPr>
                    <w:t>废气经</w:t>
                  </w:r>
                  <w:r>
                    <w:rPr>
                      <w:rFonts w:hint="eastAsia"/>
                      <w:color w:val="auto"/>
                      <w:szCs w:val="21"/>
                    </w:rPr>
                    <w:t>通风橱</w:t>
                  </w:r>
                  <w:r>
                    <w:rPr>
                      <w:rFonts w:hint="eastAsia"/>
                      <w:color w:val="auto"/>
                      <w:szCs w:val="21"/>
                      <w:lang w:val="en-US" w:eastAsia="zh-CN"/>
                    </w:rPr>
                    <w:t>/密闭式管道</w:t>
                  </w:r>
                  <w:r>
                    <w:rPr>
                      <w:rFonts w:hint="eastAsia"/>
                      <w:color w:val="auto"/>
                      <w:szCs w:val="21"/>
                    </w:rPr>
                    <w:t>+二级活性炭吸附</w:t>
                  </w:r>
                  <w:r>
                    <w:rPr>
                      <w:color w:val="auto"/>
                      <w:szCs w:val="21"/>
                    </w:rPr>
                    <w:t>+</w:t>
                  </w:r>
                  <w:r>
                    <w:rPr>
                      <w:rFonts w:hint="eastAsia"/>
                      <w:color w:val="auto"/>
                      <w:szCs w:val="21"/>
                      <w:lang w:val="en-US" w:eastAsia="zh-CN"/>
                    </w:rPr>
                    <w:t>17m</w:t>
                  </w:r>
                  <w:r>
                    <w:rPr>
                      <w:color w:val="auto"/>
                      <w:szCs w:val="21"/>
                    </w:rPr>
                    <w:t>排气筒</w:t>
                  </w:r>
                  <w:r>
                    <w:rPr>
                      <w:rFonts w:hint="eastAsia"/>
                      <w:color w:val="auto"/>
                    </w:rPr>
                    <w:t>（DA001）</w:t>
                  </w:r>
                  <w:r>
                    <w:rPr>
                      <w:rFonts w:hint="default" w:ascii="Times New Roman" w:hAnsi="Times New Roman" w:eastAsia="宋体" w:cs="Times New Roman"/>
                      <w:color w:val="auto"/>
                      <w:kern w:val="2"/>
                      <w:sz w:val="21"/>
                      <w:szCs w:val="21"/>
                      <w:lang w:val="en-US" w:eastAsia="zh-CN" w:bidi="ar-SA"/>
                    </w:rPr>
                    <w:t>处理后排放；</w:t>
                  </w:r>
                  <w:r>
                    <w:rPr>
                      <w:rFonts w:hint="eastAsia" w:ascii="Times New Roman" w:hAnsi="Times New Roman" w:cs="Times New Roman"/>
                      <w:color w:val="auto"/>
                      <w:sz w:val="21"/>
                      <w:szCs w:val="21"/>
                      <w:lang w:val="en-US" w:eastAsia="zh-CN"/>
                    </w:rPr>
                    <w:t>二</w:t>
                  </w:r>
                  <w:r>
                    <w:rPr>
                      <w:rFonts w:hint="default" w:ascii="Times New Roman" w:hAnsi="Times New Roman" w:cs="Times New Roman"/>
                      <w:color w:val="auto"/>
                      <w:sz w:val="21"/>
                      <w:szCs w:val="21"/>
                      <w:lang w:val="en-US" w:eastAsia="zh-CN"/>
                    </w:rPr>
                    <w:t>级</w:t>
                  </w:r>
                  <w:r>
                    <w:rPr>
                      <w:rFonts w:hint="default" w:ascii="Times New Roman" w:hAnsi="Times New Roman" w:eastAsia="宋体" w:cs="Times New Roman"/>
                      <w:color w:val="auto"/>
                      <w:sz w:val="21"/>
                      <w:szCs w:val="21"/>
                      <w:lang w:val="en-US" w:eastAsia="zh-CN"/>
                    </w:rPr>
                    <w:t>活性炭吸附装置</w:t>
                  </w:r>
                  <w:r>
                    <w:rPr>
                      <w:rFonts w:hint="default" w:ascii="Times New Roman" w:hAnsi="Times New Roman" w:eastAsia="宋体" w:cs="Times New Roman"/>
                      <w:color w:val="auto"/>
                      <w:sz w:val="21"/>
                      <w:szCs w:val="21"/>
                    </w:rPr>
                    <w:t>不属于“低温等离子、光氧化、光催化、喷淋吸收”等单一治理工艺</w:t>
                  </w:r>
                  <w:r>
                    <w:rPr>
                      <w:rFonts w:hint="default" w:ascii="Times New Roman" w:hAnsi="Times New Roman" w:eastAsia="宋体" w:cs="Times New Roman"/>
                      <w:color w:val="auto"/>
                      <w:sz w:val="21"/>
                      <w:szCs w:val="21"/>
                      <w:lang w:eastAsia="zh-CN"/>
                    </w:rPr>
                    <w:t>。</w:t>
                  </w:r>
                </w:p>
              </w:tc>
              <w:tc>
                <w:tcPr>
                  <w:tcW w:w="533" w:type="pct"/>
                  <w:tcBorders>
                    <w:tl2br w:val="nil"/>
                    <w:tr2bl w:val="nil"/>
                  </w:tcBorders>
                  <w:noWrap w:val="0"/>
                  <w:vAlign w:val="center"/>
                </w:tcPr>
                <w:p w14:paraId="52221BA0">
                  <w:pPr>
                    <w:keepNext w:val="0"/>
                    <w:keepLines w:val="0"/>
                    <w:pageBreakBefore w:val="0"/>
                    <w:kinsoku/>
                    <w:wordWrap/>
                    <w:overflowPunct/>
                    <w:topLinePunct w:val="0"/>
                    <w:autoSpaceDE/>
                    <w:autoSpaceDN/>
                    <w:bidi w:val="0"/>
                    <w:adjustRightInd/>
                    <w:snapToGrid/>
                    <w:spacing w:line="264"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符合</w:t>
                  </w:r>
                </w:p>
              </w:tc>
            </w:tr>
            <w:tr w14:paraId="776A34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05" w:type="pct"/>
                  <w:tcBorders>
                    <w:tl2br w:val="nil"/>
                    <w:tr2bl w:val="nil"/>
                  </w:tcBorders>
                  <w:noWrap w:val="0"/>
                  <w:vAlign w:val="center"/>
                </w:tcPr>
                <w:p w14:paraId="52601A7F">
                  <w:pPr>
                    <w:keepNext w:val="0"/>
                    <w:keepLines w:val="0"/>
                    <w:pageBreakBefore w:val="0"/>
                    <w:kinsoku/>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Cs w:val="21"/>
                    </w:rPr>
                  </w:pPr>
                  <w:r>
                    <w:rPr>
                      <w:rFonts w:hint="default" w:ascii="Times New Roman" w:hAnsi="Times New Roman" w:cs="Times New Roman"/>
                      <w:color w:val="auto"/>
                      <w:kern w:val="21"/>
                      <w:szCs w:val="21"/>
                      <w:lang w:val="en" w:eastAsia="zh-CN"/>
                    </w:rPr>
                    <w:t>《</w:t>
                  </w:r>
                  <w:r>
                    <w:rPr>
                      <w:rFonts w:hint="default" w:ascii="Times New Roman" w:hAnsi="Times New Roman" w:cs="Times New Roman"/>
                      <w:color w:val="auto"/>
                      <w:kern w:val="21"/>
                      <w:szCs w:val="21"/>
                      <w:lang w:val="en"/>
                    </w:rPr>
                    <w:t>西安市人民政府关于印发</w:t>
                  </w:r>
                  <w:r>
                    <w:rPr>
                      <w:rFonts w:hint="default" w:ascii="Times New Roman" w:hAnsi="Times New Roman" w:cs="Times New Roman"/>
                      <w:color w:val="auto"/>
                      <w:kern w:val="21"/>
                      <w:szCs w:val="21"/>
                      <w:lang w:val="en" w:eastAsia="zh-CN"/>
                    </w:rPr>
                    <w:t>“</w:t>
                  </w:r>
                  <w:r>
                    <w:rPr>
                      <w:rFonts w:hint="default" w:ascii="Times New Roman" w:hAnsi="Times New Roman" w:cs="Times New Roman"/>
                      <w:color w:val="auto"/>
                      <w:kern w:val="21"/>
                      <w:szCs w:val="21"/>
                      <w:lang w:val="en"/>
                    </w:rPr>
                    <w:t>十四五</w:t>
                  </w:r>
                  <w:r>
                    <w:rPr>
                      <w:rFonts w:hint="default" w:ascii="Times New Roman" w:hAnsi="Times New Roman" w:cs="Times New Roman"/>
                      <w:color w:val="auto"/>
                      <w:kern w:val="21"/>
                      <w:szCs w:val="21"/>
                      <w:lang w:val="en" w:eastAsia="zh-CN"/>
                    </w:rPr>
                    <w:t>”</w:t>
                  </w:r>
                  <w:r>
                    <w:rPr>
                      <w:rFonts w:hint="default" w:ascii="Times New Roman" w:hAnsi="Times New Roman" w:cs="Times New Roman"/>
                      <w:color w:val="auto"/>
                      <w:kern w:val="21"/>
                      <w:szCs w:val="21"/>
                      <w:lang w:val="en"/>
                    </w:rPr>
                    <w:t>生态环境保护规划的通知</w:t>
                  </w:r>
                  <w:r>
                    <w:rPr>
                      <w:rFonts w:hint="default" w:ascii="Times New Roman" w:hAnsi="Times New Roman" w:cs="Times New Roman"/>
                      <w:color w:val="auto"/>
                      <w:kern w:val="21"/>
                      <w:szCs w:val="21"/>
                      <w:lang w:val="en" w:eastAsia="zh-CN"/>
                    </w:rPr>
                    <w:t>》</w:t>
                  </w:r>
                  <w:r>
                    <w:rPr>
                      <w:rFonts w:hint="default" w:ascii="Times New Roman" w:hAnsi="Times New Roman" w:cs="Times New Roman"/>
                      <w:color w:val="auto"/>
                      <w:kern w:val="21"/>
                      <w:szCs w:val="21"/>
                      <w:lang w:val="en"/>
                    </w:rPr>
                    <w:t>（市政发〔2021〕21号）</w:t>
                  </w:r>
                </w:p>
              </w:tc>
              <w:tc>
                <w:tcPr>
                  <w:tcW w:w="2446" w:type="pct"/>
                  <w:tcBorders>
                    <w:tl2br w:val="nil"/>
                    <w:tr2bl w:val="nil"/>
                  </w:tcBorders>
                  <w:noWrap w:val="0"/>
                  <w:vAlign w:val="center"/>
                </w:tcPr>
                <w:p w14:paraId="502D9B9A">
                  <w:pPr>
                    <w:rPr>
                      <w:rFonts w:hint="default" w:ascii="Times New Roman" w:hAnsi="Times New Roman" w:eastAsia="宋体" w:cs="Times New Roman"/>
                      <w:color w:val="auto"/>
                      <w:kern w:val="0"/>
                      <w:sz w:val="21"/>
                      <w:szCs w:val="21"/>
                      <w:lang w:val="en-US" w:eastAsia="zh-CN" w:bidi="ar-SA"/>
                    </w:rPr>
                  </w:pPr>
                  <w:r>
                    <w:rPr>
                      <w:color w:val="auto"/>
                      <w:szCs w:val="21"/>
                    </w:rPr>
                    <w:t>强化VOCs综合整治。将挥发性有机物纳入污染物排放总量控制体系，有效减少重点污染源、全社会挥发性有机物和NOx排放总量。</w:t>
                  </w:r>
                </w:p>
              </w:tc>
              <w:tc>
                <w:tcPr>
                  <w:tcW w:w="1214" w:type="pct"/>
                  <w:tcBorders>
                    <w:tl2br w:val="nil"/>
                    <w:tr2bl w:val="nil"/>
                  </w:tcBorders>
                  <w:noWrap w:val="0"/>
                  <w:vAlign w:val="center"/>
                </w:tcPr>
                <w:p w14:paraId="68179090">
                  <w:pPr>
                    <w:rPr>
                      <w:rFonts w:hint="default" w:ascii="Times New Roman" w:hAnsi="Times New Roman" w:eastAsia="宋体" w:cs="Times New Roman"/>
                      <w:color w:val="auto"/>
                      <w:kern w:val="2"/>
                      <w:sz w:val="21"/>
                      <w:szCs w:val="21"/>
                      <w:lang w:val="en-US" w:eastAsia="zh-CN" w:bidi="ar-SA"/>
                    </w:rPr>
                  </w:pPr>
                  <w:r>
                    <w:rPr>
                      <w:color w:val="auto"/>
                      <w:szCs w:val="21"/>
                    </w:rPr>
                    <w:t>本项目的含低浓度VOCs经</w:t>
                  </w:r>
                  <w:r>
                    <w:rPr>
                      <w:rFonts w:hint="eastAsia"/>
                      <w:color w:val="auto"/>
                      <w:szCs w:val="21"/>
                    </w:rPr>
                    <w:t>二级活性炭</w:t>
                  </w:r>
                  <w:r>
                    <w:rPr>
                      <w:color w:val="auto"/>
                      <w:szCs w:val="21"/>
                    </w:rPr>
                    <w:t>吸附</w:t>
                  </w:r>
                  <w:r>
                    <w:rPr>
                      <w:rFonts w:hint="eastAsia"/>
                      <w:color w:val="auto"/>
                      <w:szCs w:val="21"/>
                    </w:rPr>
                    <w:t>处理</w:t>
                  </w:r>
                  <w:r>
                    <w:rPr>
                      <w:color w:val="auto"/>
                      <w:szCs w:val="21"/>
                    </w:rPr>
                    <w:t>后经</w:t>
                  </w:r>
                  <w:r>
                    <w:rPr>
                      <w:rFonts w:hint="eastAsia"/>
                      <w:color w:val="auto"/>
                      <w:szCs w:val="21"/>
                      <w:lang w:val="en-US" w:eastAsia="zh-CN"/>
                    </w:rPr>
                    <w:t>17m</w:t>
                  </w:r>
                  <w:r>
                    <w:rPr>
                      <w:color w:val="auto"/>
                      <w:szCs w:val="21"/>
                    </w:rPr>
                    <w:t>高排气筒，达标排放。</w:t>
                  </w:r>
                </w:p>
              </w:tc>
              <w:tc>
                <w:tcPr>
                  <w:tcW w:w="533" w:type="pct"/>
                  <w:tcBorders>
                    <w:tl2br w:val="nil"/>
                    <w:tr2bl w:val="nil"/>
                  </w:tcBorders>
                  <w:noWrap w:val="0"/>
                  <w:vAlign w:val="center"/>
                </w:tcPr>
                <w:p w14:paraId="5C4B4DD5">
                  <w:pPr>
                    <w:keepNext w:val="0"/>
                    <w:keepLines w:val="0"/>
                    <w:pageBreakBefore w:val="0"/>
                    <w:kinsoku/>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1"/>
                      <w:szCs w:val="21"/>
                    </w:rPr>
                  </w:pPr>
                  <w:r>
                    <w:rPr>
                      <w:rFonts w:hint="default" w:ascii="Times New Roman" w:hAnsi="Times New Roman" w:eastAsia="宋体" w:cs="Times New Roman"/>
                      <w:color w:val="auto"/>
                      <w:kern w:val="21"/>
                      <w:szCs w:val="21"/>
                    </w:rPr>
                    <w:t>符合</w:t>
                  </w:r>
                </w:p>
              </w:tc>
            </w:tr>
            <w:tr w14:paraId="2A897F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0" w:hRule="atLeast"/>
                <w:jc w:val="center"/>
              </w:trPr>
              <w:tc>
                <w:tcPr>
                  <w:tcW w:w="805" w:type="pct"/>
                  <w:vMerge w:val="restart"/>
                  <w:tcBorders>
                    <w:tl2br w:val="nil"/>
                    <w:tr2bl w:val="nil"/>
                  </w:tcBorders>
                  <w:noWrap w:val="0"/>
                  <w:vAlign w:val="center"/>
                </w:tcPr>
                <w:p w14:paraId="05EB02F0">
                  <w:pPr>
                    <w:keepNext w:val="0"/>
                    <w:keepLines w:val="0"/>
                    <w:pageBreakBefore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1"/>
                      <w:szCs w:val="21"/>
                      <w:lang w:val="en-US" w:eastAsia="zh-CN"/>
                    </w:rPr>
                    <w:t>西安市生态环境局</w:t>
                  </w:r>
                  <w:r>
                    <w:rPr>
                      <w:rFonts w:hint="default" w:ascii="Times New Roman" w:hAnsi="Times New Roman" w:eastAsia="宋体" w:cs="Times New Roman"/>
                      <w:color w:val="auto"/>
                      <w:kern w:val="0"/>
                      <w:sz w:val="21"/>
                      <w:szCs w:val="21"/>
                    </w:rPr>
                    <w:t>关于加强挥发性有机物活性炭吸附处理设施运行管理工作的通知</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市环发</w:t>
                  </w:r>
                  <w:r>
                    <w:rPr>
                      <w:rFonts w:hint="default" w:ascii="Times New Roman" w:hAnsi="Times New Roman" w:eastAsia="仿宋" w:cs="Times New Roman"/>
                      <w:color w:val="auto"/>
                      <w:kern w:val="0"/>
                      <w:sz w:val="21"/>
                      <w:szCs w:val="21"/>
                    </w:rPr>
                    <w:t>〔</w:t>
                  </w:r>
                  <w:r>
                    <w:rPr>
                      <w:rFonts w:hint="default" w:ascii="Times New Roman" w:hAnsi="Times New Roman" w:eastAsia="宋体" w:cs="Times New Roman"/>
                      <w:color w:val="auto"/>
                      <w:kern w:val="0"/>
                      <w:sz w:val="21"/>
                      <w:szCs w:val="21"/>
                    </w:rPr>
                    <w:t>2022</w:t>
                  </w:r>
                  <w:r>
                    <w:rPr>
                      <w:rFonts w:hint="default" w:ascii="Times New Roman" w:hAnsi="Times New Roman" w:eastAsia="仿宋" w:cs="Times New Roman"/>
                      <w:color w:val="auto"/>
                      <w:kern w:val="0"/>
                      <w:sz w:val="21"/>
                      <w:szCs w:val="21"/>
                    </w:rPr>
                    <w:t>〕</w:t>
                  </w:r>
                  <w:r>
                    <w:rPr>
                      <w:rFonts w:hint="default" w:ascii="Times New Roman" w:hAnsi="Times New Roman" w:eastAsia="宋体" w:cs="Times New Roman"/>
                      <w:color w:val="auto"/>
                      <w:kern w:val="0"/>
                      <w:sz w:val="21"/>
                      <w:szCs w:val="21"/>
                    </w:rPr>
                    <w:t>65号</w:t>
                  </w:r>
                  <w:r>
                    <w:rPr>
                      <w:rFonts w:hint="default" w:ascii="Times New Roman" w:hAnsi="Times New Roman" w:eastAsia="宋体" w:cs="Times New Roman"/>
                      <w:color w:val="auto"/>
                      <w:kern w:val="0"/>
                      <w:sz w:val="21"/>
                      <w:szCs w:val="21"/>
                      <w:lang w:eastAsia="zh-CN"/>
                    </w:rPr>
                    <w:t>）</w:t>
                  </w:r>
                </w:p>
              </w:tc>
              <w:tc>
                <w:tcPr>
                  <w:tcW w:w="2446" w:type="pct"/>
                  <w:tcBorders>
                    <w:tl2br w:val="nil"/>
                    <w:tr2bl w:val="nil"/>
                  </w:tcBorders>
                  <w:noWrap w:val="0"/>
                  <w:vAlign w:val="center"/>
                </w:tcPr>
                <w:p w14:paraId="3380BAB9">
                  <w:pPr>
                    <w:keepNext w:val="0"/>
                    <w:keepLines w:val="0"/>
                    <w:pageBreakBefore w:val="0"/>
                    <w:kinsoku/>
                    <w:wordWrap w:val="0"/>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1"/>
                      <w:szCs w:val="21"/>
                      <w:lang w:val="en-US" w:eastAsia="zh-CN"/>
                    </w:rPr>
                    <w:t>保证活性炭质量。企业购置活性炭必须提供活性炭检测报告，保证活性炭质量。企业购置活性炭必须提供活性炭检测报告，技术指标至少应包括水分含量、耐磨强度（颗粒活性炭）、抗压强度（蜂窝活性炭）、碘吸附值、四氯化碳吸附率、着火点等。活性炭技术指标应符合《工业有机废气净化用活性炭技术指标及试验方法》(LY/T3284)规定的优级活性炭指标要求。</w:t>
                  </w:r>
                </w:p>
              </w:tc>
              <w:tc>
                <w:tcPr>
                  <w:tcW w:w="1214" w:type="pct"/>
                  <w:tcBorders>
                    <w:tl2br w:val="nil"/>
                    <w:tr2bl w:val="nil"/>
                  </w:tcBorders>
                  <w:noWrap w:val="0"/>
                  <w:vAlign w:val="center"/>
                </w:tcPr>
                <w:p w14:paraId="255FD3F5">
                  <w:pPr>
                    <w:keepNext w:val="0"/>
                    <w:keepLines w:val="0"/>
                    <w:pageBreakBefore w:val="0"/>
                    <w:kinsoku/>
                    <w:wordWrap w:val="0"/>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1"/>
                      <w:szCs w:val="21"/>
                      <w:lang w:val="en-US" w:eastAsia="zh-CN"/>
                    </w:rPr>
                    <w:t>本项目要求企业选用满足《工业有机废气净化用活性炭技术指标及试验方法》(LY/T3284)规定的优级活性炭。</w:t>
                  </w:r>
                </w:p>
              </w:tc>
              <w:tc>
                <w:tcPr>
                  <w:tcW w:w="533" w:type="pct"/>
                  <w:tcBorders>
                    <w:tl2br w:val="nil"/>
                    <w:tr2bl w:val="nil"/>
                  </w:tcBorders>
                  <w:noWrap w:val="0"/>
                  <w:vAlign w:val="center"/>
                </w:tcPr>
                <w:p w14:paraId="3AFDC115">
                  <w:pPr>
                    <w:keepNext w:val="0"/>
                    <w:keepLines w:val="0"/>
                    <w:pageBreakBefore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1"/>
                      <w:szCs w:val="21"/>
                      <w:lang w:val="en-US" w:eastAsia="zh-CN"/>
                    </w:rPr>
                    <w:t>符合</w:t>
                  </w:r>
                </w:p>
              </w:tc>
            </w:tr>
            <w:tr w14:paraId="5A64A5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0" w:hRule="atLeast"/>
                <w:jc w:val="center"/>
              </w:trPr>
              <w:tc>
                <w:tcPr>
                  <w:tcW w:w="805" w:type="pct"/>
                  <w:vMerge w:val="continue"/>
                  <w:tcBorders>
                    <w:tl2br w:val="nil"/>
                    <w:tr2bl w:val="nil"/>
                  </w:tcBorders>
                  <w:noWrap w:val="0"/>
                  <w:vAlign w:val="center"/>
                </w:tcPr>
                <w:p w14:paraId="73F10061">
                  <w:pPr>
                    <w:keepNext w:val="0"/>
                    <w:keepLines w:val="0"/>
                    <w:pageBreakBefore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rPr>
                  </w:pPr>
                </w:p>
              </w:tc>
              <w:tc>
                <w:tcPr>
                  <w:tcW w:w="2446" w:type="pct"/>
                  <w:tcBorders>
                    <w:tl2br w:val="nil"/>
                    <w:tr2bl w:val="nil"/>
                  </w:tcBorders>
                  <w:noWrap w:val="0"/>
                  <w:vAlign w:val="center"/>
                </w:tcPr>
                <w:p w14:paraId="64D2263A">
                  <w:pPr>
                    <w:pStyle w:val="25"/>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left"/>
                    <w:textAlignment w:val="auto"/>
                    <w:rPr>
                      <w:rFonts w:hint="default" w:ascii="Times New Roman" w:hAnsi="Times New Roman" w:cs="Times New Roman"/>
                      <w:color w:val="auto"/>
                    </w:rPr>
                  </w:pPr>
                  <w:r>
                    <w:rPr>
                      <w:rFonts w:hint="default" w:ascii="Times New Roman" w:hAnsi="Times New Roman" w:eastAsia="宋体" w:cs="Times New Roman"/>
                      <w:color w:val="auto"/>
                      <w:spacing w:val="0"/>
                      <w:kern w:val="0"/>
                      <w:sz w:val="21"/>
                      <w:szCs w:val="21"/>
                      <w:lang w:val="en-US" w:eastAsia="zh-CN" w:bidi="ar-SA"/>
                    </w:rPr>
                    <w:t>明确填充量并及时更换。企业应当根据</w:t>
                  </w:r>
                  <w:bookmarkStart w:id="25" w:name="_GoBack"/>
                  <w:bookmarkEnd w:id="25"/>
                  <w:r>
                    <w:rPr>
                      <w:rFonts w:hint="default" w:ascii="Times New Roman" w:hAnsi="Times New Roman" w:eastAsia="宋体" w:cs="Times New Roman"/>
                      <w:color w:val="auto"/>
                      <w:spacing w:val="0"/>
                      <w:kern w:val="0"/>
                      <w:sz w:val="21"/>
                      <w:szCs w:val="21"/>
                      <w:lang w:val="en-US" w:eastAsia="zh-CN" w:bidi="ar-SA"/>
                    </w:rPr>
                    <w:t>风量和VOCS初始浓度范围，明确活性炭的填充量、填充厚度和更换时间。</w:t>
                  </w:r>
                </w:p>
              </w:tc>
              <w:tc>
                <w:tcPr>
                  <w:tcW w:w="1214" w:type="pct"/>
                  <w:tcBorders>
                    <w:tl2br w:val="nil"/>
                    <w:tr2bl w:val="nil"/>
                  </w:tcBorders>
                  <w:noWrap w:val="0"/>
                  <w:vAlign w:val="center"/>
                </w:tcPr>
                <w:p w14:paraId="1103B0C3">
                  <w:pPr>
                    <w:keepNext w:val="0"/>
                    <w:keepLines w:val="0"/>
                    <w:pageBreakBefore w:val="0"/>
                    <w:kinsoku/>
                    <w:wordWrap w:val="0"/>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1"/>
                      <w:szCs w:val="21"/>
                      <w:lang w:val="en-US" w:eastAsia="zh-CN"/>
                    </w:rPr>
                    <w:t>本项目要求企业按环保设计单位要求，及时更换。</w:t>
                  </w:r>
                </w:p>
              </w:tc>
              <w:tc>
                <w:tcPr>
                  <w:tcW w:w="533" w:type="pct"/>
                  <w:tcBorders>
                    <w:tl2br w:val="nil"/>
                    <w:tr2bl w:val="nil"/>
                  </w:tcBorders>
                  <w:noWrap w:val="0"/>
                  <w:vAlign w:val="center"/>
                </w:tcPr>
                <w:p w14:paraId="7165ED64">
                  <w:pPr>
                    <w:keepNext w:val="0"/>
                    <w:keepLines w:val="0"/>
                    <w:pageBreakBefore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1"/>
                      <w:szCs w:val="21"/>
                      <w:lang w:val="en-US" w:eastAsia="zh-CN"/>
                    </w:rPr>
                    <w:t>符合</w:t>
                  </w:r>
                </w:p>
              </w:tc>
            </w:tr>
            <w:tr w14:paraId="2DA097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0" w:hRule="atLeast"/>
                <w:jc w:val="center"/>
              </w:trPr>
              <w:tc>
                <w:tcPr>
                  <w:tcW w:w="805" w:type="pct"/>
                  <w:vMerge w:val="continue"/>
                  <w:tcBorders>
                    <w:tl2br w:val="nil"/>
                    <w:tr2bl w:val="nil"/>
                  </w:tcBorders>
                  <w:noWrap w:val="0"/>
                  <w:vAlign w:val="center"/>
                </w:tcPr>
                <w:p w14:paraId="19C6204F">
                  <w:pPr>
                    <w:keepNext w:val="0"/>
                    <w:keepLines w:val="0"/>
                    <w:pageBreakBefore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rPr>
                  </w:pPr>
                </w:p>
              </w:tc>
              <w:tc>
                <w:tcPr>
                  <w:tcW w:w="2446" w:type="pct"/>
                  <w:tcBorders>
                    <w:tl2br w:val="nil"/>
                    <w:tr2bl w:val="nil"/>
                  </w:tcBorders>
                  <w:noWrap w:val="0"/>
                  <w:vAlign w:val="center"/>
                </w:tcPr>
                <w:p w14:paraId="6B88AB10">
                  <w:pPr>
                    <w:pStyle w:val="25"/>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left"/>
                    <w:textAlignment w:val="auto"/>
                    <w:rPr>
                      <w:rFonts w:hint="default" w:ascii="Times New Roman" w:hAnsi="Times New Roman" w:cs="Times New Roman"/>
                      <w:color w:val="auto"/>
                    </w:rPr>
                  </w:pPr>
                  <w:r>
                    <w:rPr>
                      <w:rFonts w:hint="default" w:ascii="Times New Roman" w:hAnsi="Times New Roman" w:eastAsia="宋体" w:cs="Times New Roman"/>
                      <w:color w:val="auto"/>
                      <w:spacing w:val="0"/>
                      <w:kern w:val="0"/>
                      <w:sz w:val="21"/>
                      <w:szCs w:val="21"/>
                      <w:lang w:val="en-US" w:eastAsia="zh-CN" w:bidi="ar-SA"/>
                    </w:rPr>
                    <w:t>严格控制无组织排放。盛装VOCs物料的容器或包装袋应密闭储存于室内，或存放于设置有雨棚、遮阳和防渗设施的专用场地，非取用状态时应加盖、封口，保持封闭。VOCs物料调配过程应采用密闭设备或在密闭空间内操作，并设置专门的密闭调配间，调配废气应排至VOCs废气收集处理系统；无法密闭的，应采取局部气体收集措施，废气应排至VOCs废气收集处理系统。</w:t>
                  </w:r>
                </w:p>
              </w:tc>
              <w:tc>
                <w:tcPr>
                  <w:tcW w:w="1214" w:type="pct"/>
                  <w:tcBorders>
                    <w:tl2br w:val="nil"/>
                    <w:tr2bl w:val="nil"/>
                  </w:tcBorders>
                  <w:noWrap w:val="0"/>
                  <w:vAlign w:val="center"/>
                </w:tcPr>
                <w:p w14:paraId="50F2E0FB">
                  <w:pPr>
                    <w:keepNext w:val="0"/>
                    <w:keepLines w:val="0"/>
                    <w:pageBreakBefore w:val="0"/>
                    <w:kinsoku/>
                    <w:wordWrap w:val="0"/>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1"/>
                      <w:szCs w:val="21"/>
                      <w:lang w:val="en-US" w:eastAsia="zh-CN"/>
                    </w:rPr>
                    <w:t>本项目</w:t>
                  </w:r>
                  <w:r>
                    <w:rPr>
                      <w:rFonts w:hint="default" w:ascii="Times New Roman" w:hAnsi="Times New Roman" w:eastAsia="宋体" w:cs="Times New Roman"/>
                      <w:color w:val="auto"/>
                      <w:kern w:val="0"/>
                      <w:sz w:val="21"/>
                      <w:szCs w:val="21"/>
                      <w:lang w:eastAsia="zh-CN"/>
                    </w:rPr>
                    <w:t>含VOCs</w:t>
                  </w:r>
                  <w:r>
                    <w:rPr>
                      <w:rFonts w:hint="default" w:ascii="Times New Roman" w:hAnsi="Times New Roman" w:eastAsia="宋体" w:cs="Times New Roman"/>
                      <w:color w:val="auto"/>
                      <w:kern w:val="0"/>
                      <w:sz w:val="21"/>
                      <w:szCs w:val="21"/>
                      <w:lang w:val="en-US" w:eastAsia="zh-CN"/>
                    </w:rPr>
                    <w:t>物料</w:t>
                  </w:r>
                  <w:r>
                    <w:rPr>
                      <w:rFonts w:hint="default" w:ascii="Times New Roman" w:hAnsi="Times New Roman" w:cs="Times New Roman"/>
                      <w:color w:val="auto"/>
                      <w:kern w:val="0"/>
                      <w:sz w:val="21"/>
                      <w:szCs w:val="21"/>
                      <w:lang w:val="en-US" w:eastAsia="zh-CN"/>
                    </w:rPr>
                    <w:t>储存于密闭包装容器内，</w:t>
                  </w:r>
                  <w:r>
                    <w:rPr>
                      <w:rFonts w:hint="eastAsia" w:ascii="Times New Roman" w:hAnsi="Times New Roman" w:eastAsia="宋体" w:cs="Times New Roman"/>
                      <w:color w:val="auto"/>
                      <w:kern w:val="2"/>
                      <w:sz w:val="21"/>
                      <w:szCs w:val="21"/>
                      <w:lang w:val="en-US" w:eastAsia="zh-CN" w:bidi="ar-SA"/>
                    </w:rPr>
                    <w:t>生产工序</w:t>
                  </w:r>
                  <w:r>
                    <w:rPr>
                      <w:rFonts w:hint="default" w:ascii="Times New Roman" w:hAnsi="Times New Roman" w:cs="Times New Roman"/>
                      <w:color w:val="auto"/>
                      <w:kern w:val="0"/>
                      <w:sz w:val="21"/>
                      <w:szCs w:val="21"/>
                      <w:lang w:val="en-US" w:eastAsia="zh-CN"/>
                    </w:rPr>
                    <w:t>设置废气收集处理系统</w:t>
                  </w:r>
                  <w:r>
                    <w:rPr>
                      <w:rFonts w:hint="default" w:ascii="Times New Roman" w:hAnsi="Times New Roman" w:eastAsia="宋体" w:cs="Times New Roman"/>
                      <w:color w:val="auto"/>
                      <w:kern w:val="0"/>
                      <w:sz w:val="21"/>
                      <w:szCs w:val="21"/>
                      <w:lang w:val="en-US" w:eastAsia="zh-CN"/>
                    </w:rPr>
                    <w:t>。</w:t>
                  </w:r>
                </w:p>
              </w:tc>
              <w:tc>
                <w:tcPr>
                  <w:tcW w:w="533" w:type="pct"/>
                  <w:tcBorders>
                    <w:tl2br w:val="nil"/>
                    <w:tr2bl w:val="nil"/>
                  </w:tcBorders>
                  <w:noWrap w:val="0"/>
                  <w:vAlign w:val="center"/>
                </w:tcPr>
                <w:p w14:paraId="3D737FEB">
                  <w:pPr>
                    <w:keepNext w:val="0"/>
                    <w:keepLines w:val="0"/>
                    <w:pageBreakBefore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1"/>
                      <w:szCs w:val="21"/>
                      <w:lang w:val="en-US" w:eastAsia="zh-CN"/>
                    </w:rPr>
                    <w:t>符合</w:t>
                  </w:r>
                </w:p>
              </w:tc>
            </w:tr>
            <w:tr w14:paraId="3AB30F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0" w:hRule="atLeast"/>
                <w:jc w:val="center"/>
              </w:trPr>
              <w:tc>
                <w:tcPr>
                  <w:tcW w:w="805" w:type="pct"/>
                  <w:vMerge w:val="continue"/>
                  <w:tcBorders>
                    <w:tl2br w:val="nil"/>
                    <w:tr2bl w:val="nil"/>
                  </w:tcBorders>
                  <w:noWrap w:val="0"/>
                  <w:vAlign w:val="center"/>
                </w:tcPr>
                <w:p w14:paraId="36A1C406">
                  <w:pPr>
                    <w:keepNext w:val="0"/>
                    <w:keepLines w:val="0"/>
                    <w:pageBreakBefore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rPr>
                  </w:pPr>
                </w:p>
              </w:tc>
              <w:tc>
                <w:tcPr>
                  <w:tcW w:w="2446" w:type="pct"/>
                  <w:tcBorders>
                    <w:tl2br w:val="nil"/>
                    <w:tr2bl w:val="nil"/>
                  </w:tcBorders>
                  <w:noWrap w:val="0"/>
                  <w:vAlign w:val="center"/>
                </w:tcPr>
                <w:p w14:paraId="05DFE7C4">
                  <w:pPr>
                    <w:pStyle w:val="25"/>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left"/>
                    <w:textAlignment w:val="auto"/>
                    <w:rPr>
                      <w:rFonts w:hint="default" w:ascii="Times New Roman" w:hAnsi="Times New Roman" w:cs="Times New Roman"/>
                      <w:color w:val="auto"/>
                    </w:rPr>
                  </w:pPr>
                  <w:r>
                    <w:rPr>
                      <w:rFonts w:hint="default" w:ascii="Times New Roman" w:hAnsi="Times New Roman" w:eastAsia="宋体" w:cs="Times New Roman"/>
                      <w:color w:val="auto"/>
                      <w:spacing w:val="0"/>
                      <w:kern w:val="0"/>
                      <w:sz w:val="21"/>
                      <w:szCs w:val="21"/>
                      <w:lang w:val="en-US" w:eastAsia="zh-CN" w:bidi="ar-SA"/>
                    </w:rPr>
                    <w:t>严格危废管理。产生废活性炭的企业，必须与有许可证的危废经营单位签订危废处置协议。</w:t>
                  </w:r>
                </w:p>
              </w:tc>
              <w:tc>
                <w:tcPr>
                  <w:tcW w:w="1214" w:type="pct"/>
                  <w:tcBorders>
                    <w:tl2br w:val="nil"/>
                    <w:tr2bl w:val="nil"/>
                  </w:tcBorders>
                  <w:noWrap w:val="0"/>
                  <w:vAlign w:val="center"/>
                </w:tcPr>
                <w:p w14:paraId="4A45C358">
                  <w:pPr>
                    <w:keepNext w:val="0"/>
                    <w:keepLines w:val="0"/>
                    <w:pageBreakBefore w:val="0"/>
                    <w:kinsoku/>
                    <w:wordWrap w:val="0"/>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1"/>
                      <w:szCs w:val="21"/>
                      <w:lang w:val="en-US" w:eastAsia="zh-CN"/>
                    </w:rPr>
                    <w:t>要求建设单位后期必须</w:t>
                  </w:r>
                  <w:r>
                    <w:rPr>
                      <w:rFonts w:hint="default" w:ascii="Times New Roman" w:hAnsi="Times New Roman" w:eastAsia="宋体" w:cs="Times New Roman"/>
                      <w:color w:val="auto"/>
                      <w:spacing w:val="0"/>
                      <w:kern w:val="0"/>
                      <w:sz w:val="21"/>
                      <w:szCs w:val="21"/>
                      <w:lang w:val="en-US" w:eastAsia="zh-CN" w:bidi="ar-SA"/>
                    </w:rPr>
                    <w:t>与有许可证的危废经营单位签订危废处置协议。</w:t>
                  </w:r>
                </w:p>
              </w:tc>
              <w:tc>
                <w:tcPr>
                  <w:tcW w:w="533" w:type="pct"/>
                  <w:tcBorders>
                    <w:tl2br w:val="nil"/>
                    <w:tr2bl w:val="nil"/>
                  </w:tcBorders>
                  <w:noWrap w:val="0"/>
                  <w:vAlign w:val="center"/>
                </w:tcPr>
                <w:p w14:paraId="51EEED8C">
                  <w:pPr>
                    <w:keepNext w:val="0"/>
                    <w:keepLines w:val="0"/>
                    <w:pageBreakBefore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1"/>
                      <w:szCs w:val="21"/>
                      <w:lang w:val="en-US" w:eastAsia="zh-CN"/>
                    </w:rPr>
                    <w:t>符合</w:t>
                  </w:r>
                </w:p>
              </w:tc>
            </w:tr>
            <w:tr w14:paraId="018352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0" w:hRule="atLeast"/>
                <w:jc w:val="center"/>
              </w:trPr>
              <w:tc>
                <w:tcPr>
                  <w:tcW w:w="805" w:type="pct"/>
                  <w:vMerge w:val="continue"/>
                  <w:tcBorders>
                    <w:tl2br w:val="nil"/>
                    <w:tr2bl w:val="nil"/>
                  </w:tcBorders>
                  <w:noWrap w:val="0"/>
                  <w:vAlign w:val="center"/>
                </w:tcPr>
                <w:p w14:paraId="69061390">
                  <w:pPr>
                    <w:keepNext w:val="0"/>
                    <w:keepLines w:val="0"/>
                    <w:pageBreakBefore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rPr>
                  </w:pPr>
                </w:p>
              </w:tc>
              <w:tc>
                <w:tcPr>
                  <w:tcW w:w="2446" w:type="pct"/>
                  <w:tcBorders>
                    <w:tl2br w:val="nil"/>
                    <w:tr2bl w:val="nil"/>
                  </w:tcBorders>
                  <w:noWrap w:val="0"/>
                  <w:vAlign w:val="center"/>
                </w:tcPr>
                <w:p w14:paraId="5057B72E">
                  <w:pPr>
                    <w:pStyle w:val="25"/>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left"/>
                    <w:textAlignment w:val="auto"/>
                    <w:rPr>
                      <w:rFonts w:hint="default" w:ascii="Times New Roman" w:hAnsi="Times New Roman" w:cs="Times New Roman"/>
                      <w:color w:val="auto"/>
                    </w:rPr>
                  </w:pPr>
                  <w:r>
                    <w:rPr>
                      <w:rFonts w:hint="default" w:ascii="Times New Roman" w:hAnsi="Times New Roman" w:eastAsia="宋体" w:cs="Times New Roman"/>
                      <w:color w:val="auto"/>
                      <w:spacing w:val="0"/>
                      <w:kern w:val="0"/>
                      <w:sz w:val="21"/>
                      <w:szCs w:val="21"/>
                      <w:lang w:val="en-US" w:eastAsia="zh-CN" w:bidi="ar-SA"/>
                    </w:rPr>
                    <w:t>鼓励循环再生活性炭。鼓励企业使用优质可循环使用的活性炭，并与有资质的企业签订废旧活性炭的收集、转运、循环利用服务协议，提高治理效率，减少危险废物产生。</w:t>
                  </w:r>
                </w:p>
              </w:tc>
              <w:tc>
                <w:tcPr>
                  <w:tcW w:w="1214" w:type="pct"/>
                  <w:tcBorders>
                    <w:tl2br w:val="nil"/>
                    <w:tr2bl w:val="nil"/>
                  </w:tcBorders>
                  <w:noWrap w:val="0"/>
                  <w:vAlign w:val="center"/>
                </w:tcPr>
                <w:p w14:paraId="39FBED72">
                  <w:pPr>
                    <w:keepNext w:val="0"/>
                    <w:keepLines w:val="0"/>
                    <w:pageBreakBefore w:val="0"/>
                    <w:kinsoku/>
                    <w:wordWrap w:val="0"/>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rPr>
                  </w:pPr>
                  <w:r>
                    <w:rPr>
                      <w:rFonts w:hint="default" w:ascii="Times New Roman" w:hAnsi="Times New Roman" w:cs="Times New Roman"/>
                      <w:color w:val="auto"/>
                      <w:kern w:val="0"/>
                      <w:sz w:val="21"/>
                      <w:szCs w:val="21"/>
                      <w:lang w:val="en-US" w:eastAsia="zh-CN"/>
                    </w:rPr>
                    <w:t>活性炭</w:t>
                  </w:r>
                  <w:r>
                    <w:rPr>
                      <w:rFonts w:hint="default" w:ascii="Times New Roman" w:hAnsi="Times New Roman" w:eastAsia="宋体" w:cs="Times New Roman"/>
                      <w:color w:val="auto"/>
                      <w:kern w:val="0"/>
                      <w:sz w:val="21"/>
                      <w:szCs w:val="21"/>
                      <w:lang w:val="en-US" w:eastAsia="zh-CN"/>
                    </w:rPr>
                    <w:t>定期更换后交由</w:t>
                  </w:r>
                  <w:r>
                    <w:rPr>
                      <w:rFonts w:hint="default" w:ascii="Times New Roman" w:hAnsi="Times New Roman" w:cs="Times New Roman"/>
                      <w:color w:val="auto"/>
                      <w:kern w:val="0"/>
                      <w:sz w:val="21"/>
                      <w:szCs w:val="21"/>
                      <w:lang w:val="en-US" w:eastAsia="zh-CN"/>
                    </w:rPr>
                    <w:t>有资质单位</w:t>
                  </w:r>
                  <w:r>
                    <w:rPr>
                      <w:rFonts w:hint="default" w:ascii="Times New Roman" w:hAnsi="Times New Roman" w:eastAsia="宋体" w:cs="Times New Roman"/>
                      <w:color w:val="auto"/>
                      <w:kern w:val="0"/>
                      <w:sz w:val="21"/>
                      <w:szCs w:val="21"/>
                      <w:lang w:val="en-US" w:eastAsia="zh-CN"/>
                    </w:rPr>
                    <w:t>处理。</w:t>
                  </w:r>
                </w:p>
              </w:tc>
              <w:tc>
                <w:tcPr>
                  <w:tcW w:w="533" w:type="pct"/>
                  <w:tcBorders>
                    <w:tl2br w:val="nil"/>
                    <w:tr2bl w:val="nil"/>
                  </w:tcBorders>
                  <w:noWrap w:val="0"/>
                  <w:vAlign w:val="center"/>
                </w:tcPr>
                <w:p w14:paraId="733FBD37">
                  <w:pPr>
                    <w:keepNext w:val="0"/>
                    <w:keepLines w:val="0"/>
                    <w:pageBreakBefore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1"/>
                      <w:szCs w:val="21"/>
                      <w:lang w:val="en-US" w:eastAsia="zh-CN"/>
                    </w:rPr>
                    <w:t>符合</w:t>
                  </w:r>
                </w:p>
              </w:tc>
            </w:tr>
            <w:tr w14:paraId="59D3A1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0" w:hRule="atLeast"/>
                <w:jc w:val="center"/>
              </w:trPr>
              <w:tc>
                <w:tcPr>
                  <w:tcW w:w="805" w:type="pct"/>
                  <w:vMerge w:val="continue"/>
                  <w:tcBorders>
                    <w:tl2br w:val="nil"/>
                    <w:tr2bl w:val="nil"/>
                  </w:tcBorders>
                  <w:noWrap w:val="0"/>
                  <w:vAlign w:val="center"/>
                </w:tcPr>
                <w:p w14:paraId="4A4F9EEC">
                  <w:pPr>
                    <w:keepNext w:val="0"/>
                    <w:keepLines w:val="0"/>
                    <w:pageBreakBefore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rPr>
                  </w:pPr>
                </w:p>
              </w:tc>
              <w:tc>
                <w:tcPr>
                  <w:tcW w:w="2446" w:type="pct"/>
                  <w:tcBorders>
                    <w:tl2br w:val="nil"/>
                    <w:tr2bl w:val="nil"/>
                  </w:tcBorders>
                  <w:noWrap w:val="0"/>
                  <w:vAlign w:val="center"/>
                </w:tcPr>
                <w:p w14:paraId="4FC55D9F">
                  <w:pPr>
                    <w:pStyle w:val="25"/>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left"/>
                    <w:textAlignment w:val="auto"/>
                    <w:rPr>
                      <w:rFonts w:hint="default" w:ascii="Times New Roman" w:hAnsi="Times New Roman" w:cs="Times New Roman"/>
                      <w:color w:val="auto"/>
                    </w:rPr>
                  </w:pPr>
                  <w:r>
                    <w:rPr>
                      <w:rFonts w:hint="default" w:ascii="Times New Roman" w:hAnsi="Times New Roman" w:eastAsia="宋体" w:cs="Times New Roman"/>
                      <w:color w:val="auto"/>
                      <w:spacing w:val="0"/>
                      <w:kern w:val="0"/>
                      <w:sz w:val="21"/>
                      <w:szCs w:val="21"/>
                      <w:lang w:val="en-US" w:eastAsia="zh-CN" w:bidi="ar-SA"/>
                    </w:rPr>
                    <w:t>完善台账记录。企业应按要求做好活性炭吸附日常运行维护台账记录，台账内容应包括开启时间、关停时间、更换时间更换照片、装填数量、设计参数、风量等，以及活性炭主要技术指标检测合格材料。环境管理台账记录保存期限不得少于5年。</w:t>
                  </w:r>
                </w:p>
              </w:tc>
              <w:tc>
                <w:tcPr>
                  <w:tcW w:w="1214" w:type="pct"/>
                  <w:tcBorders>
                    <w:tl2br w:val="nil"/>
                    <w:tr2bl w:val="nil"/>
                  </w:tcBorders>
                  <w:noWrap w:val="0"/>
                  <w:vAlign w:val="center"/>
                </w:tcPr>
                <w:p w14:paraId="3A588411">
                  <w:pPr>
                    <w:keepNext w:val="0"/>
                    <w:keepLines w:val="0"/>
                    <w:pageBreakBefore w:val="0"/>
                    <w:kinsoku/>
                    <w:wordWrap w:val="0"/>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1"/>
                      <w:szCs w:val="21"/>
                      <w:lang w:val="en-US" w:eastAsia="zh-CN"/>
                    </w:rPr>
                    <w:t>要求建设单位按要求</w:t>
                  </w:r>
                  <w:r>
                    <w:rPr>
                      <w:rFonts w:hint="default" w:ascii="Times New Roman" w:hAnsi="Times New Roman" w:eastAsia="宋体" w:cs="Times New Roman"/>
                      <w:color w:val="auto"/>
                      <w:spacing w:val="0"/>
                      <w:kern w:val="0"/>
                      <w:sz w:val="21"/>
                      <w:szCs w:val="21"/>
                      <w:lang w:val="en-US" w:eastAsia="zh-CN" w:bidi="ar-SA"/>
                    </w:rPr>
                    <w:t>完善台账记录</w:t>
                  </w:r>
                  <w:r>
                    <w:rPr>
                      <w:rFonts w:hint="default" w:ascii="Times New Roman" w:hAnsi="Times New Roman" w:eastAsia="宋体" w:cs="Times New Roman"/>
                      <w:color w:val="auto"/>
                      <w:kern w:val="0"/>
                      <w:sz w:val="21"/>
                      <w:szCs w:val="21"/>
                      <w:lang w:val="en-US" w:eastAsia="zh-CN"/>
                    </w:rPr>
                    <w:t>。</w:t>
                  </w:r>
                </w:p>
              </w:tc>
              <w:tc>
                <w:tcPr>
                  <w:tcW w:w="533" w:type="pct"/>
                  <w:tcBorders>
                    <w:tl2br w:val="nil"/>
                    <w:tr2bl w:val="nil"/>
                  </w:tcBorders>
                  <w:noWrap w:val="0"/>
                  <w:vAlign w:val="center"/>
                </w:tcPr>
                <w:p w14:paraId="2AA15ADF">
                  <w:pPr>
                    <w:keepNext w:val="0"/>
                    <w:keepLines w:val="0"/>
                    <w:pageBreakBefore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1"/>
                      <w:szCs w:val="21"/>
                      <w:lang w:val="en-US" w:eastAsia="zh-CN"/>
                    </w:rPr>
                    <w:t>符合</w:t>
                  </w:r>
                </w:p>
              </w:tc>
            </w:tr>
            <w:tr w14:paraId="7AF8E8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0" w:hRule="atLeast"/>
                <w:jc w:val="center"/>
              </w:trPr>
              <w:tc>
                <w:tcPr>
                  <w:tcW w:w="805" w:type="pct"/>
                  <w:vMerge w:val="restart"/>
                  <w:tcBorders>
                    <w:tl2br w:val="nil"/>
                    <w:tr2bl w:val="nil"/>
                  </w:tcBorders>
                  <w:noWrap w:val="0"/>
                  <w:vAlign w:val="center"/>
                </w:tcPr>
                <w:p w14:paraId="3FF7D5A8">
                  <w:pPr>
                    <w:keepNext w:val="0"/>
                    <w:keepLines w:val="0"/>
                    <w:pageBreakBefore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1"/>
                      <w:szCs w:val="21"/>
                      <w:lang w:val="en-US" w:eastAsia="zh-CN" w:bidi="ar"/>
                    </w:rPr>
                    <w:t>《西安市挥发性有机物整治专项实施方案》</w:t>
                  </w:r>
                </w:p>
              </w:tc>
              <w:tc>
                <w:tcPr>
                  <w:tcW w:w="2446" w:type="pct"/>
                  <w:tcBorders>
                    <w:tl2br w:val="nil"/>
                    <w:tr2bl w:val="nil"/>
                  </w:tcBorders>
                  <w:noWrap w:val="0"/>
                  <w:vAlign w:val="center"/>
                </w:tcPr>
                <w:p w14:paraId="613D1885">
                  <w:pPr>
                    <w:keepNext w:val="0"/>
                    <w:keepLines w:val="0"/>
                    <w:pageBreakBefore w:val="0"/>
                    <w:widowControl/>
                    <w:suppressLineNumbers w:val="0"/>
                    <w:kinsoku/>
                    <w:overflowPunct/>
                    <w:autoSpaceDE/>
                    <w:autoSpaceDN/>
                    <w:bidi w:val="0"/>
                    <w:spacing w:line="264" w:lineRule="auto"/>
                    <w:jc w:val="left"/>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
                    </w:rPr>
                    <w:t>（三）严格控制无组织排放。在保证安全前提下，加强含VOCs物料全方位、全链条、全环节密闭管理，做好VOCs物料储存、转移和输送、设备与管线组件泄漏、敞开液面逸散以及工艺过程等无组织排放环节的管理。生产应优先采用密闭设备、在密闭空间中操作或采用全密闭集气罩收集方式，采用全密闭集气罩或密闭空间的，除行业有特殊要求外，应保持微负压状态，并根据相关规范合理设置通风量。</w:t>
                  </w:r>
                </w:p>
              </w:tc>
              <w:tc>
                <w:tcPr>
                  <w:tcW w:w="1214" w:type="pct"/>
                  <w:tcBorders>
                    <w:tl2br w:val="nil"/>
                    <w:tr2bl w:val="nil"/>
                  </w:tcBorders>
                  <w:noWrap w:val="0"/>
                  <w:vAlign w:val="center"/>
                </w:tcPr>
                <w:p w14:paraId="533E7B9B">
                  <w:pPr>
                    <w:keepNext w:val="0"/>
                    <w:keepLines w:val="0"/>
                    <w:pageBreakBefore w:val="0"/>
                    <w:widowControl/>
                    <w:suppressLineNumbers w:val="0"/>
                    <w:kinsoku/>
                    <w:overflowPunct/>
                    <w:autoSpaceDE/>
                    <w:autoSpaceDN/>
                    <w:bidi w:val="0"/>
                    <w:spacing w:line="264" w:lineRule="auto"/>
                    <w:jc w:val="left"/>
                    <w:textAlignment w:val="auto"/>
                    <w:rPr>
                      <w:rFonts w:hint="default" w:ascii="Times New Roman" w:hAnsi="Times New Roman" w:eastAsia="宋体" w:cs="Times New Roman"/>
                      <w:color w:val="auto"/>
                      <w:kern w:val="0"/>
                      <w:sz w:val="21"/>
                      <w:szCs w:val="21"/>
                      <w:lang w:val="en-US" w:eastAsia="zh-CN" w:bidi="ar"/>
                    </w:rPr>
                  </w:pPr>
                  <w:r>
                    <w:rPr>
                      <w:color w:val="auto"/>
                      <w:kern w:val="0"/>
                      <w:szCs w:val="21"/>
                      <w:lang w:bidi="ar"/>
                    </w:rPr>
                    <w:t>项目加强挥发性有机物的无组织排放控制，</w:t>
                  </w:r>
                  <w:r>
                    <w:rPr>
                      <w:rFonts w:hint="eastAsia"/>
                      <w:color w:val="auto"/>
                      <w:kern w:val="0"/>
                      <w:szCs w:val="21"/>
                      <w:lang w:val="en-US" w:eastAsia="zh-CN" w:bidi="ar"/>
                    </w:rPr>
                    <w:t>物料全密闭储存、转移和输送。试剂调配</w:t>
                  </w:r>
                  <w:r>
                    <w:rPr>
                      <w:color w:val="auto"/>
                      <w:kern w:val="0"/>
                      <w:szCs w:val="21"/>
                      <w:lang w:bidi="ar"/>
                    </w:rPr>
                    <w:t>在</w:t>
                  </w:r>
                  <w:r>
                    <w:rPr>
                      <w:rFonts w:hint="eastAsia"/>
                      <w:color w:val="auto"/>
                      <w:kern w:val="0"/>
                      <w:szCs w:val="21"/>
                      <w:lang w:bidi="ar"/>
                    </w:rPr>
                    <w:t>通风橱</w:t>
                  </w:r>
                  <w:r>
                    <w:rPr>
                      <w:color w:val="auto"/>
                      <w:kern w:val="0"/>
                      <w:szCs w:val="21"/>
                      <w:lang w:bidi="ar"/>
                    </w:rPr>
                    <w:t>中进行收集，减少有机废气无组织排放。</w:t>
                  </w:r>
                </w:p>
              </w:tc>
              <w:tc>
                <w:tcPr>
                  <w:tcW w:w="533" w:type="pct"/>
                  <w:tcBorders>
                    <w:tl2br w:val="nil"/>
                    <w:tr2bl w:val="nil"/>
                  </w:tcBorders>
                  <w:noWrap w:val="0"/>
                  <w:vAlign w:val="center"/>
                </w:tcPr>
                <w:p w14:paraId="505E4211">
                  <w:pPr>
                    <w:keepNext w:val="0"/>
                    <w:keepLines w:val="0"/>
                    <w:pageBreakBefore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符合</w:t>
                  </w:r>
                </w:p>
              </w:tc>
            </w:tr>
            <w:tr w14:paraId="71EC59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0" w:hRule="atLeast"/>
                <w:jc w:val="center"/>
              </w:trPr>
              <w:tc>
                <w:tcPr>
                  <w:tcW w:w="805" w:type="pct"/>
                  <w:vMerge w:val="continue"/>
                  <w:tcBorders>
                    <w:tl2br w:val="nil"/>
                    <w:tr2bl w:val="nil"/>
                  </w:tcBorders>
                  <w:noWrap w:val="0"/>
                  <w:vAlign w:val="center"/>
                </w:tcPr>
                <w:p w14:paraId="6A5E8711">
                  <w:pPr>
                    <w:keepNext w:val="0"/>
                    <w:keepLines w:val="0"/>
                    <w:pageBreakBefore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rPr>
                  </w:pPr>
                </w:p>
              </w:tc>
              <w:tc>
                <w:tcPr>
                  <w:tcW w:w="2446" w:type="pct"/>
                  <w:tcBorders>
                    <w:tl2br w:val="nil"/>
                    <w:tr2bl w:val="nil"/>
                  </w:tcBorders>
                  <w:noWrap w:val="0"/>
                  <w:vAlign w:val="center"/>
                </w:tcPr>
                <w:p w14:paraId="707C0F22">
                  <w:pPr>
                    <w:keepNext w:val="0"/>
                    <w:keepLines w:val="0"/>
                    <w:pageBreakBefore w:val="0"/>
                    <w:widowControl/>
                    <w:suppressLineNumbers w:val="0"/>
                    <w:kinsoku/>
                    <w:overflowPunct/>
                    <w:autoSpaceDE/>
                    <w:autoSpaceDN/>
                    <w:bidi w:val="0"/>
                    <w:spacing w:line="264" w:lineRule="auto"/>
                    <w:jc w:val="left"/>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
                    </w:rPr>
                    <w:t>（四）强化涉活性炭VOCs处理工艺治理。采用活性炭吸附技术的企业，其中颗粒碳碘吸附值不低于800mg/g或四氯化碳吸附率不低于60%，蜂窝活性炭碘吸附值不低于600mg/g或四氯化碳吸附率不低于30%，按设计要求足量添加、定期更换，动态更新挥发性有机物治理设施台账。组织开展活性炭技术等VOCs治理设施排查，对达不到要求的，应当更换或升级改造，实现稳定达标排放。</w:t>
                  </w:r>
                </w:p>
              </w:tc>
              <w:tc>
                <w:tcPr>
                  <w:tcW w:w="1214" w:type="pct"/>
                  <w:tcBorders>
                    <w:tl2br w:val="nil"/>
                    <w:tr2bl w:val="nil"/>
                  </w:tcBorders>
                  <w:noWrap w:val="0"/>
                  <w:vAlign w:val="center"/>
                </w:tcPr>
                <w:p w14:paraId="4395DCE0">
                  <w:pPr>
                    <w:keepNext w:val="0"/>
                    <w:keepLines w:val="0"/>
                    <w:pageBreakBefore w:val="0"/>
                    <w:widowControl/>
                    <w:suppressLineNumbers w:val="0"/>
                    <w:kinsoku/>
                    <w:overflowPunct/>
                    <w:autoSpaceDE/>
                    <w:autoSpaceDN/>
                    <w:bidi w:val="0"/>
                    <w:spacing w:line="264" w:lineRule="auto"/>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本项目采用蜂窝活性炭，项目运营期将严格把控活性炭质量，每次更换活性炭均要求厂家提供碘值检测报告并根据环保文件足量添加，及时更换，设置活性炭更换台账，以确保达标排放。</w:t>
                  </w:r>
                </w:p>
              </w:tc>
              <w:tc>
                <w:tcPr>
                  <w:tcW w:w="533" w:type="pct"/>
                  <w:tcBorders>
                    <w:tl2br w:val="nil"/>
                    <w:tr2bl w:val="nil"/>
                  </w:tcBorders>
                  <w:noWrap w:val="0"/>
                  <w:vAlign w:val="center"/>
                </w:tcPr>
                <w:p w14:paraId="23886D70">
                  <w:pPr>
                    <w:keepNext w:val="0"/>
                    <w:keepLines w:val="0"/>
                    <w:pageBreakBefore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符合</w:t>
                  </w:r>
                </w:p>
              </w:tc>
            </w:tr>
            <w:tr w14:paraId="49E360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449" w:hRule="atLeast"/>
                <w:jc w:val="center"/>
              </w:trPr>
              <w:tc>
                <w:tcPr>
                  <w:tcW w:w="805" w:type="pct"/>
                  <w:vMerge w:val="restart"/>
                  <w:tcBorders>
                    <w:tl2br w:val="nil"/>
                    <w:tr2bl w:val="nil"/>
                  </w:tcBorders>
                  <w:noWrap w:val="0"/>
                  <w:vAlign w:val="center"/>
                </w:tcPr>
                <w:p w14:paraId="6A39F92E">
                  <w:pPr>
                    <w:keepNext w:val="0"/>
                    <w:keepLines w:val="0"/>
                    <w:pageBreakBefore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陕西省生态环境厅关于进一步加强关中地区涉气重点行业项目环评管理的通知（陕环环评函</w:t>
                  </w:r>
                  <w:r>
                    <w:rPr>
                      <w:rFonts w:hint="default" w:ascii="Times New Roman" w:hAnsi="Times New Roman" w:eastAsia="宋体" w:cs="Times New Roman"/>
                      <w:color w:val="auto"/>
                      <w:lang w:val="en-US" w:eastAsia="zh-CN"/>
                    </w:rPr>
                    <w:t>〔2023〕76号</w:t>
                  </w:r>
                  <w:r>
                    <w:rPr>
                      <w:rFonts w:hint="default" w:ascii="Times New Roman" w:hAnsi="Times New Roman" w:cs="Times New Roman"/>
                      <w:color w:val="auto"/>
                      <w:lang w:val="en-US" w:eastAsia="zh-CN"/>
                    </w:rPr>
                    <w:t>）</w:t>
                  </w:r>
                </w:p>
              </w:tc>
              <w:tc>
                <w:tcPr>
                  <w:tcW w:w="2446" w:type="pct"/>
                  <w:tcBorders>
                    <w:tl2br w:val="nil"/>
                    <w:tr2bl w:val="nil"/>
                  </w:tcBorders>
                  <w:noWrap w:val="0"/>
                  <w:vAlign w:val="center"/>
                </w:tcPr>
                <w:p w14:paraId="12FDB799">
                  <w:pPr>
                    <w:pStyle w:val="25"/>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left"/>
                    <w:textAlignment w:val="auto"/>
                    <w:rPr>
                      <w:rFonts w:hint="default" w:ascii="Times New Roman" w:hAnsi="Times New Roman" w:eastAsia="宋体" w:cs="Times New Roman"/>
                      <w:color w:val="auto"/>
                      <w:spacing w:val="0"/>
                      <w:kern w:val="0"/>
                      <w:sz w:val="21"/>
                      <w:szCs w:val="21"/>
                      <w:lang w:val="en-US" w:eastAsia="zh-CN" w:bidi="ar-SA"/>
                    </w:rPr>
                  </w:pPr>
                  <w:r>
                    <w:rPr>
                      <w:rFonts w:hint="default" w:ascii="Times New Roman" w:hAnsi="Times New Roman" w:cs="Times New Roman"/>
                      <w:color w:val="auto"/>
                      <w:spacing w:val="0"/>
                      <w:kern w:val="0"/>
                      <w:sz w:val="21"/>
                      <w:szCs w:val="21"/>
                      <w:lang w:val="en-US" w:eastAsia="zh-CN" w:bidi="ar-SA"/>
                    </w:rPr>
                    <w:t>一、关中地区涉气重点行业项目范围为生态环境部确定的39个重点行业的新改扩建项目，涉及关中各市（区）辖区及开发区范围内的应达到环保绩效A级、绩效引领性水平要求，西安市、咸阳市、渭南市的其他区域应达到环保绩效B级及以上要求。</w:t>
                  </w:r>
                </w:p>
              </w:tc>
              <w:tc>
                <w:tcPr>
                  <w:tcW w:w="1214" w:type="pct"/>
                  <w:vMerge w:val="restart"/>
                  <w:tcBorders>
                    <w:tl2br w:val="nil"/>
                    <w:tr2bl w:val="nil"/>
                  </w:tcBorders>
                  <w:noWrap w:val="0"/>
                  <w:vAlign w:val="center"/>
                </w:tcPr>
                <w:p w14:paraId="4EDBE998">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21"/>
                      <w:szCs w:val="21"/>
                    </w:rPr>
                    <w:t>本项目</w:t>
                  </w:r>
                  <w:r>
                    <w:rPr>
                      <w:rFonts w:hint="default" w:ascii="Times New Roman" w:hAnsi="Times New Roman" w:cs="Times New Roman"/>
                      <w:color w:val="auto"/>
                      <w:kern w:val="21"/>
                      <w:szCs w:val="21"/>
                      <w:lang w:val="en-US" w:eastAsia="zh-CN"/>
                    </w:rPr>
                    <w:t>位于西咸新区泾河新城，属于关中地区；不属于</w:t>
                  </w:r>
                  <w:r>
                    <w:rPr>
                      <w:rFonts w:hint="default" w:ascii="Times New Roman" w:hAnsi="Times New Roman" w:cs="Times New Roman"/>
                      <w:color w:val="auto"/>
                      <w:kern w:val="21"/>
                      <w:szCs w:val="21"/>
                    </w:rPr>
                    <w:t>《重污染天气重点行业应急减排措施制定技术指南（2020年修订版）》中的重点行业</w:t>
                  </w:r>
                  <w:r>
                    <w:rPr>
                      <w:rFonts w:hint="default" w:ascii="Times New Roman" w:hAnsi="Times New Roman" w:cs="Times New Roman"/>
                      <w:color w:val="auto"/>
                      <w:kern w:val="21"/>
                      <w:szCs w:val="21"/>
                      <w:lang w:val="en-US" w:eastAsia="zh-CN"/>
                    </w:rPr>
                    <w:t>。</w:t>
                  </w:r>
                </w:p>
              </w:tc>
              <w:tc>
                <w:tcPr>
                  <w:tcW w:w="533" w:type="pct"/>
                  <w:tcBorders>
                    <w:tl2br w:val="nil"/>
                    <w:tr2bl w:val="nil"/>
                  </w:tcBorders>
                  <w:noWrap w:val="0"/>
                  <w:vAlign w:val="center"/>
                </w:tcPr>
                <w:p w14:paraId="5FE4455F">
                  <w:pPr>
                    <w:keepNext w:val="0"/>
                    <w:keepLines w:val="0"/>
                    <w:pageBreakBefore w:val="0"/>
                    <w:kinsoku/>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21"/>
                      <w:szCs w:val="21"/>
                      <w:lang w:val="en-US" w:eastAsia="zh-CN"/>
                    </w:rPr>
                    <w:t>符合</w:t>
                  </w:r>
                </w:p>
              </w:tc>
            </w:tr>
            <w:tr w14:paraId="70248E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449" w:hRule="atLeast"/>
                <w:jc w:val="center"/>
              </w:trPr>
              <w:tc>
                <w:tcPr>
                  <w:tcW w:w="805" w:type="pct"/>
                  <w:vMerge w:val="continue"/>
                  <w:tcBorders>
                    <w:tl2br w:val="nil"/>
                    <w:tr2bl w:val="nil"/>
                  </w:tcBorders>
                  <w:noWrap w:val="0"/>
                  <w:vAlign w:val="center"/>
                </w:tcPr>
                <w:p w14:paraId="719465DB">
                  <w:pPr>
                    <w:keepNext w:val="0"/>
                    <w:keepLines w:val="0"/>
                    <w:pageBreakBefore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rPr>
                  </w:pPr>
                </w:p>
              </w:tc>
              <w:tc>
                <w:tcPr>
                  <w:tcW w:w="2446" w:type="pct"/>
                  <w:tcBorders>
                    <w:tl2br w:val="nil"/>
                    <w:tr2bl w:val="nil"/>
                  </w:tcBorders>
                  <w:noWrap w:val="0"/>
                  <w:vAlign w:val="center"/>
                </w:tcPr>
                <w:p w14:paraId="1744B651">
                  <w:pPr>
                    <w:keepNext w:val="0"/>
                    <w:keepLines w:val="0"/>
                    <w:pageBreakBefore w:val="0"/>
                    <w:kinsoku/>
                    <w:wordWrap w:val="0"/>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rPr>
                  </w:pPr>
                  <w:r>
                    <w:rPr>
                      <w:rFonts w:hint="default" w:ascii="Times New Roman" w:hAnsi="Times New Roman" w:cs="Times New Roman"/>
                      <w:color w:val="auto"/>
                    </w:rPr>
                    <w:t>二、关中地区涉气重点行业新、改、扩建项目环境影响报告书（表）应编制环保绩效管理篇章，按照环办大气函〔2020</w:t>
                  </w:r>
                  <w:r>
                    <w:rPr>
                      <w:rFonts w:hint="default" w:ascii="Times New Roman" w:hAnsi="Times New Roman" w:eastAsia="宋体" w:cs="Times New Roman"/>
                      <w:color w:val="auto"/>
                    </w:rPr>
                    <w:t>〕</w:t>
                  </w:r>
                  <w:r>
                    <w:rPr>
                      <w:rFonts w:hint="default" w:ascii="Times New Roman" w:hAnsi="Times New Roman" w:cs="Times New Roman"/>
                      <w:color w:val="auto"/>
                    </w:rPr>
                    <w:t>340号文件从建设项目的装备水平(生产工艺)、污染治理技术、排放限值、无组织管控要求、监测监控水平、环境管理水平、运输方式和管控要求等方面，专项分析拟建和已建项目建设内容、生态环境保护措施与对应环保绩效分级、绩效引领性水平的相符性。</w:t>
                  </w:r>
                </w:p>
              </w:tc>
              <w:tc>
                <w:tcPr>
                  <w:tcW w:w="1214" w:type="pct"/>
                  <w:vMerge w:val="continue"/>
                  <w:tcBorders>
                    <w:tl2br w:val="nil"/>
                    <w:tr2bl w:val="nil"/>
                  </w:tcBorders>
                  <w:noWrap w:val="0"/>
                  <w:vAlign w:val="center"/>
                </w:tcPr>
                <w:p w14:paraId="4C8D6D5E">
                  <w:pPr>
                    <w:keepNext w:val="0"/>
                    <w:keepLines w:val="0"/>
                    <w:pageBreakBefore w:val="0"/>
                    <w:kinsoku/>
                    <w:wordWrap w:val="0"/>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lang w:val="en-US" w:eastAsia="zh-CN"/>
                    </w:rPr>
                  </w:pPr>
                </w:p>
              </w:tc>
              <w:tc>
                <w:tcPr>
                  <w:tcW w:w="533" w:type="pct"/>
                  <w:tcBorders>
                    <w:tl2br w:val="nil"/>
                    <w:tr2bl w:val="nil"/>
                  </w:tcBorders>
                  <w:noWrap w:val="0"/>
                  <w:vAlign w:val="center"/>
                </w:tcPr>
                <w:p w14:paraId="25716A47">
                  <w:pPr>
                    <w:keepNext w:val="0"/>
                    <w:keepLines w:val="0"/>
                    <w:pageBreakBefore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21"/>
                      <w:szCs w:val="21"/>
                      <w:lang w:val="en-US" w:eastAsia="zh-CN"/>
                    </w:rPr>
                    <w:t>符合</w:t>
                  </w:r>
                </w:p>
              </w:tc>
            </w:tr>
            <w:tr w14:paraId="3B0A9C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013" w:hRule="atLeast"/>
                <w:jc w:val="center"/>
              </w:trPr>
              <w:tc>
                <w:tcPr>
                  <w:tcW w:w="805" w:type="pct"/>
                  <w:vMerge w:val="restart"/>
                  <w:tcBorders>
                    <w:tl2br w:val="nil"/>
                    <w:tr2bl w:val="nil"/>
                  </w:tcBorders>
                  <w:noWrap w:val="0"/>
                  <w:vAlign w:val="center"/>
                </w:tcPr>
                <w:p w14:paraId="6A55E691">
                  <w:pPr>
                    <w:keepNext w:val="0"/>
                    <w:keepLines w:val="0"/>
                    <w:pageBreakBefore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《西安市人民政府关于印发西安市空气质量达标规划（2023-2030年）的通知》（市政发〔2023〕10号）</w:t>
                  </w:r>
                </w:p>
              </w:tc>
              <w:tc>
                <w:tcPr>
                  <w:tcW w:w="2446" w:type="pct"/>
                  <w:tcBorders>
                    <w:tl2br w:val="nil"/>
                    <w:tr2bl w:val="nil"/>
                  </w:tcBorders>
                  <w:noWrap w:val="0"/>
                  <w:vAlign w:val="center"/>
                </w:tcPr>
                <w:p w14:paraId="315FABB4">
                  <w:pPr>
                    <w:keepNext w:val="0"/>
                    <w:keepLines w:val="0"/>
                    <w:pageBreakBefore w:val="0"/>
                    <w:kinsoku/>
                    <w:wordWrap w:val="0"/>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根据国土空间规划分区和用途管制，实施“三线一单”（生态保护红线、环境质量底线、资源利用上线和生态环境准入清单）生态环境分区管控</w:t>
                  </w:r>
                </w:p>
                <w:p w14:paraId="7B56237D">
                  <w:pPr>
                    <w:keepNext w:val="0"/>
                    <w:keepLines w:val="0"/>
                    <w:pageBreakBefore w:val="0"/>
                    <w:kinsoku/>
                    <w:wordWrap w:val="0"/>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制度。</w:t>
                  </w:r>
                </w:p>
              </w:tc>
              <w:tc>
                <w:tcPr>
                  <w:tcW w:w="1214" w:type="pct"/>
                  <w:tcBorders>
                    <w:tl2br w:val="nil"/>
                    <w:tr2bl w:val="nil"/>
                  </w:tcBorders>
                  <w:noWrap w:val="0"/>
                  <w:vAlign w:val="center"/>
                </w:tcPr>
                <w:p w14:paraId="5F8A6BA8">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kern w:val="21"/>
                      <w:szCs w:val="21"/>
                      <w:lang w:val="en-US" w:eastAsia="zh-CN"/>
                    </w:rPr>
                  </w:pPr>
                  <w:r>
                    <w:rPr>
                      <w:rFonts w:hint="default" w:ascii="Times New Roman" w:hAnsi="Times New Roman" w:cs="Times New Roman"/>
                      <w:color w:val="auto"/>
                      <w:kern w:val="21"/>
                      <w:szCs w:val="21"/>
                      <w:lang w:val="en-US" w:eastAsia="zh-CN"/>
                    </w:rPr>
                    <w:t>项目符合“三线一单”生态环境分区管控中的相关要求。</w:t>
                  </w:r>
                </w:p>
              </w:tc>
              <w:tc>
                <w:tcPr>
                  <w:tcW w:w="533" w:type="pct"/>
                  <w:tcBorders>
                    <w:tl2br w:val="nil"/>
                    <w:tr2bl w:val="nil"/>
                  </w:tcBorders>
                  <w:noWrap w:val="0"/>
                  <w:vAlign w:val="center"/>
                </w:tcPr>
                <w:p w14:paraId="3421D19F">
                  <w:pPr>
                    <w:keepNext w:val="0"/>
                    <w:keepLines w:val="0"/>
                    <w:pageBreakBefore w:val="0"/>
                    <w:kinsoku/>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21"/>
                      <w:szCs w:val="21"/>
                      <w:lang w:val="en-US" w:eastAsia="zh-CN"/>
                    </w:rPr>
                    <w:t>符合</w:t>
                  </w:r>
                </w:p>
              </w:tc>
            </w:tr>
            <w:tr w14:paraId="17A204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013" w:hRule="atLeast"/>
                <w:jc w:val="center"/>
              </w:trPr>
              <w:tc>
                <w:tcPr>
                  <w:tcW w:w="805" w:type="pct"/>
                  <w:vMerge w:val="continue"/>
                  <w:tcBorders>
                    <w:tl2br w:val="nil"/>
                    <w:tr2bl w:val="nil"/>
                  </w:tcBorders>
                  <w:noWrap w:val="0"/>
                  <w:vAlign w:val="center"/>
                </w:tcPr>
                <w:p w14:paraId="46FE61F5">
                  <w:pPr>
                    <w:keepNext w:val="0"/>
                    <w:keepLines w:val="0"/>
                    <w:pageBreakBefore w:val="0"/>
                    <w:kinsoku/>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rPr>
                  </w:pPr>
                </w:p>
              </w:tc>
              <w:tc>
                <w:tcPr>
                  <w:tcW w:w="2446" w:type="pct"/>
                  <w:tcBorders>
                    <w:tl2br w:val="nil"/>
                    <w:tr2bl w:val="nil"/>
                  </w:tcBorders>
                  <w:noWrap w:val="0"/>
                  <w:vAlign w:val="center"/>
                </w:tcPr>
                <w:p w14:paraId="311C3686">
                  <w:pPr>
                    <w:keepNext w:val="0"/>
                    <w:keepLines w:val="0"/>
                    <w:pageBreakBefore w:val="0"/>
                    <w:kinsoku/>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新建项目不再采用单一低温等离子、光氧化、光催化等治理技术，非水溶性VOCs废气不再采用单一喷淋吸收方式处理。严格新改扩建涉气重点行业绩效评级限制条件，各区县、开发区范围内新改扩建涉气重点行业企业应达到环保绩效A级、绩效引领性水平，周至县、蓝田县应达到环保绩效B级及以上水平。督促指导企业落实重污染天气重点行业绩效分级技术指南要求。</w:t>
                  </w:r>
                </w:p>
              </w:tc>
              <w:tc>
                <w:tcPr>
                  <w:tcW w:w="1214" w:type="pct"/>
                  <w:tcBorders>
                    <w:tl2br w:val="nil"/>
                    <w:tr2bl w:val="nil"/>
                  </w:tcBorders>
                  <w:noWrap w:val="0"/>
                  <w:vAlign w:val="center"/>
                </w:tcPr>
                <w:p w14:paraId="7D6644D5">
                  <w:pPr>
                    <w:keepNext w:val="0"/>
                    <w:keepLines w:val="0"/>
                    <w:pageBreakBefore w:val="0"/>
                    <w:widowControl/>
                    <w:suppressLineNumbers w:val="0"/>
                    <w:kinsoku/>
                    <w:overflowPunct/>
                    <w:autoSpaceDE/>
                    <w:autoSpaceDN/>
                    <w:bidi w:val="0"/>
                    <w:spacing w:line="264" w:lineRule="auto"/>
                    <w:jc w:val="left"/>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本项目产生非甲烷总烃，使用</w:t>
                  </w:r>
                  <w:r>
                    <w:rPr>
                      <w:rFonts w:hint="eastAsia" w:ascii="Times New Roman" w:hAnsi="Times New Roman" w:eastAsia="宋体" w:cs="Times New Roman"/>
                      <w:color w:val="auto"/>
                      <w:kern w:val="0"/>
                      <w:sz w:val="21"/>
                      <w:szCs w:val="21"/>
                      <w:lang w:val="en-US" w:eastAsia="zh-CN" w:bidi="ar"/>
                    </w:rPr>
                    <w:t>二</w:t>
                  </w:r>
                  <w:r>
                    <w:rPr>
                      <w:rFonts w:hint="default" w:ascii="Times New Roman" w:hAnsi="Times New Roman" w:eastAsia="宋体" w:cs="Times New Roman"/>
                      <w:color w:val="auto"/>
                      <w:kern w:val="0"/>
                      <w:sz w:val="21"/>
                      <w:szCs w:val="21"/>
                      <w:lang w:val="en-US" w:eastAsia="zh-CN" w:bidi="ar"/>
                    </w:rPr>
                    <w:t>级活性炭吸附处理工艺对有机废气进行处理，不属于单一喷淋吸收处理方式；</w:t>
                  </w:r>
                </w:p>
                <w:p w14:paraId="0906C219">
                  <w:pPr>
                    <w:keepNext w:val="0"/>
                    <w:keepLines w:val="0"/>
                    <w:pageBreakBefore w:val="0"/>
                    <w:widowControl/>
                    <w:suppressLineNumbers w:val="0"/>
                    <w:kinsoku/>
                    <w:overflowPunct/>
                    <w:autoSpaceDE/>
                    <w:autoSpaceDN/>
                    <w:bidi w:val="0"/>
                    <w:spacing w:line="264" w:lineRule="auto"/>
                    <w:jc w:val="left"/>
                    <w:textAlignment w:val="auto"/>
                    <w:rPr>
                      <w:rFonts w:hint="default" w:ascii="Times New Roman" w:hAnsi="Times New Roman" w:cs="Times New Roman"/>
                      <w:color w:val="auto"/>
                      <w:kern w:val="21"/>
                      <w:szCs w:val="21"/>
                      <w:lang w:val="en-US" w:eastAsia="zh-CN"/>
                    </w:rPr>
                  </w:pPr>
                  <w:r>
                    <w:rPr>
                      <w:rFonts w:hint="default" w:ascii="Times New Roman" w:hAnsi="Times New Roman" w:cs="Times New Roman"/>
                      <w:color w:val="auto"/>
                      <w:kern w:val="21"/>
                      <w:szCs w:val="21"/>
                      <w:lang w:val="en-US" w:eastAsia="zh-CN"/>
                    </w:rPr>
                    <w:t>本项目不属于</w:t>
                  </w:r>
                  <w:r>
                    <w:rPr>
                      <w:rFonts w:hint="default" w:ascii="Times New Roman" w:hAnsi="Times New Roman" w:cs="Times New Roman"/>
                      <w:color w:val="auto"/>
                      <w:kern w:val="21"/>
                      <w:szCs w:val="21"/>
                    </w:rPr>
                    <w:t>《重污染天气重点行业应急减排措施制定技术指南（2020年修订版）》中的重点行业</w:t>
                  </w:r>
                  <w:r>
                    <w:rPr>
                      <w:rFonts w:hint="default" w:ascii="Times New Roman" w:hAnsi="Times New Roman" w:cs="Times New Roman"/>
                      <w:color w:val="auto"/>
                      <w:kern w:val="21"/>
                      <w:szCs w:val="21"/>
                      <w:lang w:val="en-US" w:eastAsia="zh-CN"/>
                    </w:rPr>
                    <w:t>。</w:t>
                  </w:r>
                </w:p>
              </w:tc>
              <w:tc>
                <w:tcPr>
                  <w:tcW w:w="533" w:type="pct"/>
                  <w:tcBorders>
                    <w:tl2br w:val="nil"/>
                    <w:tr2bl w:val="nil"/>
                  </w:tcBorders>
                  <w:noWrap w:val="0"/>
                  <w:vAlign w:val="center"/>
                </w:tcPr>
                <w:p w14:paraId="377EA7B3">
                  <w:pPr>
                    <w:keepNext w:val="0"/>
                    <w:keepLines w:val="0"/>
                    <w:pageBreakBefore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kern w:val="21"/>
                      <w:szCs w:val="21"/>
                      <w:lang w:val="en-US" w:eastAsia="zh-CN"/>
                    </w:rPr>
                    <w:t>符合</w:t>
                  </w:r>
                </w:p>
              </w:tc>
            </w:tr>
            <w:tr w14:paraId="0E08FD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37" w:hRule="atLeast"/>
                <w:jc w:val="center"/>
              </w:trPr>
              <w:tc>
                <w:tcPr>
                  <w:tcW w:w="805" w:type="pct"/>
                  <w:tcBorders>
                    <w:tl2br w:val="nil"/>
                    <w:tr2bl w:val="nil"/>
                  </w:tcBorders>
                  <w:noWrap w:val="0"/>
                  <w:vAlign w:val="center"/>
                </w:tcPr>
                <w:p w14:paraId="3DCD4062">
                  <w:pPr>
                    <w:keepNext w:val="0"/>
                    <w:keepLines w:val="0"/>
                    <w:pageBreakBefore w:val="0"/>
                    <w:kinsoku/>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《西安市人民政府办公厅关于印发大气污染治理专项行动2024年工作方案的通知》（市政办函〔2024〕25号）</w:t>
                  </w:r>
                </w:p>
              </w:tc>
              <w:tc>
                <w:tcPr>
                  <w:tcW w:w="2446" w:type="pct"/>
                  <w:tcBorders>
                    <w:tl2br w:val="nil"/>
                    <w:tr2bl w:val="nil"/>
                  </w:tcBorders>
                  <w:noWrap w:val="0"/>
                  <w:vAlign w:val="center"/>
                </w:tcPr>
                <w:p w14:paraId="62B96646">
                  <w:pPr>
                    <w:keepNext w:val="0"/>
                    <w:keepLines w:val="0"/>
                    <w:pageBreakBefore w:val="0"/>
                    <w:widowControl/>
                    <w:suppressLineNumbers w:val="0"/>
                    <w:kinsoku/>
                    <w:overflowPunct/>
                    <w:autoSpaceDE/>
                    <w:autoSpaceDN/>
                    <w:bidi w:val="0"/>
                    <w:spacing w:line="264" w:lineRule="auto"/>
                    <w:jc w:val="left"/>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
                    </w:rPr>
                    <w:t>强化涉活性炭VOCs处理工艺治理。深入开展简易低效挥发性有机物治理设施清理整治，组织开展涉活性炭挥发性有机物处理工艺专项整治行动，推广先进VOCs治理工艺，全面提升VOCs治理水平。</w:t>
                  </w:r>
                </w:p>
              </w:tc>
              <w:tc>
                <w:tcPr>
                  <w:tcW w:w="1214" w:type="pct"/>
                  <w:tcBorders>
                    <w:tl2br w:val="nil"/>
                    <w:tr2bl w:val="nil"/>
                  </w:tcBorders>
                  <w:noWrap w:val="0"/>
                  <w:vAlign w:val="center"/>
                </w:tcPr>
                <w:p w14:paraId="0BD7A367">
                  <w:pPr>
                    <w:keepNext w:val="0"/>
                    <w:keepLines w:val="0"/>
                    <w:pageBreakBefore w:val="0"/>
                    <w:widowControl/>
                    <w:suppressLineNumbers w:val="0"/>
                    <w:kinsoku/>
                    <w:overflowPunct/>
                    <w:autoSpaceDE/>
                    <w:autoSpaceDN/>
                    <w:bidi w:val="0"/>
                    <w:spacing w:line="264" w:lineRule="auto"/>
                    <w:jc w:val="left"/>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项目产生非甲烷总烃，使用</w:t>
                  </w:r>
                  <w:r>
                    <w:rPr>
                      <w:rFonts w:hint="eastAsia" w:ascii="Times New Roman" w:hAnsi="Times New Roman" w:eastAsia="宋体" w:cs="Times New Roman"/>
                      <w:color w:val="auto"/>
                      <w:kern w:val="0"/>
                      <w:sz w:val="21"/>
                      <w:szCs w:val="21"/>
                      <w:lang w:val="en-US" w:eastAsia="zh-CN" w:bidi="ar"/>
                    </w:rPr>
                    <w:t>二</w:t>
                  </w:r>
                  <w:r>
                    <w:rPr>
                      <w:rFonts w:hint="default" w:ascii="Times New Roman" w:hAnsi="Times New Roman" w:eastAsia="宋体" w:cs="Times New Roman"/>
                      <w:color w:val="auto"/>
                      <w:kern w:val="0"/>
                      <w:sz w:val="21"/>
                      <w:szCs w:val="21"/>
                      <w:lang w:val="en-US" w:eastAsia="zh-CN" w:bidi="ar"/>
                    </w:rPr>
                    <w:t>级活性炭吸附处理工艺对有机废气进行处理，有机废气达标排放。</w:t>
                  </w:r>
                </w:p>
              </w:tc>
              <w:tc>
                <w:tcPr>
                  <w:tcW w:w="533" w:type="pct"/>
                  <w:tcBorders>
                    <w:tl2br w:val="nil"/>
                    <w:tr2bl w:val="nil"/>
                  </w:tcBorders>
                  <w:noWrap w:val="0"/>
                  <w:vAlign w:val="center"/>
                </w:tcPr>
                <w:p w14:paraId="3DD5FCE2">
                  <w:pPr>
                    <w:keepNext w:val="0"/>
                    <w:keepLines w:val="0"/>
                    <w:pageBreakBefore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21"/>
                      <w:szCs w:val="21"/>
                      <w:lang w:val="en-US" w:eastAsia="zh-CN"/>
                    </w:rPr>
                    <w:t>符合</w:t>
                  </w:r>
                </w:p>
              </w:tc>
            </w:tr>
            <w:tr w14:paraId="4C98D4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62" w:hRule="atLeast"/>
                <w:jc w:val="center"/>
              </w:trPr>
              <w:tc>
                <w:tcPr>
                  <w:tcW w:w="805" w:type="pct"/>
                  <w:tcBorders>
                    <w:tl2br w:val="nil"/>
                    <w:tr2bl w:val="nil"/>
                  </w:tcBorders>
                  <w:noWrap w:val="0"/>
                  <w:vAlign w:val="center"/>
                </w:tcPr>
                <w:p w14:paraId="243E17CA">
                  <w:pPr>
                    <w:keepNext w:val="0"/>
                    <w:keepLines w:val="0"/>
                    <w:pageBreakBefore w:val="0"/>
                    <w:widowControl/>
                    <w:suppressLineNumbers w:val="0"/>
                    <w:kinsoku/>
                    <w:wordWrap/>
                    <w:overflowPunct/>
                    <w:topLinePunct w:val="0"/>
                    <w:autoSpaceDE/>
                    <w:autoSpaceDN/>
                    <w:bidi w:val="0"/>
                    <w:adjustRightInd/>
                    <w:snapToGrid/>
                    <w:spacing w:line="264"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西安市人民政府办公厅《关于印发推进实现“十四五”空气质量目标暨大气污染治理专项行动2025年工作方案的通知》（市政办函〔2025〕12号）</w:t>
                  </w:r>
                </w:p>
              </w:tc>
              <w:tc>
                <w:tcPr>
                  <w:tcW w:w="2446" w:type="pct"/>
                  <w:tcBorders>
                    <w:tl2br w:val="nil"/>
                    <w:tr2bl w:val="nil"/>
                  </w:tcBorders>
                  <w:noWrap w:val="0"/>
                  <w:vAlign w:val="center"/>
                </w:tcPr>
                <w:p w14:paraId="3E898A9C">
                  <w:pPr>
                    <w:keepNext w:val="0"/>
                    <w:keepLines w:val="0"/>
                    <w:pageBreakBefore w:val="0"/>
                    <w:kinsoku/>
                    <w:overflowPunct/>
                    <w:topLinePunct w:val="0"/>
                    <w:autoSpaceDE/>
                    <w:autoSpaceDN/>
                    <w:bidi w:val="0"/>
                    <w:adjustRightInd w:val="0"/>
                    <w:snapToGrid w:val="0"/>
                    <w:spacing w:line="264" w:lineRule="auto"/>
                    <w:ind w:firstLine="0" w:firstLineChars="0"/>
                    <w:jc w:val="left"/>
                    <w:textAlignment w:val="auto"/>
                    <w:rPr>
                      <w:rFonts w:hint="default" w:ascii="Times New Roman" w:hAnsi="Times New Roman" w:eastAsia="宋体" w:cs="Times New Roman"/>
                      <w:color w:val="auto"/>
                      <w:kern w:val="21"/>
                      <w:sz w:val="21"/>
                      <w:szCs w:val="21"/>
                      <w:lang w:val="en-US" w:eastAsia="zh-CN"/>
                    </w:rPr>
                  </w:pPr>
                  <w:r>
                    <w:rPr>
                      <w:rFonts w:hint="default" w:ascii="Times New Roman" w:hAnsi="Times New Roman" w:eastAsia="宋体" w:cs="Times New Roman"/>
                      <w:color w:val="auto"/>
                      <w:kern w:val="21"/>
                      <w:sz w:val="21"/>
                      <w:szCs w:val="21"/>
                      <w:lang w:val="en-US" w:eastAsia="zh-CN"/>
                    </w:rPr>
                    <w:t>优化含VOCs原辅材料和产品结构</w:t>
                  </w:r>
                </w:p>
                <w:p w14:paraId="74540DE6">
                  <w:pPr>
                    <w:keepNext w:val="0"/>
                    <w:keepLines w:val="0"/>
                    <w:pageBreakBefore w:val="0"/>
                    <w:kinsoku/>
                    <w:overflowPunct/>
                    <w:topLinePunct w:val="0"/>
                    <w:autoSpaceDE/>
                    <w:autoSpaceDN/>
                    <w:bidi w:val="0"/>
                    <w:adjustRightInd w:val="0"/>
                    <w:snapToGrid w:val="0"/>
                    <w:spacing w:line="264" w:lineRule="auto"/>
                    <w:ind w:firstLine="0" w:firstLineChars="0"/>
                    <w:jc w:val="left"/>
                    <w:textAlignment w:val="auto"/>
                    <w:rPr>
                      <w:rFonts w:hint="default" w:ascii="Times New Roman" w:hAnsi="Times New Roman" w:eastAsia="宋体" w:cs="Times New Roman"/>
                      <w:color w:val="auto"/>
                      <w:kern w:val="21"/>
                      <w:sz w:val="21"/>
                      <w:szCs w:val="21"/>
                      <w:lang w:val="en-US" w:eastAsia="zh-CN"/>
                    </w:rPr>
                  </w:pPr>
                  <w:r>
                    <w:rPr>
                      <w:rFonts w:hint="default" w:ascii="Times New Roman" w:hAnsi="Times New Roman" w:eastAsia="宋体" w:cs="Times New Roman"/>
                      <w:color w:val="auto"/>
                      <w:kern w:val="21"/>
                      <w:sz w:val="21"/>
                      <w:szCs w:val="21"/>
                      <w:lang w:val="en-US" w:eastAsia="zh-CN"/>
                    </w:rPr>
                    <w:t>：严格控制生产和使用高VOCs含量的涂料、油墨、胶黏剂、清洗剂等建设项目。坚持应替尽替原则，在工业企业、汽修、市政工程等方面集中开展低挥发性原辅材料源头替代工作，强化源头治理，减少挥发性有机物排放。</w:t>
                  </w:r>
                </w:p>
                <w:p w14:paraId="5DDE052F">
                  <w:pPr>
                    <w:keepNext w:val="0"/>
                    <w:keepLines w:val="0"/>
                    <w:pageBreakBefore w:val="0"/>
                    <w:kinsoku/>
                    <w:wordWrap/>
                    <w:overflowPunct/>
                    <w:topLinePunct w:val="0"/>
                    <w:autoSpaceDE/>
                    <w:autoSpaceDN/>
                    <w:bidi w:val="0"/>
                    <w:adjustRightInd/>
                    <w:snapToGrid/>
                    <w:spacing w:line="264" w:lineRule="auto"/>
                    <w:ind w:left="0" w:leftChars="0" w:right="0" w:rightChars="0" w:firstLine="0" w:firstLineChars="0"/>
                    <w:jc w:val="left"/>
                    <w:textAlignment w:val="auto"/>
                    <w:rPr>
                      <w:rFonts w:hint="default" w:ascii="Times New Roman" w:hAnsi="Times New Roman" w:eastAsia="宋体" w:cs="Times New Roman"/>
                      <w:color w:val="auto"/>
                      <w:kern w:val="0"/>
                      <w:sz w:val="21"/>
                      <w:szCs w:val="21"/>
                      <w:lang w:val="en-US" w:eastAsia="zh-CN" w:bidi="ar-SA"/>
                    </w:rPr>
                  </w:pPr>
                </w:p>
              </w:tc>
              <w:tc>
                <w:tcPr>
                  <w:tcW w:w="1214" w:type="pct"/>
                  <w:tcBorders>
                    <w:tl2br w:val="nil"/>
                    <w:tr2bl w:val="nil"/>
                  </w:tcBorders>
                  <w:noWrap w:val="0"/>
                  <w:vAlign w:val="center"/>
                </w:tcPr>
                <w:p w14:paraId="4C167295">
                  <w:pPr>
                    <w:keepNext w:val="0"/>
                    <w:keepLines w:val="0"/>
                    <w:pageBreakBefore w:val="0"/>
                    <w:widowControl/>
                    <w:suppressLineNumbers w:val="0"/>
                    <w:kinsoku/>
                    <w:overflowPunct/>
                    <w:autoSpaceDE/>
                    <w:autoSpaceDN/>
                    <w:bidi w:val="0"/>
                    <w:spacing w:line="264" w:lineRule="auto"/>
                    <w:jc w:val="left"/>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项目涉及</w:t>
                  </w:r>
                  <w:r>
                    <w:rPr>
                      <w:rFonts w:hint="default" w:ascii="Times New Roman" w:hAnsi="Times New Roman" w:eastAsia="宋体" w:cs="Times New Roman"/>
                      <w:color w:val="auto"/>
                      <w:kern w:val="21"/>
                      <w:sz w:val="21"/>
                      <w:szCs w:val="21"/>
                      <w:lang w:val="en-US" w:eastAsia="zh-CN"/>
                    </w:rPr>
                    <w:t>VOCs</w:t>
                  </w:r>
                  <w:r>
                    <w:rPr>
                      <w:rFonts w:hint="default" w:ascii="Times New Roman" w:hAnsi="Times New Roman" w:eastAsia="宋体" w:cs="Times New Roman"/>
                      <w:color w:val="auto"/>
                      <w:kern w:val="0"/>
                      <w:sz w:val="21"/>
                      <w:szCs w:val="21"/>
                      <w:lang w:val="en-US" w:eastAsia="zh-CN" w:bidi="ar"/>
                    </w:rPr>
                    <w:t>原料主要为</w:t>
                  </w:r>
                  <w:r>
                    <w:rPr>
                      <w:rFonts w:hint="eastAsia" w:ascii="Times New Roman" w:hAnsi="Times New Roman" w:eastAsia="宋体" w:cs="Times New Roman"/>
                      <w:color w:val="auto"/>
                      <w:kern w:val="0"/>
                      <w:sz w:val="21"/>
                      <w:szCs w:val="21"/>
                      <w:lang w:val="en-US" w:eastAsia="zh-CN" w:bidi="ar"/>
                    </w:rPr>
                    <w:t>催化剂溶剂</w:t>
                  </w:r>
                  <w:r>
                    <w:rPr>
                      <w:rFonts w:hint="default" w:ascii="Times New Roman" w:hAnsi="Times New Roman" w:eastAsia="宋体" w:cs="Times New Roman"/>
                      <w:color w:val="auto"/>
                      <w:kern w:val="0"/>
                      <w:sz w:val="21"/>
                      <w:szCs w:val="21"/>
                      <w:lang w:val="en-US" w:eastAsia="zh-CN" w:bidi="ar"/>
                    </w:rPr>
                    <w:t>等，均为符合产品质量标准的原料；</w:t>
                  </w:r>
                  <w:r>
                    <w:rPr>
                      <w:rFonts w:hint="default" w:ascii="Times New Roman" w:hAnsi="Times New Roman" w:eastAsia="宋体" w:cs="Times New Roman"/>
                      <w:color w:val="auto"/>
                      <w:sz w:val="21"/>
                      <w:szCs w:val="21"/>
                      <w:lang w:eastAsia="zh-CN"/>
                    </w:rPr>
                    <w:t>项目</w:t>
                  </w:r>
                  <w:r>
                    <w:rPr>
                      <w:rFonts w:hint="eastAsia" w:ascii="Times New Roman" w:hAnsi="Times New Roman" w:eastAsia="宋体" w:cs="Times New Roman"/>
                      <w:color w:val="auto"/>
                      <w:kern w:val="2"/>
                      <w:sz w:val="21"/>
                      <w:szCs w:val="21"/>
                      <w:lang w:val="en-US" w:eastAsia="zh-CN" w:bidi="ar-SA"/>
                    </w:rPr>
                    <w:t>生产</w:t>
                  </w:r>
                  <w:r>
                    <w:rPr>
                      <w:rFonts w:hint="default" w:ascii="Times New Roman" w:hAnsi="Times New Roman" w:eastAsia="宋体" w:cs="Times New Roman"/>
                      <w:color w:val="auto"/>
                      <w:kern w:val="2"/>
                      <w:sz w:val="21"/>
                      <w:szCs w:val="21"/>
                      <w:lang w:val="en-US" w:eastAsia="zh-CN" w:bidi="ar-SA"/>
                    </w:rPr>
                    <w:t>废气经</w:t>
                  </w:r>
                  <w:r>
                    <w:rPr>
                      <w:rFonts w:hint="eastAsia"/>
                      <w:color w:val="auto"/>
                      <w:szCs w:val="21"/>
                    </w:rPr>
                    <w:t>通风橱</w:t>
                  </w:r>
                  <w:r>
                    <w:rPr>
                      <w:rFonts w:hint="eastAsia"/>
                      <w:color w:val="auto"/>
                      <w:szCs w:val="21"/>
                      <w:lang w:val="en-US" w:eastAsia="zh-CN"/>
                    </w:rPr>
                    <w:t>/密闭式管道</w:t>
                  </w:r>
                  <w:r>
                    <w:rPr>
                      <w:rFonts w:hint="eastAsia"/>
                      <w:color w:val="auto"/>
                      <w:szCs w:val="21"/>
                    </w:rPr>
                    <w:t>+二级活性炭吸附</w:t>
                  </w:r>
                  <w:r>
                    <w:rPr>
                      <w:color w:val="auto"/>
                      <w:szCs w:val="21"/>
                    </w:rPr>
                    <w:t>+</w:t>
                  </w:r>
                  <w:r>
                    <w:rPr>
                      <w:rFonts w:hint="eastAsia"/>
                      <w:color w:val="auto"/>
                      <w:szCs w:val="21"/>
                      <w:lang w:val="en-US" w:eastAsia="zh-CN"/>
                    </w:rPr>
                    <w:t>17m</w:t>
                  </w:r>
                  <w:r>
                    <w:rPr>
                      <w:color w:val="auto"/>
                      <w:szCs w:val="21"/>
                    </w:rPr>
                    <w:t>排气筒</w:t>
                  </w:r>
                  <w:r>
                    <w:rPr>
                      <w:rFonts w:hint="eastAsia"/>
                      <w:color w:val="auto"/>
                    </w:rPr>
                    <w:t>（DA001）</w:t>
                  </w:r>
                  <w:r>
                    <w:rPr>
                      <w:rFonts w:hint="default" w:ascii="Times New Roman" w:hAnsi="Times New Roman" w:eastAsia="宋体" w:cs="Times New Roman"/>
                      <w:color w:val="auto"/>
                      <w:kern w:val="2"/>
                      <w:sz w:val="21"/>
                      <w:szCs w:val="21"/>
                      <w:lang w:val="en-US" w:eastAsia="zh-CN" w:bidi="ar-SA"/>
                    </w:rPr>
                    <w:t>处理后排放。</w:t>
                  </w:r>
                </w:p>
              </w:tc>
              <w:tc>
                <w:tcPr>
                  <w:tcW w:w="533" w:type="pct"/>
                  <w:tcBorders>
                    <w:tl2br w:val="nil"/>
                    <w:tr2bl w:val="nil"/>
                  </w:tcBorders>
                  <w:noWrap w:val="0"/>
                  <w:vAlign w:val="center"/>
                </w:tcPr>
                <w:p w14:paraId="495C332D">
                  <w:pPr>
                    <w:keepNext w:val="0"/>
                    <w:keepLines w:val="0"/>
                    <w:pageBreakBefore w:val="0"/>
                    <w:kinsoku/>
                    <w:wordWrap/>
                    <w:overflowPunct/>
                    <w:topLinePunct w:val="0"/>
                    <w:autoSpaceDE/>
                    <w:autoSpaceDN/>
                    <w:bidi w:val="0"/>
                    <w:adjustRightInd/>
                    <w:snapToGrid/>
                    <w:spacing w:line="264"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符合</w:t>
                  </w:r>
                </w:p>
              </w:tc>
            </w:tr>
            <w:tr w14:paraId="53586F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62" w:hRule="atLeast"/>
                <w:jc w:val="center"/>
              </w:trPr>
              <w:tc>
                <w:tcPr>
                  <w:tcW w:w="805" w:type="pct"/>
                  <w:tcBorders>
                    <w:tl2br w:val="nil"/>
                    <w:tr2bl w:val="nil"/>
                  </w:tcBorders>
                  <w:noWrap w:val="0"/>
                  <w:vAlign w:val="center"/>
                </w:tcPr>
                <w:p w14:paraId="730D527E">
                  <w:pPr>
                    <w:keepNext w:val="0"/>
                    <w:keepLines w:val="0"/>
                    <w:pageBreakBefore w:val="0"/>
                    <w:kinsoku/>
                    <w:overflowPunct/>
                    <w:topLinePunct w:val="0"/>
                    <w:autoSpaceDE/>
                    <w:autoSpaceDN/>
                    <w:bidi w:val="0"/>
                    <w:adjustRightInd w:val="0"/>
                    <w:snapToGrid w:val="0"/>
                    <w:spacing w:line="264"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21"/>
                      <w:sz w:val="21"/>
                      <w:szCs w:val="21"/>
                      <w:lang w:val="en-US" w:eastAsia="zh-CN"/>
                    </w:rPr>
                    <w:t>《西咸新区“十四五”生态环境保护规划》</w:t>
                  </w:r>
                </w:p>
              </w:tc>
              <w:tc>
                <w:tcPr>
                  <w:tcW w:w="2446" w:type="pct"/>
                  <w:tcBorders>
                    <w:tl2br w:val="nil"/>
                    <w:tr2bl w:val="nil"/>
                  </w:tcBorders>
                  <w:noWrap w:val="0"/>
                  <w:vAlign w:val="center"/>
                </w:tcPr>
                <w:p w14:paraId="1AE34CB0">
                  <w:pPr>
                    <w:keepNext w:val="0"/>
                    <w:keepLines w:val="0"/>
                    <w:pageBreakBefore w:val="0"/>
                    <w:kinsoku/>
                    <w:overflowPunct/>
                    <w:topLinePunct w:val="0"/>
                    <w:autoSpaceDE/>
                    <w:autoSpaceDN/>
                    <w:bidi w:val="0"/>
                    <w:adjustRightInd w:val="0"/>
                    <w:snapToGrid w:val="0"/>
                    <w:spacing w:line="264" w:lineRule="auto"/>
                    <w:ind w:firstLine="0" w:firstLineChars="0"/>
                    <w:jc w:val="left"/>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21"/>
                      <w:sz w:val="21"/>
                      <w:szCs w:val="21"/>
                      <w:lang w:val="en-US" w:eastAsia="zh-CN"/>
                    </w:rPr>
                    <w:t>实施重点领域VOCs综合治理。建立石化、化工、工业涂装、包装印刷等重点行业及工业园区的源头替代、过程控制和末端治理全过程治理体系，实施VOCs排放总量控制。</w:t>
                  </w:r>
                </w:p>
              </w:tc>
              <w:tc>
                <w:tcPr>
                  <w:tcW w:w="1214" w:type="pct"/>
                  <w:tcBorders>
                    <w:tl2br w:val="nil"/>
                    <w:tr2bl w:val="nil"/>
                  </w:tcBorders>
                  <w:noWrap w:val="0"/>
                  <w:vAlign w:val="center"/>
                </w:tcPr>
                <w:p w14:paraId="7C7124FC">
                  <w:pPr>
                    <w:keepNext w:val="0"/>
                    <w:keepLines w:val="0"/>
                    <w:pageBreakBefore w:val="0"/>
                    <w:kinsoku/>
                    <w:overflowPunct/>
                    <w:topLinePunct w:val="0"/>
                    <w:autoSpaceDE/>
                    <w:autoSpaceDN/>
                    <w:bidi w:val="0"/>
                    <w:adjustRightInd w:val="0"/>
                    <w:snapToGrid w:val="0"/>
                    <w:spacing w:line="264" w:lineRule="auto"/>
                    <w:ind w:firstLine="0" w:firstLineChars="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Cs w:val="21"/>
                    </w:rPr>
                    <w:t>本项目为</w:t>
                  </w:r>
                  <w:r>
                    <w:rPr>
                      <w:rFonts w:hint="default" w:ascii="Times New Roman" w:hAnsi="Times New Roman" w:eastAsia="宋体" w:cs="Times New Roman"/>
                      <w:color w:val="auto"/>
                      <w:kern w:val="0"/>
                      <w:szCs w:val="21"/>
                      <w:lang w:val="en-US" w:eastAsia="zh-CN"/>
                    </w:rPr>
                    <w:t>高效氢燃料电池膜电极产业化项目</w:t>
                  </w:r>
                  <w:r>
                    <w:rPr>
                      <w:rFonts w:hint="eastAsia" w:ascii="Times New Roman" w:hAnsi="Times New Roman" w:eastAsia="宋体" w:cs="Times New Roman"/>
                      <w:color w:val="auto"/>
                      <w:kern w:val="0"/>
                      <w:szCs w:val="21"/>
                      <w:lang w:val="en-US" w:eastAsia="zh-CN"/>
                    </w:rPr>
                    <w:t>，不属于</w:t>
                  </w:r>
                  <w:r>
                    <w:rPr>
                      <w:rFonts w:hint="default" w:ascii="Times New Roman" w:hAnsi="Times New Roman" w:eastAsia="宋体" w:cs="Times New Roman"/>
                      <w:color w:val="auto"/>
                      <w:kern w:val="21"/>
                      <w:sz w:val="21"/>
                      <w:szCs w:val="21"/>
                      <w:lang w:val="en-US" w:eastAsia="zh-CN"/>
                    </w:rPr>
                    <w:t>石化、化工、工业涂装、包装印刷等重点行业</w:t>
                  </w:r>
                  <w:r>
                    <w:rPr>
                      <w:rFonts w:hint="eastAsia" w:ascii="Times New Roman" w:hAnsi="Times New Roman" w:eastAsia="宋体" w:cs="Times New Roman"/>
                      <w:color w:val="auto"/>
                      <w:kern w:val="21"/>
                      <w:sz w:val="21"/>
                      <w:szCs w:val="21"/>
                      <w:lang w:val="en-US" w:eastAsia="zh-CN"/>
                    </w:rPr>
                    <w:t>。</w:t>
                  </w:r>
                  <w:r>
                    <w:rPr>
                      <w:rFonts w:hint="default" w:ascii="Times New Roman" w:hAnsi="Times New Roman" w:eastAsia="宋体" w:cs="Times New Roman"/>
                      <w:color w:val="auto"/>
                      <w:sz w:val="21"/>
                      <w:szCs w:val="21"/>
                      <w:lang w:eastAsia="zh-CN"/>
                    </w:rPr>
                    <w:t>项目</w:t>
                  </w:r>
                  <w:r>
                    <w:rPr>
                      <w:rFonts w:hint="eastAsia" w:ascii="Times New Roman" w:hAnsi="Times New Roman" w:eastAsia="宋体" w:cs="Times New Roman"/>
                      <w:color w:val="auto"/>
                      <w:kern w:val="2"/>
                      <w:sz w:val="21"/>
                      <w:szCs w:val="21"/>
                      <w:lang w:val="en-US" w:eastAsia="zh-CN" w:bidi="ar-SA"/>
                    </w:rPr>
                    <w:t>生产</w:t>
                  </w:r>
                  <w:r>
                    <w:rPr>
                      <w:rFonts w:hint="default" w:ascii="Times New Roman" w:hAnsi="Times New Roman" w:eastAsia="宋体" w:cs="Times New Roman"/>
                      <w:color w:val="auto"/>
                      <w:kern w:val="2"/>
                      <w:sz w:val="21"/>
                      <w:szCs w:val="21"/>
                      <w:lang w:val="en-US" w:eastAsia="zh-CN" w:bidi="ar-SA"/>
                    </w:rPr>
                    <w:t>废气经</w:t>
                  </w:r>
                  <w:r>
                    <w:rPr>
                      <w:rFonts w:hint="eastAsia"/>
                      <w:color w:val="auto"/>
                      <w:szCs w:val="21"/>
                    </w:rPr>
                    <w:t>通风橱</w:t>
                  </w:r>
                  <w:r>
                    <w:rPr>
                      <w:rFonts w:hint="eastAsia"/>
                      <w:color w:val="auto"/>
                      <w:szCs w:val="21"/>
                      <w:lang w:val="en-US" w:eastAsia="zh-CN"/>
                    </w:rPr>
                    <w:t>/密闭式管道</w:t>
                  </w:r>
                  <w:r>
                    <w:rPr>
                      <w:rFonts w:hint="eastAsia"/>
                      <w:color w:val="auto"/>
                      <w:szCs w:val="21"/>
                    </w:rPr>
                    <w:t>+二级活性炭吸附</w:t>
                  </w:r>
                  <w:r>
                    <w:rPr>
                      <w:color w:val="auto"/>
                      <w:szCs w:val="21"/>
                    </w:rPr>
                    <w:t>+</w:t>
                  </w:r>
                  <w:r>
                    <w:rPr>
                      <w:rFonts w:hint="eastAsia"/>
                      <w:color w:val="auto"/>
                      <w:szCs w:val="21"/>
                      <w:lang w:val="en-US" w:eastAsia="zh-CN"/>
                    </w:rPr>
                    <w:t>17m</w:t>
                  </w:r>
                  <w:r>
                    <w:rPr>
                      <w:color w:val="auto"/>
                      <w:szCs w:val="21"/>
                    </w:rPr>
                    <w:t>排气筒</w:t>
                  </w:r>
                  <w:r>
                    <w:rPr>
                      <w:rFonts w:hint="eastAsia"/>
                      <w:color w:val="auto"/>
                    </w:rPr>
                    <w:t>（DA001）</w:t>
                  </w:r>
                  <w:r>
                    <w:rPr>
                      <w:rFonts w:hint="default" w:ascii="Times New Roman" w:hAnsi="Times New Roman" w:eastAsia="宋体" w:cs="Times New Roman"/>
                      <w:color w:val="auto"/>
                      <w:kern w:val="2"/>
                      <w:sz w:val="21"/>
                      <w:szCs w:val="21"/>
                      <w:lang w:val="en-US" w:eastAsia="zh-CN" w:bidi="ar-SA"/>
                    </w:rPr>
                    <w:t>处理后排放。</w:t>
                  </w:r>
                </w:p>
              </w:tc>
              <w:tc>
                <w:tcPr>
                  <w:tcW w:w="533" w:type="pct"/>
                  <w:tcBorders>
                    <w:tl2br w:val="nil"/>
                    <w:tr2bl w:val="nil"/>
                  </w:tcBorders>
                  <w:noWrap w:val="0"/>
                  <w:vAlign w:val="center"/>
                </w:tcPr>
                <w:p w14:paraId="415A4BFE">
                  <w:pPr>
                    <w:keepNext w:val="0"/>
                    <w:keepLines w:val="0"/>
                    <w:pageBreakBefore w:val="0"/>
                    <w:kinsoku/>
                    <w:wordWrap/>
                    <w:overflowPunct/>
                    <w:topLinePunct w:val="0"/>
                    <w:autoSpaceDE/>
                    <w:autoSpaceDN/>
                    <w:bidi w:val="0"/>
                    <w:adjustRightInd/>
                    <w:snapToGrid/>
                    <w:spacing w:line="264"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符合</w:t>
                  </w:r>
                </w:p>
              </w:tc>
            </w:tr>
            <w:tr w14:paraId="6871D0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62" w:hRule="atLeast"/>
                <w:jc w:val="center"/>
              </w:trPr>
              <w:tc>
                <w:tcPr>
                  <w:tcW w:w="805" w:type="pct"/>
                  <w:tcBorders>
                    <w:tl2br w:val="nil"/>
                    <w:tr2bl w:val="nil"/>
                  </w:tcBorders>
                  <w:noWrap w:val="0"/>
                  <w:vAlign w:val="center"/>
                </w:tcPr>
                <w:p w14:paraId="5A8DD2BD">
                  <w:pPr>
                    <w:keepNext w:val="0"/>
                    <w:keepLines w:val="0"/>
                    <w:pageBreakBefore w:val="0"/>
                    <w:kinsoku/>
                    <w:overflowPunct/>
                    <w:topLinePunct w:val="0"/>
                    <w:autoSpaceDE/>
                    <w:autoSpaceDN/>
                    <w:bidi w:val="0"/>
                    <w:adjustRightInd w:val="0"/>
                    <w:snapToGrid w:val="0"/>
                    <w:spacing w:line="264" w:lineRule="auto"/>
                    <w:ind w:firstLine="0" w:firstLineChars="0"/>
                    <w:jc w:val="center"/>
                    <w:textAlignment w:val="auto"/>
                    <w:rPr>
                      <w:rFonts w:hint="default" w:ascii="Times New Roman" w:hAnsi="Times New Roman" w:eastAsia="宋体" w:cs="Times New Roman"/>
                      <w:color w:val="auto"/>
                      <w:kern w:val="21"/>
                      <w:sz w:val="21"/>
                      <w:szCs w:val="21"/>
                      <w:lang w:val="en-US" w:eastAsia="zh-CN"/>
                    </w:rPr>
                  </w:pPr>
                  <w:r>
                    <w:rPr>
                      <w:rFonts w:hint="eastAsia" w:cs="Times New Roman"/>
                      <w:color w:val="auto"/>
                      <w:kern w:val="21"/>
                      <w:sz w:val="21"/>
                      <w:szCs w:val="21"/>
                      <w:lang w:val="en-US" w:eastAsia="zh-CN"/>
                    </w:rPr>
                    <w:t>《西安市大气污染防治条例》</w:t>
                  </w:r>
                </w:p>
              </w:tc>
              <w:tc>
                <w:tcPr>
                  <w:tcW w:w="2446" w:type="pct"/>
                  <w:tcBorders>
                    <w:tl2br w:val="nil"/>
                    <w:tr2bl w:val="nil"/>
                  </w:tcBorders>
                  <w:shd w:val="clear" w:color="auto" w:fill="auto"/>
                  <w:noWrap w:val="0"/>
                  <w:vAlign w:val="center"/>
                </w:tcPr>
                <w:p w14:paraId="647105F3">
                  <w:pPr>
                    <w:autoSpaceDE w:val="0"/>
                    <w:autoSpaceDN w:val="0"/>
                    <w:adjustRightInd w:val="0"/>
                    <w:snapToGrid w:val="0"/>
                    <w:rPr>
                      <w:rFonts w:hint="default" w:ascii="Times New Roman" w:hAnsi="Times New Roman" w:eastAsia="宋体" w:cs="Times New Roman"/>
                      <w:color w:val="auto"/>
                      <w:kern w:val="2"/>
                      <w:sz w:val="21"/>
                      <w:szCs w:val="21"/>
                      <w:lang w:val="en-US" w:eastAsia="zh-CN" w:bidi="ar-SA"/>
                    </w:rPr>
                  </w:pPr>
                  <w:r>
                    <w:rPr>
                      <w:rFonts w:hint="eastAsia"/>
                      <w:color w:val="auto"/>
                      <w:szCs w:val="21"/>
                    </w:rPr>
                    <w:t>产生含挥发性有机物废气的生产和服务活动，应当在密闭空间或者设备中进行，并按照规定安装、使用污染防治设施；无法密闭的，应当采取有效措施减少废气排放。</w:t>
                  </w:r>
                </w:p>
              </w:tc>
              <w:tc>
                <w:tcPr>
                  <w:tcW w:w="1214" w:type="pct"/>
                  <w:tcBorders>
                    <w:tl2br w:val="nil"/>
                    <w:tr2bl w:val="nil"/>
                  </w:tcBorders>
                  <w:shd w:val="clear" w:color="auto" w:fill="auto"/>
                  <w:noWrap w:val="0"/>
                  <w:vAlign w:val="center"/>
                </w:tcPr>
                <w:p w14:paraId="22EFA769">
                  <w:pPr>
                    <w:autoSpaceDE w:val="0"/>
                    <w:autoSpaceDN w:val="0"/>
                    <w:adjustRightInd w:val="0"/>
                    <w:snapToGrid w:val="0"/>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项目</w:t>
                  </w:r>
                  <w:r>
                    <w:rPr>
                      <w:rFonts w:hint="eastAsia"/>
                      <w:color w:val="auto"/>
                      <w:szCs w:val="21"/>
                    </w:rPr>
                    <w:t>产生含挥发性有机物废气的生产</w:t>
                  </w:r>
                  <w:r>
                    <w:rPr>
                      <w:rFonts w:hint="eastAsia"/>
                      <w:color w:val="auto"/>
                      <w:szCs w:val="21"/>
                      <w:lang w:val="en-US" w:eastAsia="zh-CN"/>
                    </w:rPr>
                    <w:t>步骤</w:t>
                  </w:r>
                  <w:r>
                    <w:rPr>
                      <w:rFonts w:hint="eastAsia"/>
                      <w:color w:val="auto"/>
                      <w:szCs w:val="21"/>
                    </w:rPr>
                    <w:t>在密闭空间</w:t>
                  </w:r>
                  <w:r>
                    <w:rPr>
                      <w:rFonts w:hint="eastAsia"/>
                      <w:color w:val="auto"/>
                      <w:szCs w:val="21"/>
                      <w:lang w:val="en-US" w:eastAsia="zh-CN"/>
                    </w:rPr>
                    <w:t>中进行</w:t>
                  </w:r>
                  <w:r>
                    <w:rPr>
                      <w:rFonts w:hint="eastAsia"/>
                      <w:color w:val="auto"/>
                      <w:szCs w:val="21"/>
                      <w:lang w:eastAsia="zh-CN"/>
                    </w:rPr>
                    <w:t>，</w:t>
                  </w:r>
                  <w:r>
                    <w:rPr>
                      <w:rFonts w:hint="eastAsia"/>
                      <w:color w:val="auto"/>
                      <w:szCs w:val="21"/>
                      <w:lang w:val="en-US" w:eastAsia="zh-CN"/>
                    </w:rPr>
                    <w:t>运行过程中产生的有机废气</w:t>
                  </w:r>
                  <w:r>
                    <w:rPr>
                      <w:rFonts w:hint="default" w:ascii="Times New Roman" w:hAnsi="Times New Roman" w:eastAsia="宋体" w:cs="Times New Roman"/>
                      <w:color w:val="auto"/>
                      <w:kern w:val="2"/>
                      <w:sz w:val="21"/>
                      <w:szCs w:val="21"/>
                      <w:lang w:val="en-US" w:eastAsia="zh-CN" w:bidi="ar-SA"/>
                    </w:rPr>
                    <w:t>经</w:t>
                  </w:r>
                  <w:r>
                    <w:rPr>
                      <w:rFonts w:hint="eastAsia"/>
                      <w:color w:val="auto"/>
                      <w:szCs w:val="21"/>
                    </w:rPr>
                    <w:t>通风橱</w:t>
                  </w:r>
                  <w:r>
                    <w:rPr>
                      <w:rFonts w:hint="eastAsia"/>
                      <w:color w:val="auto"/>
                      <w:szCs w:val="21"/>
                      <w:lang w:val="en-US" w:eastAsia="zh-CN"/>
                    </w:rPr>
                    <w:t>/密闭式管道</w:t>
                  </w:r>
                  <w:r>
                    <w:rPr>
                      <w:rFonts w:hint="eastAsia"/>
                      <w:color w:val="auto"/>
                      <w:szCs w:val="21"/>
                    </w:rPr>
                    <w:t>+二级活性炭吸附</w:t>
                  </w:r>
                  <w:r>
                    <w:rPr>
                      <w:color w:val="auto"/>
                      <w:szCs w:val="21"/>
                    </w:rPr>
                    <w:t>+</w:t>
                  </w:r>
                  <w:r>
                    <w:rPr>
                      <w:rFonts w:hint="eastAsia"/>
                      <w:color w:val="auto"/>
                      <w:szCs w:val="21"/>
                      <w:lang w:val="en-US" w:eastAsia="zh-CN"/>
                    </w:rPr>
                    <w:t>17m</w:t>
                  </w:r>
                  <w:r>
                    <w:rPr>
                      <w:color w:val="auto"/>
                      <w:szCs w:val="21"/>
                    </w:rPr>
                    <w:t>排气筒</w:t>
                  </w:r>
                  <w:r>
                    <w:rPr>
                      <w:rFonts w:hint="eastAsia"/>
                      <w:color w:val="auto"/>
                    </w:rPr>
                    <w:t>（DA001）</w:t>
                  </w:r>
                  <w:r>
                    <w:rPr>
                      <w:rFonts w:hint="default" w:ascii="Times New Roman" w:hAnsi="Times New Roman" w:eastAsia="宋体" w:cs="Times New Roman"/>
                      <w:color w:val="auto"/>
                      <w:kern w:val="2"/>
                      <w:sz w:val="21"/>
                      <w:szCs w:val="21"/>
                      <w:lang w:val="en-US" w:eastAsia="zh-CN" w:bidi="ar-SA"/>
                    </w:rPr>
                    <w:t>处理后</w:t>
                  </w:r>
                  <w:r>
                    <w:rPr>
                      <w:rFonts w:hint="eastAsia" w:ascii="Times New Roman" w:hAnsi="Times New Roman" w:eastAsia="宋体" w:cs="Times New Roman"/>
                      <w:color w:val="auto"/>
                      <w:kern w:val="2"/>
                      <w:sz w:val="21"/>
                      <w:szCs w:val="21"/>
                      <w:lang w:val="en-US" w:eastAsia="zh-CN" w:bidi="ar-SA"/>
                    </w:rPr>
                    <w:t>达标</w:t>
                  </w:r>
                  <w:r>
                    <w:rPr>
                      <w:rFonts w:hint="default" w:ascii="Times New Roman" w:hAnsi="Times New Roman" w:eastAsia="宋体" w:cs="Times New Roman"/>
                      <w:color w:val="auto"/>
                      <w:kern w:val="2"/>
                      <w:sz w:val="21"/>
                      <w:szCs w:val="21"/>
                      <w:lang w:val="en-US" w:eastAsia="zh-CN" w:bidi="ar-SA"/>
                    </w:rPr>
                    <w:t>排放</w:t>
                  </w:r>
                  <w:r>
                    <w:rPr>
                      <w:rFonts w:hint="eastAsia"/>
                      <w:color w:val="auto"/>
                      <w:szCs w:val="21"/>
                      <w:lang w:eastAsia="zh-CN"/>
                    </w:rPr>
                    <w:t>。</w:t>
                  </w:r>
                </w:p>
              </w:tc>
              <w:tc>
                <w:tcPr>
                  <w:tcW w:w="533" w:type="pct"/>
                  <w:tcBorders>
                    <w:tl2br w:val="nil"/>
                    <w:tr2bl w:val="nil"/>
                  </w:tcBorders>
                  <w:shd w:val="clear" w:color="auto" w:fill="auto"/>
                  <w:noWrap w:val="0"/>
                  <w:vAlign w:val="center"/>
                </w:tcPr>
                <w:p w14:paraId="263EA205">
                  <w:pPr>
                    <w:autoSpaceDE w:val="0"/>
                    <w:autoSpaceDN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符合</w:t>
                  </w:r>
                </w:p>
              </w:tc>
            </w:tr>
            <w:tr w14:paraId="5B2B0C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96" w:hRule="atLeast"/>
                <w:jc w:val="center"/>
              </w:trPr>
              <w:tc>
                <w:tcPr>
                  <w:tcW w:w="805" w:type="pct"/>
                  <w:vMerge w:val="restart"/>
                  <w:tcBorders>
                    <w:tl2br w:val="nil"/>
                    <w:tr2bl w:val="nil"/>
                  </w:tcBorders>
                  <w:noWrap w:val="0"/>
                  <w:vAlign w:val="center"/>
                </w:tcPr>
                <w:p w14:paraId="61C1D7E1">
                  <w:pPr>
                    <w:autoSpaceDE w:val="0"/>
                    <w:autoSpaceDN w:val="0"/>
                    <w:adjustRightInd w:val="0"/>
                    <w:snapToGrid w:val="0"/>
                    <w:jc w:val="center"/>
                    <w:rPr>
                      <w:rFonts w:hint="default" w:ascii="Times New Roman" w:hAnsi="Times New Roman" w:eastAsia="宋体" w:cs="Times New Roman"/>
                      <w:color w:val="auto"/>
                      <w:kern w:val="21"/>
                      <w:sz w:val="21"/>
                      <w:szCs w:val="21"/>
                      <w:lang w:val="en-US" w:eastAsia="zh-CN"/>
                    </w:rPr>
                  </w:pPr>
                  <w:r>
                    <w:rPr>
                      <w:rFonts w:hint="eastAsia"/>
                      <w:color w:val="auto"/>
                      <w:szCs w:val="21"/>
                      <w:lang w:eastAsia="zh-CN"/>
                    </w:rPr>
                    <w:t>陕西省西咸新区党政办公室关于印发《西咸新区推进实现“十四五”空气质量目标暨大气污染治理专项行动2025年工作方案的通知》（陕西咸党政办函〔2025〕13号）</w:t>
                  </w:r>
                </w:p>
              </w:tc>
              <w:tc>
                <w:tcPr>
                  <w:tcW w:w="2446" w:type="pct"/>
                  <w:tcBorders>
                    <w:tl2br w:val="nil"/>
                    <w:tr2bl w:val="nil"/>
                  </w:tcBorders>
                  <w:noWrap w:val="0"/>
                  <w:vAlign w:val="center"/>
                </w:tcPr>
                <w:p w14:paraId="0EFEE1EE">
                  <w:pPr>
                    <w:autoSpaceDE w:val="0"/>
                    <w:autoSpaceDN w:val="0"/>
                    <w:adjustRightInd w:val="0"/>
                    <w:snapToGrid w:val="0"/>
                    <w:rPr>
                      <w:rFonts w:hint="default" w:ascii="Times New Roman" w:hAnsi="Times New Roman" w:eastAsia="宋体" w:cs="Times New Roman"/>
                      <w:color w:val="auto"/>
                      <w:kern w:val="21"/>
                      <w:sz w:val="21"/>
                      <w:szCs w:val="21"/>
                      <w:lang w:val="en-US" w:eastAsia="zh-CN"/>
                    </w:rPr>
                  </w:pPr>
                  <w:r>
                    <w:rPr>
                      <w:rFonts w:hint="eastAsia" w:ascii="Times New Roman" w:hAnsi="Times New Roman" w:eastAsia="宋体" w:cs="Times New Roman"/>
                      <w:color w:val="auto"/>
                      <w:szCs w:val="21"/>
                    </w:rPr>
                    <w:t>强化源头管控。严格落实国家、省、市及新区产业规划、产业政策、生态环境分区管控、规划环评、重点污染物总量控制、污染物排放区域削减等要求，积极推行区域、规划环境影响评价，新改扩建化工、石化、建材、有色等项目的环境影响评价应满足区域和规划环评要求。</w:t>
                  </w:r>
                </w:p>
              </w:tc>
              <w:tc>
                <w:tcPr>
                  <w:tcW w:w="1214" w:type="pct"/>
                  <w:tcBorders>
                    <w:tl2br w:val="nil"/>
                    <w:tr2bl w:val="nil"/>
                  </w:tcBorders>
                  <w:noWrap w:val="0"/>
                  <w:vAlign w:val="center"/>
                </w:tcPr>
                <w:p w14:paraId="1D2DC415">
                  <w:pPr>
                    <w:autoSpaceDE w:val="0"/>
                    <w:autoSpaceDN w:val="0"/>
                    <w:adjustRightInd w:val="0"/>
                    <w:snapToGrid w:val="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本项目为</w:t>
                  </w:r>
                  <w:r>
                    <w:rPr>
                      <w:rFonts w:hint="default" w:ascii="Times New Roman" w:hAnsi="Times New Roman" w:eastAsia="宋体" w:cs="Times New Roman"/>
                      <w:color w:val="auto"/>
                      <w:kern w:val="0"/>
                      <w:szCs w:val="21"/>
                      <w:lang w:val="en-US" w:eastAsia="zh-CN"/>
                    </w:rPr>
                    <w:t>高效氢燃料电池膜电极产业化项目</w:t>
                  </w:r>
                  <w:r>
                    <w:rPr>
                      <w:rFonts w:hint="eastAsia" w:ascii="Times New Roman" w:hAnsi="Times New Roman" w:eastAsia="宋体" w:cs="Times New Roman"/>
                      <w:color w:val="auto"/>
                      <w:kern w:val="0"/>
                      <w:szCs w:val="21"/>
                      <w:lang w:val="en-US" w:eastAsia="zh-CN"/>
                    </w:rPr>
                    <w:t>，</w:t>
                  </w:r>
                  <w:r>
                    <w:rPr>
                      <w:rFonts w:hint="eastAsia"/>
                      <w:color w:val="auto"/>
                      <w:szCs w:val="21"/>
                      <w:lang w:val="en-US" w:eastAsia="zh-CN"/>
                    </w:rPr>
                    <w:t>不属于</w:t>
                  </w:r>
                  <w:r>
                    <w:rPr>
                      <w:rFonts w:hint="eastAsia" w:ascii="Times New Roman" w:hAnsi="Times New Roman" w:eastAsia="宋体" w:cs="Times New Roman"/>
                      <w:color w:val="auto"/>
                      <w:szCs w:val="21"/>
                    </w:rPr>
                    <w:t>新改扩建化工、石化、建材、有色等项目</w:t>
                  </w:r>
                  <w:r>
                    <w:rPr>
                      <w:rFonts w:hint="eastAsia" w:cs="Times New Roman"/>
                      <w:color w:val="auto"/>
                      <w:szCs w:val="21"/>
                      <w:lang w:eastAsia="zh-CN"/>
                    </w:rPr>
                    <w:t>；</w:t>
                  </w:r>
                  <w:r>
                    <w:rPr>
                      <w:rFonts w:hint="eastAsia" w:cs="Times New Roman"/>
                      <w:color w:val="auto"/>
                      <w:szCs w:val="21"/>
                      <w:lang w:val="en-US" w:eastAsia="zh-CN"/>
                    </w:rPr>
                    <w:t>本项目符合</w:t>
                  </w:r>
                  <w:r>
                    <w:rPr>
                      <w:rFonts w:hint="eastAsia" w:ascii="Times New Roman" w:hAnsi="Times New Roman" w:eastAsia="宋体" w:cs="Times New Roman"/>
                      <w:color w:val="auto"/>
                      <w:szCs w:val="21"/>
                    </w:rPr>
                    <w:t>国家、省、市及新区产业规划、产业政策、生态环境分区管控、规划环评、重点污染物总量控制等要求</w:t>
                  </w:r>
                  <w:r>
                    <w:rPr>
                      <w:rFonts w:hint="eastAsia" w:cs="Times New Roman"/>
                      <w:color w:val="auto"/>
                      <w:szCs w:val="21"/>
                      <w:lang w:eastAsia="zh-CN"/>
                    </w:rPr>
                    <w:t>。</w:t>
                  </w:r>
                </w:p>
              </w:tc>
              <w:tc>
                <w:tcPr>
                  <w:tcW w:w="533" w:type="pct"/>
                  <w:tcBorders>
                    <w:tl2br w:val="nil"/>
                    <w:tr2bl w:val="nil"/>
                  </w:tcBorders>
                  <w:noWrap w:val="0"/>
                  <w:vAlign w:val="center"/>
                </w:tcPr>
                <w:p w14:paraId="4B3B1F53">
                  <w:pPr>
                    <w:autoSpaceDE w:val="0"/>
                    <w:autoSpaceDN w:val="0"/>
                    <w:adjustRightInd w:val="0"/>
                    <w:snapToGrid w:val="0"/>
                    <w:jc w:val="center"/>
                    <w:rPr>
                      <w:rFonts w:hint="default" w:ascii="Times New Roman" w:hAnsi="Times New Roman" w:eastAsia="宋体" w:cs="Times New Roman"/>
                      <w:color w:val="auto"/>
                      <w:sz w:val="21"/>
                      <w:szCs w:val="21"/>
                    </w:rPr>
                  </w:pPr>
                  <w:r>
                    <w:rPr>
                      <w:rFonts w:hint="eastAsia"/>
                      <w:color w:val="auto"/>
                      <w:szCs w:val="21"/>
                      <w:lang w:val="en-US" w:eastAsia="zh-CN"/>
                    </w:rPr>
                    <w:t>符合</w:t>
                  </w:r>
                </w:p>
              </w:tc>
            </w:tr>
            <w:tr w14:paraId="13CD51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96" w:hRule="atLeast"/>
                <w:jc w:val="center"/>
              </w:trPr>
              <w:tc>
                <w:tcPr>
                  <w:tcW w:w="805" w:type="pct"/>
                  <w:vMerge w:val="continue"/>
                  <w:tcBorders>
                    <w:tl2br w:val="nil"/>
                    <w:tr2bl w:val="nil"/>
                  </w:tcBorders>
                  <w:noWrap w:val="0"/>
                  <w:vAlign w:val="center"/>
                </w:tcPr>
                <w:p w14:paraId="13B3B329">
                  <w:pPr>
                    <w:autoSpaceDE w:val="0"/>
                    <w:autoSpaceDN w:val="0"/>
                    <w:adjustRightInd w:val="0"/>
                    <w:snapToGrid w:val="0"/>
                    <w:jc w:val="center"/>
                    <w:rPr>
                      <w:color w:val="auto"/>
                    </w:rPr>
                  </w:pPr>
                </w:p>
              </w:tc>
              <w:tc>
                <w:tcPr>
                  <w:tcW w:w="2446" w:type="pct"/>
                  <w:tcBorders>
                    <w:tl2br w:val="nil"/>
                    <w:tr2bl w:val="nil"/>
                  </w:tcBorders>
                  <w:noWrap w:val="0"/>
                  <w:vAlign w:val="center"/>
                </w:tcPr>
                <w:p w14:paraId="2B7A7592">
                  <w:pPr>
                    <w:autoSpaceDE w:val="0"/>
                    <w:autoSpaceDN w:val="0"/>
                    <w:adjustRightInd w:val="0"/>
                    <w:snapToGrid w:val="0"/>
                    <w:rPr>
                      <w:rFonts w:hint="default" w:ascii="Times New Roman" w:hAnsi="Times New Roman" w:eastAsia="宋体" w:cs="Times New Roman"/>
                      <w:color w:val="auto"/>
                      <w:kern w:val="21"/>
                      <w:sz w:val="21"/>
                      <w:szCs w:val="21"/>
                      <w:lang w:val="en-US" w:eastAsia="zh-CN"/>
                    </w:rPr>
                  </w:pPr>
                  <w:r>
                    <w:rPr>
                      <w:rFonts w:hint="eastAsia" w:ascii="Times New Roman" w:hAnsi="Times New Roman" w:eastAsia="宋体" w:cs="Times New Roman"/>
                      <w:color w:val="auto"/>
                      <w:szCs w:val="21"/>
                    </w:rPr>
                    <w:t>严格审批手续，把好准入关。新改扩建涉气重点行业企业应达到环保绩效A级、绩效引领性水平。严格落实“三同</w:t>
                  </w:r>
                  <w:r>
                    <w:rPr>
                      <w:rFonts w:hint="eastAsia" w:cs="Times New Roman"/>
                      <w:color w:val="auto"/>
                      <w:szCs w:val="21"/>
                      <w:lang w:val="en-US" w:eastAsia="zh-CN"/>
                    </w:rPr>
                    <w:t>时”制度，加强建设期间监管。</w:t>
                  </w:r>
                </w:p>
              </w:tc>
              <w:tc>
                <w:tcPr>
                  <w:tcW w:w="1214" w:type="pct"/>
                  <w:tcBorders>
                    <w:tl2br w:val="nil"/>
                    <w:tr2bl w:val="nil"/>
                  </w:tcBorders>
                  <w:noWrap w:val="0"/>
                  <w:vAlign w:val="center"/>
                </w:tcPr>
                <w:p w14:paraId="0BDDE913">
                  <w:pPr>
                    <w:autoSpaceDE w:val="0"/>
                    <w:autoSpaceDN w:val="0"/>
                    <w:adjustRightInd w:val="0"/>
                    <w:snapToGrid w:val="0"/>
                    <w:rPr>
                      <w:rFonts w:hint="default" w:ascii="Times New Roman" w:hAnsi="Times New Roman" w:eastAsia="宋体" w:cs="Times New Roman"/>
                      <w:color w:val="auto"/>
                      <w:kern w:val="21"/>
                      <w:sz w:val="21"/>
                      <w:szCs w:val="21"/>
                      <w:lang w:val="en-US" w:eastAsia="zh-CN"/>
                    </w:rPr>
                  </w:pPr>
                  <w:r>
                    <w:rPr>
                      <w:rFonts w:hint="default" w:ascii="Times New Roman" w:hAnsi="Times New Roman" w:eastAsia="宋体" w:cs="Times New Roman"/>
                      <w:color w:val="auto"/>
                      <w:kern w:val="0"/>
                      <w:szCs w:val="21"/>
                    </w:rPr>
                    <w:t>本项目为</w:t>
                  </w:r>
                  <w:r>
                    <w:rPr>
                      <w:rFonts w:hint="default" w:ascii="Times New Roman" w:hAnsi="Times New Roman" w:eastAsia="宋体" w:cs="Times New Roman"/>
                      <w:color w:val="auto"/>
                      <w:kern w:val="0"/>
                      <w:szCs w:val="21"/>
                      <w:lang w:val="en-US" w:eastAsia="zh-CN"/>
                    </w:rPr>
                    <w:t>高效氢燃料电池膜电极产业化项目</w:t>
                  </w:r>
                  <w:r>
                    <w:rPr>
                      <w:rFonts w:hint="eastAsia" w:ascii="Times New Roman" w:hAnsi="Times New Roman" w:eastAsia="宋体" w:cs="Times New Roman"/>
                      <w:color w:val="auto"/>
                      <w:kern w:val="0"/>
                      <w:szCs w:val="21"/>
                      <w:lang w:val="en-US" w:eastAsia="zh-CN"/>
                    </w:rPr>
                    <w:t>，</w:t>
                  </w:r>
                  <w:r>
                    <w:rPr>
                      <w:rFonts w:hint="eastAsia" w:cs="Times New Roman"/>
                      <w:color w:val="auto"/>
                      <w:szCs w:val="21"/>
                      <w:lang w:val="en-US" w:eastAsia="zh-CN"/>
                    </w:rPr>
                    <w:t>不属于</w:t>
                  </w:r>
                  <w:r>
                    <w:rPr>
                      <w:rFonts w:hint="eastAsia" w:ascii="Times New Roman" w:hAnsi="Times New Roman" w:eastAsia="宋体" w:cs="Times New Roman"/>
                      <w:color w:val="auto"/>
                      <w:szCs w:val="21"/>
                    </w:rPr>
                    <w:t>新改扩建涉气重点行业</w:t>
                  </w:r>
                  <w:r>
                    <w:rPr>
                      <w:rFonts w:hint="eastAsia" w:cs="Times New Roman"/>
                      <w:color w:val="auto"/>
                      <w:szCs w:val="21"/>
                      <w:lang w:eastAsia="zh-CN"/>
                    </w:rPr>
                    <w:t>。</w:t>
                  </w:r>
                </w:p>
              </w:tc>
              <w:tc>
                <w:tcPr>
                  <w:tcW w:w="533" w:type="pct"/>
                  <w:tcBorders>
                    <w:tl2br w:val="nil"/>
                    <w:tr2bl w:val="nil"/>
                  </w:tcBorders>
                  <w:noWrap w:val="0"/>
                  <w:vAlign w:val="center"/>
                </w:tcPr>
                <w:p w14:paraId="5F1E4601">
                  <w:pPr>
                    <w:autoSpaceDE w:val="0"/>
                    <w:autoSpaceDN w:val="0"/>
                    <w:adjustRightInd w:val="0"/>
                    <w:snapToGrid w:val="0"/>
                    <w:jc w:val="center"/>
                    <w:rPr>
                      <w:rFonts w:hint="default" w:ascii="Times New Roman" w:hAnsi="Times New Roman" w:eastAsia="宋体" w:cs="Times New Roman"/>
                      <w:color w:val="auto"/>
                      <w:kern w:val="21"/>
                      <w:sz w:val="21"/>
                      <w:szCs w:val="21"/>
                      <w:lang w:val="en-US" w:eastAsia="zh-CN"/>
                    </w:rPr>
                  </w:pPr>
                  <w:r>
                    <w:rPr>
                      <w:rFonts w:hint="eastAsia"/>
                      <w:color w:val="auto"/>
                      <w:szCs w:val="21"/>
                      <w:lang w:val="en-US" w:eastAsia="zh-CN"/>
                    </w:rPr>
                    <w:t>符合</w:t>
                  </w:r>
                </w:p>
              </w:tc>
            </w:tr>
            <w:tr w14:paraId="09F524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96" w:hRule="atLeast"/>
                <w:jc w:val="center"/>
              </w:trPr>
              <w:tc>
                <w:tcPr>
                  <w:tcW w:w="805" w:type="pct"/>
                  <w:vMerge w:val="continue"/>
                  <w:tcBorders>
                    <w:tl2br w:val="nil"/>
                    <w:tr2bl w:val="nil"/>
                  </w:tcBorders>
                  <w:noWrap w:val="0"/>
                  <w:vAlign w:val="center"/>
                </w:tcPr>
                <w:p w14:paraId="714F2A84">
                  <w:pPr>
                    <w:autoSpaceDE w:val="0"/>
                    <w:autoSpaceDN w:val="0"/>
                    <w:adjustRightInd w:val="0"/>
                    <w:snapToGrid w:val="0"/>
                    <w:jc w:val="center"/>
                    <w:rPr>
                      <w:rFonts w:hint="default" w:ascii="Times New Roman" w:hAnsi="Times New Roman" w:eastAsia="宋体" w:cs="Times New Roman"/>
                      <w:color w:val="auto"/>
                      <w:kern w:val="21"/>
                      <w:sz w:val="21"/>
                      <w:szCs w:val="21"/>
                      <w:lang w:val="en-US" w:eastAsia="zh-CN"/>
                    </w:rPr>
                  </w:pPr>
                </w:p>
              </w:tc>
              <w:tc>
                <w:tcPr>
                  <w:tcW w:w="2446" w:type="pct"/>
                  <w:tcBorders>
                    <w:tl2br w:val="nil"/>
                    <w:tr2bl w:val="nil"/>
                  </w:tcBorders>
                  <w:noWrap w:val="0"/>
                  <w:vAlign w:val="center"/>
                </w:tcPr>
                <w:p w14:paraId="4B53B7CB">
                  <w:pPr>
                    <w:autoSpaceDE w:val="0"/>
                    <w:autoSpaceDN w:val="0"/>
                    <w:adjustRightInd w:val="0"/>
                    <w:snapToGrid w:val="0"/>
                    <w:rPr>
                      <w:rFonts w:hint="default" w:ascii="Times New Roman" w:hAnsi="Times New Roman" w:eastAsia="宋体" w:cs="Times New Roman"/>
                      <w:color w:val="auto"/>
                      <w:kern w:val="21"/>
                      <w:sz w:val="21"/>
                      <w:szCs w:val="21"/>
                      <w:lang w:val="en-US" w:eastAsia="zh-CN"/>
                    </w:rPr>
                  </w:pPr>
                  <w:r>
                    <w:rPr>
                      <w:rFonts w:hint="eastAsia" w:cs="Times New Roman"/>
                      <w:color w:val="auto"/>
                      <w:szCs w:val="21"/>
                      <w:lang w:val="en-US" w:eastAsia="zh-CN"/>
                    </w:rPr>
                    <w:t>依法依规淘汰落后产能。按照产业结构调整指导目录要求，开展落后产能摸排，发现需要淘汰的落后产能及时列入年度计划，依法依规予以淘汰。</w:t>
                  </w:r>
                </w:p>
              </w:tc>
              <w:tc>
                <w:tcPr>
                  <w:tcW w:w="1214" w:type="pct"/>
                  <w:tcBorders>
                    <w:tl2br w:val="nil"/>
                    <w:tr2bl w:val="nil"/>
                  </w:tcBorders>
                  <w:noWrap w:val="0"/>
                  <w:vAlign w:val="center"/>
                </w:tcPr>
                <w:p w14:paraId="052735AB">
                  <w:pPr>
                    <w:autoSpaceDE w:val="0"/>
                    <w:autoSpaceDN w:val="0"/>
                    <w:adjustRightInd w:val="0"/>
                    <w:snapToGrid w:val="0"/>
                    <w:rPr>
                      <w:rFonts w:hint="default" w:ascii="Times New Roman" w:hAnsi="Times New Roman" w:eastAsia="宋体" w:cs="Times New Roman"/>
                      <w:color w:val="auto"/>
                      <w:kern w:val="21"/>
                      <w:sz w:val="21"/>
                      <w:szCs w:val="21"/>
                      <w:lang w:val="en-US" w:eastAsia="zh-CN"/>
                    </w:rPr>
                  </w:pPr>
                  <w:r>
                    <w:rPr>
                      <w:rFonts w:hint="default" w:ascii="Times New Roman" w:hAnsi="Times New Roman" w:eastAsia="宋体" w:cs="Times New Roman"/>
                      <w:color w:val="auto"/>
                      <w:szCs w:val="21"/>
                      <w:lang w:val="en-US" w:eastAsia="zh-CN"/>
                    </w:rPr>
                    <w:t>根据《产业结构调整目录（2024年本）》，本项目不属于其中的鼓励类、限制类、淘汰类项目，为允许类项目。</w:t>
                  </w:r>
                </w:p>
              </w:tc>
              <w:tc>
                <w:tcPr>
                  <w:tcW w:w="533" w:type="pct"/>
                  <w:tcBorders>
                    <w:tl2br w:val="nil"/>
                    <w:tr2bl w:val="nil"/>
                  </w:tcBorders>
                  <w:noWrap w:val="0"/>
                  <w:vAlign w:val="center"/>
                </w:tcPr>
                <w:p w14:paraId="6D16C48D">
                  <w:pPr>
                    <w:autoSpaceDE w:val="0"/>
                    <w:autoSpaceDN w:val="0"/>
                    <w:adjustRightInd w:val="0"/>
                    <w:snapToGrid w:val="0"/>
                    <w:jc w:val="center"/>
                    <w:rPr>
                      <w:rFonts w:hint="default" w:ascii="Times New Roman" w:hAnsi="Times New Roman" w:eastAsia="宋体" w:cs="Times New Roman"/>
                      <w:color w:val="auto"/>
                      <w:kern w:val="21"/>
                      <w:sz w:val="21"/>
                      <w:szCs w:val="21"/>
                      <w:lang w:val="en-US" w:eastAsia="zh-CN"/>
                    </w:rPr>
                  </w:pPr>
                  <w:r>
                    <w:rPr>
                      <w:rFonts w:hint="eastAsia"/>
                      <w:color w:val="auto"/>
                      <w:szCs w:val="21"/>
                      <w:lang w:val="en-US" w:eastAsia="zh-CN"/>
                    </w:rPr>
                    <w:t>符合</w:t>
                  </w:r>
                </w:p>
              </w:tc>
            </w:tr>
            <w:tr w14:paraId="672923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62" w:hRule="atLeast"/>
                <w:jc w:val="center"/>
              </w:trPr>
              <w:tc>
                <w:tcPr>
                  <w:tcW w:w="805" w:type="pct"/>
                  <w:tcBorders>
                    <w:tl2br w:val="nil"/>
                    <w:tr2bl w:val="nil"/>
                  </w:tcBorders>
                  <w:noWrap w:val="0"/>
                  <w:vAlign w:val="center"/>
                </w:tcPr>
                <w:p w14:paraId="2186A5A3">
                  <w:pPr>
                    <w:keepNext w:val="0"/>
                    <w:keepLines w:val="0"/>
                    <w:pageBreakBefore w:val="0"/>
                    <w:kinsoku/>
                    <w:overflowPunct/>
                    <w:topLinePunct w:val="0"/>
                    <w:autoSpaceDE/>
                    <w:autoSpaceDN/>
                    <w:bidi w:val="0"/>
                    <w:adjustRightInd w:val="0"/>
                    <w:snapToGrid w:val="0"/>
                    <w:spacing w:line="264" w:lineRule="auto"/>
                    <w:ind w:firstLine="0" w:firstLineChars="0"/>
                    <w:jc w:val="center"/>
                    <w:textAlignment w:val="auto"/>
                    <w:rPr>
                      <w:rFonts w:hint="default" w:ascii="Times New Roman" w:hAnsi="Times New Roman" w:eastAsia="宋体" w:cs="Times New Roman"/>
                      <w:color w:val="auto"/>
                      <w:kern w:val="21"/>
                      <w:sz w:val="21"/>
                      <w:szCs w:val="21"/>
                      <w:lang w:val="en-US" w:eastAsia="zh-CN" w:bidi="ar-SA"/>
                    </w:rPr>
                  </w:pPr>
                  <w:r>
                    <w:rPr>
                      <w:rFonts w:hint="default" w:ascii="Times New Roman" w:hAnsi="Times New Roman" w:eastAsia="宋体" w:cs="Times New Roman"/>
                      <w:color w:val="auto"/>
                      <w:kern w:val="21"/>
                      <w:sz w:val="21"/>
                      <w:szCs w:val="21"/>
                      <w:lang w:val="en-US" w:eastAsia="zh-CN"/>
                    </w:rPr>
                    <w:t>《泾河新城大气污染治理专项行动方案（2023</w:t>
                  </w:r>
                  <w:r>
                    <w:rPr>
                      <w:rFonts w:hint="eastAsia" w:ascii="Times New Roman" w:hAnsi="Times New Roman" w:eastAsia="宋体" w:cs="Times New Roman"/>
                      <w:color w:val="auto"/>
                      <w:kern w:val="21"/>
                      <w:sz w:val="21"/>
                      <w:szCs w:val="21"/>
                      <w:lang w:val="en-US" w:eastAsia="zh-CN"/>
                    </w:rPr>
                    <w:t>-</w:t>
                  </w:r>
                  <w:r>
                    <w:rPr>
                      <w:rFonts w:hint="default" w:ascii="Times New Roman" w:hAnsi="Times New Roman" w:eastAsia="宋体" w:cs="Times New Roman"/>
                      <w:color w:val="auto"/>
                      <w:kern w:val="21"/>
                      <w:sz w:val="21"/>
                      <w:szCs w:val="21"/>
                      <w:lang w:val="en-US" w:eastAsia="zh-CN"/>
                    </w:rPr>
                    <w:t>2027年）》</w:t>
                  </w:r>
                </w:p>
              </w:tc>
              <w:tc>
                <w:tcPr>
                  <w:tcW w:w="2446" w:type="pct"/>
                  <w:tcBorders>
                    <w:tl2br w:val="nil"/>
                    <w:tr2bl w:val="nil"/>
                  </w:tcBorders>
                  <w:noWrap w:val="0"/>
                  <w:vAlign w:val="center"/>
                </w:tcPr>
                <w:p w14:paraId="74E35CD6">
                  <w:pPr>
                    <w:keepNext w:val="0"/>
                    <w:keepLines w:val="0"/>
                    <w:pageBreakBefore w:val="0"/>
                    <w:kinsoku/>
                    <w:overflowPunct/>
                    <w:topLinePunct w:val="0"/>
                    <w:autoSpaceDE/>
                    <w:autoSpaceDN/>
                    <w:bidi w:val="0"/>
                    <w:adjustRightInd w:val="0"/>
                    <w:snapToGrid w:val="0"/>
                    <w:spacing w:line="264" w:lineRule="auto"/>
                    <w:ind w:firstLine="0" w:firstLineChars="0"/>
                    <w:jc w:val="left"/>
                    <w:textAlignment w:val="auto"/>
                    <w:rPr>
                      <w:rFonts w:hint="default" w:ascii="Times New Roman" w:hAnsi="Times New Roman" w:eastAsia="宋体" w:cs="Times New Roman"/>
                      <w:color w:val="auto"/>
                      <w:kern w:val="21"/>
                      <w:sz w:val="21"/>
                      <w:szCs w:val="21"/>
                      <w:lang w:val="en-US" w:eastAsia="zh-CN" w:bidi="ar-SA"/>
                    </w:rPr>
                  </w:pPr>
                  <w:r>
                    <w:rPr>
                      <w:rFonts w:hint="default" w:ascii="Times New Roman" w:hAnsi="Times New Roman" w:eastAsia="宋体" w:cs="Times New Roman"/>
                      <w:color w:val="auto"/>
                      <w:kern w:val="21"/>
                      <w:sz w:val="21"/>
                      <w:szCs w:val="21"/>
                      <w:lang w:val="en-US" w:eastAsia="zh-CN"/>
                    </w:rPr>
                    <w:t>严格新、改、扩建涉气重点行业绩效评级限制条件。新城范围内新、改、扩建涉气重点行业企业应达到环保绩效A级、绩效引领性水平。</w:t>
                  </w:r>
                </w:p>
              </w:tc>
              <w:tc>
                <w:tcPr>
                  <w:tcW w:w="1214" w:type="pct"/>
                  <w:tcBorders>
                    <w:tl2br w:val="nil"/>
                    <w:tr2bl w:val="nil"/>
                  </w:tcBorders>
                  <w:noWrap w:val="0"/>
                  <w:vAlign w:val="center"/>
                </w:tcPr>
                <w:p w14:paraId="6BFD3BFB">
                  <w:pPr>
                    <w:keepNext w:val="0"/>
                    <w:keepLines w:val="0"/>
                    <w:pageBreakBefore w:val="0"/>
                    <w:kinsoku/>
                    <w:overflowPunct/>
                    <w:topLinePunct w:val="0"/>
                    <w:autoSpaceDE/>
                    <w:autoSpaceDN/>
                    <w:bidi w:val="0"/>
                    <w:adjustRightInd w:val="0"/>
                    <w:snapToGrid w:val="0"/>
                    <w:spacing w:line="264" w:lineRule="auto"/>
                    <w:ind w:firstLine="0" w:firstLineChars="0"/>
                    <w:jc w:val="left"/>
                    <w:textAlignment w:val="auto"/>
                    <w:rPr>
                      <w:rFonts w:hint="default" w:ascii="Times New Roman" w:hAnsi="Times New Roman" w:eastAsia="宋体" w:cs="Times New Roman"/>
                      <w:color w:val="auto"/>
                      <w:spacing w:val="-1"/>
                      <w:kern w:val="2"/>
                      <w:sz w:val="21"/>
                      <w:szCs w:val="21"/>
                      <w:lang w:val="en-US" w:eastAsia="zh-CN" w:bidi="ar-SA"/>
                    </w:rPr>
                  </w:pPr>
                  <w:r>
                    <w:rPr>
                      <w:rFonts w:hint="default" w:ascii="Times New Roman" w:hAnsi="Times New Roman" w:eastAsia="宋体" w:cs="Times New Roman"/>
                      <w:color w:val="auto"/>
                      <w:kern w:val="21"/>
                      <w:sz w:val="21"/>
                      <w:szCs w:val="21"/>
                      <w:lang w:val="en-US" w:eastAsia="zh-CN"/>
                    </w:rPr>
                    <w:t>本项目不属于《重污染天气重点行业应急减排措施制定技术指南（2020年修订版）》（环办大气函〔2020〕340号）中的行业。</w:t>
                  </w:r>
                </w:p>
              </w:tc>
              <w:tc>
                <w:tcPr>
                  <w:tcW w:w="533" w:type="pct"/>
                  <w:tcBorders>
                    <w:tl2br w:val="nil"/>
                    <w:tr2bl w:val="nil"/>
                  </w:tcBorders>
                  <w:noWrap w:val="0"/>
                  <w:vAlign w:val="center"/>
                </w:tcPr>
                <w:p w14:paraId="2AB60697">
                  <w:pPr>
                    <w:keepNext w:val="0"/>
                    <w:keepLines w:val="0"/>
                    <w:pageBreakBefore w:val="0"/>
                    <w:widowControl/>
                    <w:kinsoku/>
                    <w:wordWrap/>
                    <w:overflowPunct/>
                    <w:topLinePunct w:val="0"/>
                    <w:autoSpaceDE/>
                    <w:autoSpaceDN/>
                    <w:bidi w:val="0"/>
                    <w:adjustRightInd/>
                    <w:snapToGrid/>
                    <w:spacing w:line="264"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符合</w:t>
                  </w:r>
                </w:p>
              </w:tc>
            </w:tr>
            <w:tr w14:paraId="7D2C5A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805" w:type="pct"/>
                  <w:vMerge w:val="restart"/>
                  <w:tcBorders>
                    <w:tl2br w:val="nil"/>
                    <w:tr2bl w:val="nil"/>
                  </w:tcBorders>
                  <w:noWrap w:val="0"/>
                  <w:vAlign w:val="center"/>
                </w:tcPr>
                <w:p w14:paraId="7D1DD599">
                  <w:pPr>
                    <w:autoSpaceDE w:val="0"/>
                    <w:autoSpaceDN w:val="0"/>
                    <w:adjustRightInd w:val="0"/>
                    <w:snapToGrid w:val="0"/>
                    <w:jc w:val="center"/>
                    <w:rPr>
                      <w:rFonts w:hint="default" w:ascii="Times New Roman" w:hAnsi="Times New Roman" w:eastAsia="宋体" w:cs="Times New Roman"/>
                      <w:color w:val="auto"/>
                      <w:kern w:val="21"/>
                      <w:sz w:val="21"/>
                      <w:szCs w:val="21"/>
                      <w:lang w:val="en-US" w:eastAsia="zh-CN"/>
                    </w:rPr>
                  </w:pPr>
                  <w:r>
                    <w:rPr>
                      <w:rFonts w:hint="eastAsia"/>
                      <w:color w:val="auto"/>
                      <w:szCs w:val="21"/>
                      <w:lang w:eastAsia="zh-CN"/>
                    </w:rPr>
                    <w:t>陕西省西咸新区泾河新城党政办公室关于印发《泾河新城推进实现“十四五”空气质量目标暨大气污染治理专项行动2025年工作方案》的通知（陕泾河办发〔2025〕6号）</w:t>
                  </w:r>
                </w:p>
              </w:tc>
              <w:tc>
                <w:tcPr>
                  <w:tcW w:w="2446" w:type="pct"/>
                  <w:tcBorders>
                    <w:tl2br w:val="nil"/>
                    <w:tr2bl w:val="nil"/>
                  </w:tcBorders>
                  <w:noWrap w:val="0"/>
                  <w:vAlign w:val="center"/>
                </w:tcPr>
                <w:p w14:paraId="2831F766">
                  <w:pPr>
                    <w:autoSpaceDE w:val="0"/>
                    <w:autoSpaceDN w:val="0"/>
                    <w:adjustRightInd w:val="0"/>
                    <w:snapToGrid w:val="0"/>
                    <w:rPr>
                      <w:rFonts w:hint="default" w:ascii="Times New Roman" w:hAnsi="Times New Roman" w:eastAsia="宋体" w:cs="Times New Roman"/>
                      <w:color w:val="auto"/>
                      <w:kern w:val="21"/>
                      <w:sz w:val="21"/>
                      <w:szCs w:val="21"/>
                      <w:lang w:val="en-US" w:eastAsia="zh-CN"/>
                    </w:rPr>
                  </w:pPr>
                  <w:r>
                    <w:rPr>
                      <w:rFonts w:hint="eastAsia" w:ascii="Times New Roman" w:hAnsi="Times New Roman" w:eastAsia="宋体" w:cs="Times New Roman"/>
                      <w:color w:val="auto"/>
                      <w:szCs w:val="21"/>
                    </w:rPr>
                    <w:t>强化源头管控。严格落实国家、省、市及新区产业规划、产业政策、生态环境分区管控、规划环评、重点污染物总量控制、污染物排放区域削减等要求，积极推行区域、规划环境影响评价，新改扩建化工、石化、建材、有色等项目的环境影响评价应满足区域和规划环评要求。</w:t>
                  </w:r>
                </w:p>
              </w:tc>
              <w:tc>
                <w:tcPr>
                  <w:tcW w:w="1214" w:type="pct"/>
                  <w:tcBorders>
                    <w:tl2br w:val="nil"/>
                    <w:tr2bl w:val="nil"/>
                  </w:tcBorders>
                  <w:noWrap w:val="0"/>
                  <w:vAlign w:val="center"/>
                </w:tcPr>
                <w:p w14:paraId="39F4F961">
                  <w:pPr>
                    <w:autoSpaceDE w:val="0"/>
                    <w:autoSpaceDN w:val="0"/>
                    <w:adjustRightInd w:val="0"/>
                    <w:snapToGrid w:val="0"/>
                    <w:rPr>
                      <w:rFonts w:hint="default" w:ascii="Times New Roman" w:hAnsi="Times New Roman" w:eastAsia="宋体" w:cs="Times New Roman"/>
                      <w:color w:val="auto"/>
                      <w:kern w:val="21"/>
                      <w:sz w:val="21"/>
                      <w:szCs w:val="21"/>
                      <w:lang w:val="en-US" w:eastAsia="zh-CN"/>
                    </w:rPr>
                  </w:pPr>
                  <w:r>
                    <w:rPr>
                      <w:rFonts w:hint="default" w:ascii="Times New Roman" w:hAnsi="Times New Roman" w:eastAsia="宋体" w:cs="Times New Roman"/>
                      <w:color w:val="auto"/>
                      <w:kern w:val="0"/>
                      <w:szCs w:val="21"/>
                    </w:rPr>
                    <w:t>本项目为</w:t>
                  </w:r>
                  <w:r>
                    <w:rPr>
                      <w:rFonts w:hint="default" w:ascii="Times New Roman" w:hAnsi="Times New Roman" w:eastAsia="宋体" w:cs="Times New Roman"/>
                      <w:color w:val="auto"/>
                      <w:kern w:val="0"/>
                      <w:szCs w:val="21"/>
                      <w:lang w:val="en-US" w:eastAsia="zh-CN"/>
                    </w:rPr>
                    <w:t>高效氢燃料电池膜电极产业化项目</w:t>
                  </w:r>
                  <w:r>
                    <w:rPr>
                      <w:rFonts w:hint="eastAsia" w:ascii="Times New Roman" w:hAnsi="Times New Roman" w:eastAsia="宋体" w:cs="Times New Roman"/>
                      <w:color w:val="auto"/>
                      <w:kern w:val="0"/>
                      <w:szCs w:val="21"/>
                      <w:lang w:val="en-US" w:eastAsia="zh-CN"/>
                    </w:rPr>
                    <w:t>，</w:t>
                  </w:r>
                  <w:r>
                    <w:rPr>
                      <w:rFonts w:hint="eastAsia"/>
                      <w:color w:val="auto"/>
                      <w:szCs w:val="21"/>
                      <w:lang w:val="en-US" w:eastAsia="zh-CN"/>
                    </w:rPr>
                    <w:t>不属于</w:t>
                  </w:r>
                  <w:r>
                    <w:rPr>
                      <w:rFonts w:hint="eastAsia" w:ascii="Times New Roman" w:hAnsi="Times New Roman" w:eastAsia="宋体" w:cs="Times New Roman"/>
                      <w:color w:val="auto"/>
                      <w:szCs w:val="21"/>
                    </w:rPr>
                    <w:t>新改扩建化工、石化、建材、有色等项目</w:t>
                  </w:r>
                  <w:r>
                    <w:rPr>
                      <w:rFonts w:hint="eastAsia" w:cs="Times New Roman"/>
                      <w:color w:val="auto"/>
                      <w:szCs w:val="21"/>
                      <w:lang w:eastAsia="zh-CN"/>
                    </w:rPr>
                    <w:t>；</w:t>
                  </w:r>
                  <w:r>
                    <w:rPr>
                      <w:rFonts w:hint="eastAsia" w:cs="Times New Roman"/>
                      <w:color w:val="auto"/>
                      <w:szCs w:val="21"/>
                      <w:lang w:val="en-US" w:eastAsia="zh-CN"/>
                    </w:rPr>
                    <w:t>本项目符合</w:t>
                  </w:r>
                  <w:r>
                    <w:rPr>
                      <w:rFonts w:hint="eastAsia" w:ascii="Times New Roman" w:hAnsi="Times New Roman" w:eastAsia="宋体" w:cs="Times New Roman"/>
                      <w:color w:val="auto"/>
                      <w:szCs w:val="21"/>
                    </w:rPr>
                    <w:t>国家、省、市及新区产业规划、产业政策、生态环境分区管控、规划环评、重点污染物总量控制等要求</w:t>
                  </w:r>
                  <w:r>
                    <w:rPr>
                      <w:rFonts w:hint="eastAsia" w:cs="Times New Roman"/>
                      <w:color w:val="auto"/>
                      <w:szCs w:val="21"/>
                      <w:lang w:eastAsia="zh-CN"/>
                    </w:rPr>
                    <w:t>。</w:t>
                  </w:r>
                </w:p>
              </w:tc>
              <w:tc>
                <w:tcPr>
                  <w:tcW w:w="533" w:type="pct"/>
                  <w:tcBorders>
                    <w:tl2br w:val="nil"/>
                    <w:tr2bl w:val="nil"/>
                  </w:tcBorders>
                  <w:noWrap w:val="0"/>
                  <w:vAlign w:val="center"/>
                </w:tcPr>
                <w:p w14:paraId="45361089">
                  <w:pPr>
                    <w:autoSpaceDE w:val="0"/>
                    <w:autoSpaceDN w:val="0"/>
                    <w:adjustRightInd w:val="0"/>
                    <w:snapToGrid w:val="0"/>
                    <w:jc w:val="center"/>
                    <w:rPr>
                      <w:rFonts w:hint="default" w:ascii="Times New Roman" w:hAnsi="Times New Roman" w:eastAsia="宋体" w:cs="Times New Roman"/>
                      <w:color w:val="auto"/>
                      <w:sz w:val="21"/>
                      <w:szCs w:val="21"/>
                      <w:lang w:val="en-US" w:eastAsia="zh-CN"/>
                    </w:rPr>
                  </w:pPr>
                  <w:r>
                    <w:rPr>
                      <w:rFonts w:hint="eastAsia"/>
                      <w:color w:val="auto"/>
                      <w:szCs w:val="21"/>
                      <w:lang w:val="en-US" w:eastAsia="zh-CN"/>
                    </w:rPr>
                    <w:t>符合</w:t>
                  </w:r>
                </w:p>
              </w:tc>
            </w:tr>
            <w:tr w14:paraId="04E5C9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494" w:hRule="atLeast"/>
                <w:jc w:val="center"/>
              </w:trPr>
              <w:tc>
                <w:tcPr>
                  <w:tcW w:w="805" w:type="pct"/>
                  <w:vMerge w:val="continue"/>
                  <w:tcBorders>
                    <w:tl2br w:val="nil"/>
                    <w:tr2bl w:val="nil"/>
                  </w:tcBorders>
                  <w:noWrap w:val="0"/>
                  <w:vAlign w:val="center"/>
                </w:tcPr>
                <w:p w14:paraId="03DDFCED">
                  <w:pPr>
                    <w:autoSpaceDE w:val="0"/>
                    <w:autoSpaceDN w:val="0"/>
                    <w:adjustRightInd w:val="0"/>
                    <w:snapToGrid w:val="0"/>
                    <w:jc w:val="center"/>
                    <w:rPr>
                      <w:color w:val="auto"/>
                    </w:rPr>
                  </w:pPr>
                </w:p>
              </w:tc>
              <w:tc>
                <w:tcPr>
                  <w:tcW w:w="2446" w:type="pct"/>
                  <w:tcBorders>
                    <w:tl2br w:val="nil"/>
                    <w:tr2bl w:val="nil"/>
                  </w:tcBorders>
                  <w:noWrap w:val="0"/>
                  <w:vAlign w:val="center"/>
                </w:tcPr>
                <w:p w14:paraId="60B65090">
                  <w:pPr>
                    <w:autoSpaceDE w:val="0"/>
                    <w:autoSpaceDN w:val="0"/>
                    <w:adjustRightInd w:val="0"/>
                    <w:snapToGrid w:val="0"/>
                    <w:rPr>
                      <w:rFonts w:hint="default" w:ascii="Times New Roman" w:hAnsi="Times New Roman" w:eastAsia="宋体" w:cs="Times New Roman"/>
                      <w:color w:val="auto"/>
                      <w:kern w:val="21"/>
                      <w:sz w:val="21"/>
                      <w:szCs w:val="21"/>
                      <w:lang w:val="en-US" w:eastAsia="zh-CN"/>
                    </w:rPr>
                  </w:pPr>
                  <w:r>
                    <w:rPr>
                      <w:rFonts w:hint="eastAsia" w:ascii="Times New Roman" w:hAnsi="Times New Roman" w:eastAsia="宋体" w:cs="Times New Roman"/>
                      <w:color w:val="auto"/>
                      <w:szCs w:val="21"/>
                    </w:rPr>
                    <w:t>严格审批手续，把好准入关。新改扩建涉气重点行业企业应达到环保绩效A级、绩效引领性水平。严格落实“三同</w:t>
                  </w:r>
                  <w:r>
                    <w:rPr>
                      <w:rFonts w:hint="eastAsia" w:cs="Times New Roman"/>
                      <w:color w:val="auto"/>
                      <w:szCs w:val="21"/>
                      <w:lang w:val="en-US" w:eastAsia="zh-CN"/>
                    </w:rPr>
                    <w:t>时”制度，加强建设期间监管。</w:t>
                  </w:r>
                </w:p>
              </w:tc>
              <w:tc>
                <w:tcPr>
                  <w:tcW w:w="1214" w:type="pct"/>
                  <w:tcBorders>
                    <w:tl2br w:val="nil"/>
                    <w:tr2bl w:val="nil"/>
                  </w:tcBorders>
                  <w:noWrap w:val="0"/>
                  <w:vAlign w:val="center"/>
                </w:tcPr>
                <w:p w14:paraId="71865824">
                  <w:pPr>
                    <w:autoSpaceDE w:val="0"/>
                    <w:autoSpaceDN w:val="0"/>
                    <w:adjustRightInd w:val="0"/>
                    <w:snapToGrid w:val="0"/>
                    <w:rPr>
                      <w:rFonts w:hint="default" w:ascii="Times New Roman" w:hAnsi="Times New Roman" w:eastAsia="宋体" w:cs="Times New Roman"/>
                      <w:color w:val="auto"/>
                      <w:kern w:val="21"/>
                      <w:sz w:val="21"/>
                      <w:szCs w:val="21"/>
                      <w:lang w:val="en-US" w:eastAsia="zh-CN"/>
                    </w:rPr>
                  </w:pPr>
                  <w:r>
                    <w:rPr>
                      <w:rFonts w:hint="default" w:ascii="Times New Roman" w:hAnsi="Times New Roman" w:eastAsia="宋体" w:cs="Times New Roman"/>
                      <w:color w:val="auto"/>
                      <w:kern w:val="0"/>
                      <w:szCs w:val="21"/>
                    </w:rPr>
                    <w:t>本项目为</w:t>
                  </w:r>
                  <w:r>
                    <w:rPr>
                      <w:rFonts w:hint="default" w:ascii="Times New Roman" w:hAnsi="Times New Roman" w:eastAsia="宋体" w:cs="Times New Roman"/>
                      <w:color w:val="auto"/>
                      <w:kern w:val="0"/>
                      <w:szCs w:val="21"/>
                      <w:lang w:val="en-US" w:eastAsia="zh-CN"/>
                    </w:rPr>
                    <w:t>高效氢燃料电池膜电极产业化项目</w:t>
                  </w:r>
                  <w:r>
                    <w:rPr>
                      <w:rFonts w:hint="eastAsia" w:ascii="Times New Roman" w:hAnsi="Times New Roman" w:eastAsia="宋体" w:cs="Times New Roman"/>
                      <w:color w:val="auto"/>
                      <w:kern w:val="0"/>
                      <w:szCs w:val="21"/>
                      <w:lang w:val="en-US" w:eastAsia="zh-CN"/>
                    </w:rPr>
                    <w:t>，</w:t>
                  </w:r>
                  <w:r>
                    <w:rPr>
                      <w:rFonts w:hint="eastAsia" w:cs="Times New Roman"/>
                      <w:color w:val="auto"/>
                      <w:szCs w:val="21"/>
                      <w:lang w:val="en-US" w:eastAsia="zh-CN"/>
                    </w:rPr>
                    <w:t>不属于</w:t>
                  </w:r>
                  <w:r>
                    <w:rPr>
                      <w:rFonts w:hint="eastAsia" w:ascii="Times New Roman" w:hAnsi="Times New Roman" w:eastAsia="宋体" w:cs="Times New Roman"/>
                      <w:color w:val="auto"/>
                      <w:szCs w:val="21"/>
                    </w:rPr>
                    <w:t>新改扩建涉气重点行业</w:t>
                  </w:r>
                  <w:r>
                    <w:rPr>
                      <w:rFonts w:hint="eastAsia" w:cs="Times New Roman"/>
                      <w:color w:val="auto"/>
                      <w:szCs w:val="21"/>
                      <w:lang w:eastAsia="zh-CN"/>
                    </w:rPr>
                    <w:t>。</w:t>
                  </w:r>
                </w:p>
              </w:tc>
              <w:tc>
                <w:tcPr>
                  <w:tcW w:w="533" w:type="pct"/>
                  <w:tcBorders>
                    <w:tl2br w:val="nil"/>
                    <w:tr2bl w:val="nil"/>
                  </w:tcBorders>
                  <w:noWrap w:val="0"/>
                  <w:vAlign w:val="center"/>
                </w:tcPr>
                <w:p w14:paraId="7FF07AE2">
                  <w:pPr>
                    <w:autoSpaceDE w:val="0"/>
                    <w:autoSpaceDN w:val="0"/>
                    <w:adjustRightInd w:val="0"/>
                    <w:snapToGrid w:val="0"/>
                    <w:jc w:val="center"/>
                    <w:rPr>
                      <w:rFonts w:hint="default" w:ascii="Times New Roman" w:hAnsi="Times New Roman" w:eastAsia="宋体" w:cs="Times New Roman"/>
                      <w:color w:val="auto"/>
                      <w:kern w:val="21"/>
                      <w:sz w:val="21"/>
                      <w:szCs w:val="21"/>
                      <w:lang w:val="en-US" w:eastAsia="zh-CN"/>
                    </w:rPr>
                  </w:pPr>
                  <w:r>
                    <w:rPr>
                      <w:rFonts w:hint="eastAsia"/>
                      <w:color w:val="auto"/>
                      <w:szCs w:val="21"/>
                      <w:lang w:val="en-US" w:eastAsia="zh-CN"/>
                    </w:rPr>
                    <w:t>符合</w:t>
                  </w:r>
                </w:p>
              </w:tc>
            </w:tr>
            <w:tr w14:paraId="7CBB38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494" w:hRule="atLeast"/>
                <w:jc w:val="center"/>
              </w:trPr>
              <w:tc>
                <w:tcPr>
                  <w:tcW w:w="805" w:type="pct"/>
                  <w:vMerge w:val="continue"/>
                  <w:tcBorders>
                    <w:tl2br w:val="nil"/>
                    <w:tr2bl w:val="nil"/>
                  </w:tcBorders>
                  <w:noWrap w:val="0"/>
                  <w:vAlign w:val="center"/>
                </w:tcPr>
                <w:p w14:paraId="4BD221A8">
                  <w:pPr>
                    <w:autoSpaceDE w:val="0"/>
                    <w:autoSpaceDN w:val="0"/>
                    <w:adjustRightInd w:val="0"/>
                    <w:snapToGrid w:val="0"/>
                    <w:jc w:val="center"/>
                    <w:rPr>
                      <w:rFonts w:hint="default" w:ascii="Times New Roman" w:hAnsi="Times New Roman" w:eastAsia="宋体" w:cs="Times New Roman"/>
                      <w:color w:val="auto"/>
                      <w:kern w:val="21"/>
                      <w:sz w:val="21"/>
                      <w:szCs w:val="21"/>
                      <w:lang w:val="en-US" w:eastAsia="zh-CN"/>
                    </w:rPr>
                  </w:pPr>
                </w:p>
              </w:tc>
              <w:tc>
                <w:tcPr>
                  <w:tcW w:w="2446" w:type="pct"/>
                  <w:tcBorders>
                    <w:tl2br w:val="nil"/>
                    <w:tr2bl w:val="nil"/>
                  </w:tcBorders>
                  <w:noWrap w:val="0"/>
                  <w:vAlign w:val="center"/>
                </w:tcPr>
                <w:p w14:paraId="08A8878A">
                  <w:pPr>
                    <w:autoSpaceDE w:val="0"/>
                    <w:autoSpaceDN w:val="0"/>
                    <w:adjustRightInd w:val="0"/>
                    <w:snapToGrid w:val="0"/>
                    <w:rPr>
                      <w:rFonts w:hint="default" w:ascii="Times New Roman" w:hAnsi="Times New Roman" w:eastAsia="宋体" w:cs="Times New Roman"/>
                      <w:color w:val="auto"/>
                      <w:kern w:val="21"/>
                      <w:sz w:val="21"/>
                      <w:szCs w:val="21"/>
                      <w:lang w:val="en-US" w:eastAsia="zh-CN"/>
                    </w:rPr>
                  </w:pPr>
                  <w:r>
                    <w:rPr>
                      <w:rFonts w:hint="eastAsia" w:cs="Times New Roman"/>
                      <w:color w:val="auto"/>
                      <w:szCs w:val="21"/>
                      <w:lang w:val="en-US" w:eastAsia="zh-CN"/>
                    </w:rPr>
                    <w:t>依法依规淘汰落后产能。按照产业结构调整指导目录要求，开展落后产能摸排，发现需要淘汰的落后产能及时列入年度计划，依法依规予以淘汰。</w:t>
                  </w:r>
                </w:p>
              </w:tc>
              <w:tc>
                <w:tcPr>
                  <w:tcW w:w="1214" w:type="pct"/>
                  <w:tcBorders>
                    <w:tl2br w:val="nil"/>
                    <w:tr2bl w:val="nil"/>
                  </w:tcBorders>
                  <w:noWrap w:val="0"/>
                  <w:vAlign w:val="center"/>
                </w:tcPr>
                <w:p w14:paraId="6DDC44B1">
                  <w:pPr>
                    <w:autoSpaceDE w:val="0"/>
                    <w:autoSpaceDN w:val="0"/>
                    <w:adjustRightInd w:val="0"/>
                    <w:snapToGrid w:val="0"/>
                    <w:rPr>
                      <w:rFonts w:hint="default" w:ascii="Times New Roman" w:hAnsi="Times New Roman" w:eastAsia="宋体" w:cs="Times New Roman"/>
                      <w:color w:val="auto"/>
                      <w:kern w:val="21"/>
                      <w:sz w:val="21"/>
                      <w:szCs w:val="21"/>
                      <w:lang w:val="en-US" w:eastAsia="zh-CN"/>
                    </w:rPr>
                  </w:pPr>
                  <w:r>
                    <w:rPr>
                      <w:rFonts w:hint="default" w:ascii="Times New Roman" w:hAnsi="Times New Roman" w:eastAsia="宋体" w:cs="Times New Roman"/>
                      <w:color w:val="auto"/>
                      <w:szCs w:val="21"/>
                      <w:lang w:val="en-US" w:eastAsia="zh-CN"/>
                    </w:rPr>
                    <w:t>根据《产业结构调整目录（2024年本）》，本项目不属于其中的鼓励类、限制类、淘汰类项目，为允许类项目。</w:t>
                  </w:r>
                </w:p>
              </w:tc>
              <w:tc>
                <w:tcPr>
                  <w:tcW w:w="533" w:type="pct"/>
                  <w:tcBorders>
                    <w:tl2br w:val="nil"/>
                    <w:tr2bl w:val="nil"/>
                  </w:tcBorders>
                  <w:noWrap w:val="0"/>
                  <w:vAlign w:val="center"/>
                </w:tcPr>
                <w:p w14:paraId="4DE99ADC">
                  <w:pPr>
                    <w:autoSpaceDE w:val="0"/>
                    <w:autoSpaceDN w:val="0"/>
                    <w:adjustRightInd w:val="0"/>
                    <w:snapToGrid w:val="0"/>
                    <w:jc w:val="center"/>
                    <w:rPr>
                      <w:rFonts w:hint="default" w:ascii="Times New Roman" w:hAnsi="Times New Roman" w:eastAsia="宋体" w:cs="Times New Roman"/>
                      <w:color w:val="auto"/>
                      <w:kern w:val="21"/>
                      <w:sz w:val="21"/>
                      <w:szCs w:val="21"/>
                      <w:lang w:val="en-US" w:eastAsia="zh-CN"/>
                    </w:rPr>
                  </w:pPr>
                  <w:r>
                    <w:rPr>
                      <w:rFonts w:hint="eastAsia"/>
                      <w:color w:val="auto"/>
                      <w:szCs w:val="21"/>
                      <w:lang w:val="en-US" w:eastAsia="zh-CN"/>
                    </w:rPr>
                    <w:t>符合</w:t>
                  </w:r>
                </w:p>
              </w:tc>
            </w:tr>
            <w:tr w14:paraId="1F7F27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62" w:hRule="atLeast"/>
                <w:jc w:val="center"/>
              </w:trPr>
              <w:tc>
                <w:tcPr>
                  <w:tcW w:w="805" w:type="pct"/>
                  <w:tcBorders>
                    <w:tl2br w:val="nil"/>
                    <w:tr2bl w:val="nil"/>
                  </w:tcBorders>
                  <w:noWrap w:val="0"/>
                  <w:vAlign w:val="center"/>
                </w:tcPr>
                <w:p w14:paraId="3CCA042A">
                  <w:pPr>
                    <w:jc w:val="center"/>
                    <w:rPr>
                      <w:rFonts w:hint="default" w:ascii="Times New Roman" w:hAnsi="Times New Roman" w:cs="Times New Roman"/>
                      <w:b w:val="0"/>
                      <w:bCs/>
                      <w:color w:val="auto"/>
                      <w:kern w:val="0"/>
                      <w:sz w:val="21"/>
                      <w:szCs w:val="21"/>
                      <w:highlight w:val="none"/>
                      <w:vertAlign w:val="baseline"/>
                      <w:lang w:val="en-US" w:eastAsia="zh-CN" w:bidi="ar-SA"/>
                    </w:rPr>
                  </w:pPr>
                  <w:r>
                    <w:rPr>
                      <w:color w:val="auto"/>
                      <w:szCs w:val="21"/>
                    </w:rPr>
                    <w:t>《挥发性有机物（VOCs）污染防治技术政策》（环保部2013年 第31号）</w:t>
                  </w:r>
                </w:p>
              </w:tc>
              <w:tc>
                <w:tcPr>
                  <w:tcW w:w="2446" w:type="pct"/>
                  <w:tcBorders>
                    <w:tl2br w:val="nil"/>
                    <w:tr2bl w:val="nil"/>
                  </w:tcBorders>
                  <w:noWrap w:val="0"/>
                  <w:vAlign w:val="center"/>
                </w:tcPr>
                <w:p w14:paraId="509FF331">
                  <w:pPr>
                    <w:rPr>
                      <w:rFonts w:hint="default" w:ascii="Times New Roman" w:hAnsi="Times New Roman" w:eastAsia="宋体" w:cs="Times New Roman"/>
                      <w:b w:val="0"/>
                      <w:bCs/>
                      <w:color w:val="auto"/>
                      <w:kern w:val="0"/>
                      <w:sz w:val="21"/>
                      <w:szCs w:val="21"/>
                      <w:highlight w:val="none"/>
                      <w:vertAlign w:val="baseline"/>
                      <w:lang w:val="en-US" w:eastAsia="zh-CN" w:bidi="ar-SA"/>
                    </w:rPr>
                  </w:pPr>
                  <w:r>
                    <w:rPr>
                      <w:color w:val="auto"/>
                      <w:szCs w:val="21"/>
                    </w:rPr>
                    <w:t>对于含低浓度VOCs的废气，有回收价值时可采用吸附技术、吸收技术对有机溶剂回收后达标排放；不宜回收时，可采用吸附浓缩燃烧技术、生物技术、吸收技术、等离子体技术或紫外光高级氧化技术等净化后达标排放</w:t>
                  </w:r>
                  <w:r>
                    <w:rPr>
                      <w:rFonts w:hint="eastAsia"/>
                      <w:color w:val="auto"/>
                      <w:szCs w:val="21"/>
                    </w:rPr>
                    <w:t>。</w:t>
                  </w:r>
                </w:p>
              </w:tc>
              <w:tc>
                <w:tcPr>
                  <w:tcW w:w="1214" w:type="pct"/>
                  <w:tcBorders>
                    <w:tl2br w:val="nil"/>
                    <w:tr2bl w:val="nil"/>
                  </w:tcBorders>
                  <w:noWrap w:val="0"/>
                  <w:vAlign w:val="center"/>
                </w:tcPr>
                <w:p w14:paraId="0EDE959A">
                  <w:pPr>
                    <w:rPr>
                      <w:rFonts w:hint="default" w:ascii="Times New Roman" w:hAnsi="Times New Roman" w:eastAsia="宋体" w:cs="Times New Roman"/>
                      <w:color w:val="auto"/>
                      <w:kern w:val="0"/>
                      <w:sz w:val="21"/>
                      <w:szCs w:val="21"/>
                      <w:lang w:val="en-US" w:eastAsia="zh-CN" w:bidi="ar"/>
                    </w:rPr>
                  </w:pPr>
                  <w:r>
                    <w:rPr>
                      <w:color w:val="auto"/>
                      <w:szCs w:val="21"/>
                    </w:rPr>
                    <w:t>本项目的含低浓度VOCs</w:t>
                  </w:r>
                  <w:r>
                    <w:rPr>
                      <w:rFonts w:hint="eastAsia"/>
                      <w:color w:val="auto"/>
                      <w:szCs w:val="21"/>
                    </w:rPr>
                    <w:t>废气</w:t>
                  </w:r>
                  <w:r>
                    <w:rPr>
                      <w:color w:val="auto"/>
                      <w:szCs w:val="21"/>
                    </w:rPr>
                    <w:t>经</w:t>
                  </w:r>
                  <w:r>
                    <w:rPr>
                      <w:rFonts w:hint="eastAsia"/>
                      <w:color w:val="auto"/>
                      <w:szCs w:val="21"/>
                    </w:rPr>
                    <w:t>二级活性炭</w:t>
                  </w:r>
                  <w:r>
                    <w:rPr>
                      <w:color w:val="auto"/>
                      <w:szCs w:val="21"/>
                    </w:rPr>
                    <w:t>吸附</w:t>
                  </w:r>
                  <w:r>
                    <w:rPr>
                      <w:rFonts w:hint="eastAsia"/>
                      <w:color w:val="auto"/>
                    </w:rPr>
                    <w:t>处理</w:t>
                  </w:r>
                  <w:r>
                    <w:rPr>
                      <w:color w:val="auto"/>
                      <w:szCs w:val="21"/>
                    </w:rPr>
                    <w:t>后，经</w:t>
                  </w:r>
                  <w:r>
                    <w:rPr>
                      <w:rFonts w:hint="eastAsia"/>
                      <w:color w:val="auto"/>
                      <w:szCs w:val="21"/>
                      <w:lang w:val="en-US" w:eastAsia="zh-CN"/>
                    </w:rPr>
                    <w:t>17m</w:t>
                  </w:r>
                  <w:r>
                    <w:rPr>
                      <w:color w:val="auto"/>
                      <w:szCs w:val="21"/>
                    </w:rPr>
                    <w:t>高排气筒达标排放，对环境影响较小。</w:t>
                  </w:r>
                </w:p>
              </w:tc>
              <w:tc>
                <w:tcPr>
                  <w:tcW w:w="533" w:type="pct"/>
                  <w:tcBorders>
                    <w:tl2br w:val="nil"/>
                    <w:tr2bl w:val="nil"/>
                  </w:tcBorders>
                  <w:noWrap w:val="0"/>
                  <w:vAlign w:val="center"/>
                </w:tcPr>
                <w:p w14:paraId="4BA0CBEF">
                  <w:pPr>
                    <w:jc w:val="center"/>
                    <w:rPr>
                      <w:rFonts w:hint="default" w:ascii="Times New Roman" w:hAnsi="Times New Roman" w:eastAsia="宋体" w:cs="Times New Roman"/>
                      <w:snapToGrid w:val="0"/>
                      <w:color w:val="auto"/>
                      <w:kern w:val="0"/>
                      <w:sz w:val="21"/>
                      <w:szCs w:val="21"/>
                      <w:lang w:val="en-US" w:eastAsia="zh-CN" w:bidi="ar-SA"/>
                    </w:rPr>
                  </w:pPr>
                  <w:r>
                    <w:rPr>
                      <w:color w:val="auto"/>
                      <w:szCs w:val="21"/>
                    </w:rPr>
                    <w:t>符合</w:t>
                  </w:r>
                </w:p>
              </w:tc>
            </w:tr>
            <w:tr w14:paraId="70B0D3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62" w:hRule="atLeast"/>
                <w:jc w:val="center"/>
              </w:trPr>
              <w:tc>
                <w:tcPr>
                  <w:tcW w:w="805" w:type="pct"/>
                  <w:tcBorders>
                    <w:tl2br w:val="nil"/>
                    <w:tr2bl w:val="nil"/>
                  </w:tcBorders>
                  <w:noWrap w:val="0"/>
                  <w:vAlign w:val="center"/>
                </w:tcPr>
                <w:p w14:paraId="063EE692">
                  <w:pPr>
                    <w:jc w:val="center"/>
                    <w:rPr>
                      <w:rFonts w:hint="eastAsia" w:eastAsia="宋体"/>
                      <w:color w:val="auto"/>
                      <w:szCs w:val="21"/>
                      <w:lang w:eastAsia="zh-CN"/>
                    </w:rPr>
                  </w:pPr>
                  <w:r>
                    <w:rPr>
                      <w:rFonts w:hint="eastAsia"/>
                      <w:color w:val="auto"/>
                      <w:szCs w:val="21"/>
                    </w:rPr>
                    <w:t>《有机硅压敏胶挥发分排放标准》</w:t>
                  </w:r>
                  <w:r>
                    <w:rPr>
                      <w:rFonts w:hint="eastAsia"/>
                      <w:color w:val="auto"/>
                      <w:szCs w:val="21"/>
                      <w:lang w:eastAsia="zh-CN"/>
                    </w:rPr>
                    <w:t>（T/FSI 163-2024）</w:t>
                  </w:r>
                </w:p>
              </w:tc>
              <w:tc>
                <w:tcPr>
                  <w:tcW w:w="2446" w:type="pct"/>
                  <w:tcBorders>
                    <w:tl2br w:val="nil"/>
                    <w:tr2bl w:val="nil"/>
                  </w:tcBorders>
                  <w:noWrap w:val="0"/>
                  <w:vAlign w:val="center"/>
                </w:tcPr>
                <w:p w14:paraId="070378A3">
                  <w:pPr>
                    <w:rPr>
                      <w:rFonts w:hint="default" w:eastAsia="宋体"/>
                      <w:color w:val="auto"/>
                      <w:szCs w:val="21"/>
                      <w:lang w:val="en-US" w:eastAsia="zh-CN"/>
                    </w:rPr>
                  </w:pPr>
                  <w:r>
                    <w:rPr>
                      <w:rFonts w:hint="eastAsia"/>
                      <w:color w:val="auto"/>
                      <w:szCs w:val="21"/>
                      <w:lang w:val="en-US" w:eastAsia="zh-CN"/>
                    </w:rPr>
                    <w:t>溶剂型有机硅压敏胶VOC含量排放限值为500g/L。</w:t>
                  </w:r>
                </w:p>
              </w:tc>
              <w:tc>
                <w:tcPr>
                  <w:tcW w:w="1214" w:type="pct"/>
                  <w:tcBorders>
                    <w:tl2br w:val="nil"/>
                    <w:tr2bl w:val="nil"/>
                  </w:tcBorders>
                  <w:noWrap w:val="0"/>
                  <w:vAlign w:val="center"/>
                </w:tcPr>
                <w:p w14:paraId="676F7F12">
                  <w:pPr>
                    <w:rPr>
                      <w:rFonts w:hint="default" w:eastAsia="宋体"/>
                      <w:color w:val="auto"/>
                      <w:szCs w:val="21"/>
                      <w:lang w:val="en-US" w:eastAsia="zh-CN"/>
                    </w:rPr>
                  </w:pPr>
                  <w:r>
                    <w:rPr>
                      <w:rFonts w:hint="eastAsia"/>
                      <w:color w:val="auto"/>
                      <w:szCs w:val="21"/>
                      <w:lang w:val="en-US" w:eastAsia="zh-CN"/>
                    </w:rPr>
                    <w:t>本项目使用的有机硅压敏胶含有的VOC含量为408g/L，符合限值要求。</w:t>
                  </w:r>
                </w:p>
              </w:tc>
              <w:tc>
                <w:tcPr>
                  <w:tcW w:w="533" w:type="pct"/>
                  <w:tcBorders>
                    <w:tl2br w:val="nil"/>
                    <w:tr2bl w:val="nil"/>
                  </w:tcBorders>
                  <w:noWrap w:val="0"/>
                  <w:vAlign w:val="center"/>
                </w:tcPr>
                <w:p w14:paraId="25530494">
                  <w:pPr>
                    <w:jc w:val="center"/>
                    <w:rPr>
                      <w:rFonts w:hint="eastAsia" w:eastAsia="宋体"/>
                      <w:color w:val="auto"/>
                      <w:szCs w:val="21"/>
                      <w:lang w:val="en-US" w:eastAsia="zh-CN"/>
                    </w:rPr>
                  </w:pPr>
                  <w:r>
                    <w:rPr>
                      <w:rFonts w:hint="eastAsia"/>
                      <w:color w:val="auto"/>
                      <w:szCs w:val="21"/>
                      <w:lang w:val="en-US" w:eastAsia="zh-CN"/>
                    </w:rPr>
                    <w:t>符合</w:t>
                  </w:r>
                </w:p>
              </w:tc>
            </w:tr>
          </w:tbl>
          <w:p w14:paraId="3321E106">
            <w:pPr>
              <w:numPr>
                <w:ilvl w:val="0"/>
                <w:numId w:val="2"/>
              </w:numPr>
              <w:spacing w:line="360" w:lineRule="auto"/>
              <w:ind w:left="0" w:leftChars="0" w:firstLine="0" w:firstLineChars="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选址合理性分析</w:t>
            </w:r>
          </w:p>
          <w:p w14:paraId="31D6306A">
            <w:pPr>
              <w:numPr>
                <w:ilvl w:val="0"/>
                <w:numId w:val="0"/>
              </w:numPr>
              <w:spacing w:line="360" w:lineRule="auto"/>
              <w:ind w:leftChars="0" w:firstLine="480" w:firstLineChars="200"/>
              <w:rPr>
                <w:rFonts w:hint="default" w:ascii="Times New Roman" w:hAnsi="Times New Roman" w:cs="Times New Roman"/>
                <w:b w:val="0"/>
                <w:bCs/>
                <w:color w:val="auto"/>
                <w:sz w:val="24"/>
              </w:rPr>
            </w:pPr>
            <w:r>
              <w:rPr>
                <w:rFonts w:hint="default" w:ascii="Times New Roman" w:hAnsi="Times New Roman" w:cs="Times New Roman"/>
                <w:b w:val="0"/>
                <w:bCs w:val="0"/>
                <w:color w:val="auto"/>
                <w:sz w:val="24"/>
                <w:szCs w:val="24"/>
                <w:lang w:val="en-US" w:eastAsia="zh-CN"/>
              </w:rPr>
              <w:t>本项目位于</w:t>
            </w:r>
            <w:r>
              <w:rPr>
                <w:rFonts w:hint="eastAsia" w:ascii="Times New Roman" w:hAnsi="Times New Roman" w:cs="Times New Roman"/>
                <w:b w:val="0"/>
                <w:bCs w:val="0"/>
                <w:color w:val="auto"/>
                <w:sz w:val="24"/>
                <w:szCs w:val="24"/>
                <w:lang w:val="en-US" w:eastAsia="zh-CN"/>
              </w:rPr>
              <w:t>陕西省西咸新区泾河新城永乐镇泾河智造创新产业园18#3层</w:t>
            </w:r>
            <w:r>
              <w:rPr>
                <w:rFonts w:hint="default" w:ascii="Times New Roman" w:hAnsi="Times New Roman" w:cs="Times New Roman"/>
                <w:b w:val="0"/>
                <w:bCs w:val="0"/>
                <w:color w:val="auto"/>
                <w:sz w:val="24"/>
                <w:szCs w:val="24"/>
                <w:lang w:val="en-US" w:eastAsia="zh-CN"/>
              </w:rPr>
              <w:t>，租用</w:t>
            </w:r>
            <w:r>
              <w:rPr>
                <w:rFonts w:hint="eastAsia" w:ascii="Times New Roman" w:hAnsi="Times New Roman" w:cs="Times New Roman"/>
                <w:b w:val="0"/>
                <w:bCs w:val="0"/>
                <w:color w:val="auto"/>
                <w:sz w:val="24"/>
                <w:szCs w:val="24"/>
                <w:lang w:val="en-US" w:eastAsia="zh-CN"/>
              </w:rPr>
              <w:t>西咸新区泾河新城产业园区发展有限公司</w:t>
            </w:r>
            <w:r>
              <w:rPr>
                <w:rFonts w:hint="default" w:ascii="Times New Roman" w:hAnsi="Times New Roman" w:cs="Times New Roman"/>
                <w:b w:val="0"/>
                <w:bCs w:val="0"/>
                <w:color w:val="auto"/>
                <w:sz w:val="24"/>
                <w:szCs w:val="24"/>
                <w:lang w:val="en-US" w:eastAsia="zh-CN"/>
              </w:rPr>
              <w:t>现有厂房，厂房租赁合同见附件</w:t>
            </w:r>
            <w:r>
              <w:rPr>
                <w:rFonts w:hint="eastAsia" w:ascii="Times New Roman" w:hAnsi="Times New Roman" w:cs="Times New Roman"/>
                <w:b w:val="0"/>
                <w:bCs w:val="0"/>
                <w:color w:val="auto"/>
                <w:sz w:val="24"/>
                <w:szCs w:val="24"/>
                <w:lang w:val="en-US" w:eastAsia="zh-CN"/>
              </w:rPr>
              <w:t>4</w:t>
            </w:r>
            <w:r>
              <w:rPr>
                <w:rFonts w:hint="default" w:ascii="Times New Roman" w:hAnsi="Times New Roman" w:cs="Times New Roman"/>
                <w:b w:val="0"/>
                <w:bCs w:val="0"/>
                <w:color w:val="auto"/>
                <w:sz w:val="24"/>
                <w:szCs w:val="24"/>
                <w:lang w:val="en-US" w:eastAsia="zh-CN"/>
              </w:rPr>
              <w:t>。</w:t>
            </w:r>
            <w:r>
              <w:rPr>
                <w:rFonts w:hint="eastAsia" w:ascii="Times New Roman" w:hAnsi="Times New Roman" w:cs="Times New Roman"/>
                <w:b w:val="0"/>
                <w:bCs/>
                <w:color w:val="auto"/>
                <w:sz w:val="24"/>
                <w:lang w:val="en-US" w:eastAsia="zh-CN"/>
              </w:rPr>
              <w:t>陕西氢动盛世能源科技有限公司</w:t>
            </w:r>
            <w:r>
              <w:rPr>
                <w:rFonts w:hint="default" w:ascii="Times New Roman" w:hAnsi="Times New Roman" w:cs="Times New Roman"/>
                <w:b w:val="0"/>
                <w:bCs/>
                <w:color w:val="auto"/>
                <w:sz w:val="24"/>
              </w:rPr>
              <w:t>租赁</w:t>
            </w:r>
            <w:r>
              <w:rPr>
                <w:rFonts w:hint="eastAsia" w:ascii="Times New Roman" w:hAnsi="Times New Roman" w:cs="Times New Roman"/>
                <w:b w:val="0"/>
                <w:bCs w:val="0"/>
                <w:color w:val="auto"/>
                <w:sz w:val="24"/>
                <w:szCs w:val="24"/>
                <w:lang w:val="en-US" w:eastAsia="zh-CN"/>
              </w:rPr>
              <w:t>西咸新区泾河新城产业园区发展有限公司</w:t>
            </w:r>
            <w:r>
              <w:rPr>
                <w:rFonts w:hint="default" w:ascii="Times New Roman" w:hAnsi="Times New Roman" w:cs="Times New Roman"/>
                <w:b w:val="0"/>
                <w:bCs/>
                <w:color w:val="auto"/>
                <w:sz w:val="24"/>
              </w:rPr>
              <w:t>厂房</w:t>
            </w:r>
            <w:r>
              <w:rPr>
                <w:rFonts w:hint="default" w:ascii="Times New Roman" w:hAnsi="Times New Roman" w:cs="Times New Roman"/>
                <w:b w:val="0"/>
                <w:bCs/>
                <w:color w:val="auto"/>
                <w:sz w:val="24"/>
                <w:lang w:eastAsia="zh-CN"/>
              </w:rPr>
              <w:t>，</w:t>
            </w:r>
            <w:r>
              <w:rPr>
                <w:rFonts w:hint="default" w:ascii="Times New Roman" w:hAnsi="Times New Roman" w:cs="Times New Roman"/>
                <w:b w:val="0"/>
                <w:bCs/>
                <w:color w:val="auto"/>
                <w:sz w:val="24"/>
              </w:rPr>
              <w:t>陕西</w:t>
            </w:r>
            <w:r>
              <w:rPr>
                <w:rFonts w:hint="eastAsia" w:ascii="Times New Roman" w:hAnsi="Times New Roman" w:cs="Times New Roman"/>
                <w:b w:val="0"/>
                <w:bCs/>
                <w:color w:val="auto"/>
                <w:sz w:val="24"/>
                <w:lang w:val="en-US" w:eastAsia="zh-CN"/>
              </w:rPr>
              <w:t>盛世氢芯科技</w:t>
            </w:r>
            <w:r>
              <w:rPr>
                <w:rFonts w:hint="default" w:ascii="Times New Roman" w:hAnsi="Times New Roman" w:cs="Times New Roman"/>
                <w:b w:val="0"/>
                <w:bCs/>
                <w:color w:val="auto"/>
                <w:sz w:val="24"/>
              </w:rPr>
              <w:t>有限公司</w:t>
            </w:r>
            <w:r>
              <w:rPr>
                <w:rFonts w:hint="eastAsia" w:ascii="Times New Roman" w:hAnsi="Times New Roman" w:cs="Times New Roman"/>
                <w:b w:val="0"/>
                <w:bCs/>
                <w:color w:val="auto"/>
                <w:sz w:val="24"/>
                <w:lang w:val="en-US" w:eastAsia="zh-CN"/>
              </w:rPr>
              <w:t>与其共同使用厂房，共同使用厂房情况说明见附件5。陕西氢动盛世能源科技有限公司与</w:t>
            </w:r>
            <w:r>
              <w:rPr>
                <w:rFonts w:hint="default" w:ascii="Times New Roman" w:hAnsi="Times New Roman" w:cs="Times New Roman"/>
                <w:b w:val="0"/>
                <w:bCs/>
                <w:color w:val="auto"/>
                <w:sz w:val="24"/>
              </w:rPr>
              <w:t>陕西</w:t>
            </w:r>
            <w:r>
              <w:rPr>
                <w:rFonts w:hint="eastAsia" w:ascii="Times New Roman" w:hAnsi="Times New Roman" w:cs="Times New Roman"/>
                <w:b w:val="0"/>
                <w:bCs/>
                <w:color w:val="auto"/>
                <w:sz w:val="24"/>
                <w:lang w:val="en-US" w:eastAsia="zh-CN"/>
              </w:rPr>
              <w:t>盛世氢芯科技</w:t>
            </w:r>
            <w:r>
              <w:rPr>
                <w:rFonts w:hint="default" w:ascii="Times New Roman" w:hAnsi="Times New Roman" w:cs="Times New Roman"/>
                <w:b w:val="0"/>
                <w:bCs/>
                <w:color w:val="auto"/>
                <w:sz w:val="24"/>
              </w:rPr>
              <w:t>有限公司</w:t>
            </w:r>
            <w:r>
              <w:rPr>
                <w:rFonts w:hint="eastAsia" w:ascii="Times New Roman" w:hAnsi="Times New Roman" w:cs="Times New Roman"/>
                <w:b w:val="0"/>
                <w:bCs/>
                <w:color w:val="auto"/>
                <w:sz w:val="24"/>
                <w:lang w:val="en-US" w:eastAsia="zh-CN"/>
              </w:rPr>
              <w:t>均属于盛世盈创氢能科技（陕西）有限公司的全资子公司，属于同一企业集团下的关联企业</w:t>
            </w:r>
            <w:r>
              <w:rPr>
                <w:rFonts w:hint="default" w:ascii="Times New Roman" w:hAnsi="Times New Roman" w:cs="Times New Roman"/>
                <w:b w:val="0"/>
                <w:bCs/>
                <w:color w:val="auto"/>
                <w:sz w:val="24"/>
              </w:rPr>
              <w:t>。</w:t>
            </w:r>
          </w:p>
          <w:p w14:paraId="195AE070">
            <w:pPr>
              <w:numPr>
                <w:ilvl w:val="0"/>
                <w:numId w:val="0"/>
              </w:numPr>
              <w:spacing w:line="360" w:lineRule="auto"/>
              <w:ind w:leftChars="0" w:firstLine="480" w:firstLineChars="200"/>
              <w:rPr>
                <w:rFonts w:hint="default" w:ascii="Times New Roman" w:hAnsi="Times New Roman" w:cs="Times New Roman"/>
                <w:b w:val="0"/>
                <w:bCs w:val="0"/>
                <w:color w:val="auto"/>
                <w:sz w:val="24"/>
                <w:szCs w:val="24"/>
                <w:lang w:val="en-US" w:eastAsia="zh-CN"/>
              </w:rPr>
            </w:pPr>
            <w:r>
              <w:rPr>
                <w:rFonts w:hint="eastAsia"/>
                <w:color w:val="auto"/>
                <w:sz w:val="24"/>
              </w:rPr>
              <w:t>项目用地性质为工业用地，土地证见附件</w:t>
            </w:r>
            <w:r>
              <w:rPr>
                <w:rFonts w:hint="eastAsia"/>
                <w:color w:val="auto"/>
                <w:sz w:val="24"/>
                <w:lang w:val="en-US" w:eastAsia="zh-CN"/>
              </w:rPr>
              <w:t>6，与《西咸新区详细规划管控一张图》（见附图5）所示工业用地相符</w:t>
            </w:r>
            <w:r>
              <w:rPr>
                <w:rFonts w:hint="default" w:ascii="Times New Roman" w:hAnsi="Times New Roman" w:cs="Times New Roman"/>
                <w:b w:val="0"/>
                <w:bCs w:val="0"/>
                <w:color w:val="auto"/>
                <w:sz w:val="24"/>
                <w:szCs w:val="24"/>
                <w:lang w:val="en-US" w:eastAsia="zh-CN"/>
              </w:rPr>
              <w:t>。</w:t>
            </w:r>
          </w:p>
          <w:p w14:paraId="3E80600F">
            <w:pPr>
              <w:numPr>
                <w:ilvl w:val="0"/>
                <w:numId w:val="0"/>
              </w:numPr>
              <w:spacing w:line="360" w:lineRule="auto"/>
              <w:ind w:leftChars="0" w:firstLine="480" w:firstLineChars="200"/>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项目所在地地理位置优越，交通便利，供水、供电、供气和通讯等基础配套设施完善，可以满足本项目建设及运营需要；项目周边500m范围内无集中式饮用水水源地、自然保护区、风景名胜区等特殊环境保护目标，也无环境保护方面制约因素。本项目实施后，污染物产生量较小，在落实环评提出的各项污染治理措施后，各污染物均可做到达标排放，对周围环境影响较小。</w:t>
            </w:r>
          </w:p>
          <w:p w14:paraId="0AADC3C4">
            <w:pPr>
              <w:numPr>
                <w:ilvl w:val="0"/>
                <w:numId w:val="0"/>
              </w:numPr>
              <w:spacing w:line="360" w:lineRule="auto"/>
              <w:ind w:leftChars="0" w:firstLine="480" w:firstLineChars="200"/>
              <w:rPr>
                <w:rFonts w:hint="default" w:ascii="Times New Roman" w:hAnsi="Times New Roman" w:cs="Times New Roman"/>
                <w:color w:val="auto"/>
                <w:lang w:val="en-US" w:eastAsia="zh-CN"/>
              </w:rPr>
            </w:pPr>
            <w:r>
              <w:rPr>
                <w:rFonts w:hint="default" w:ascii="Times New Roman" w:hAnsi="Times New Roman" w:cs="Times New Roman"/>
                <w:b w:val="0"/>
                <w:bCs w:val="0"/>
                <w:color w:val="auto"/>
                <w:sz w:val="24"/>
                <w:szCs w:val="24"/>
                <w:lang w:val="en-US" w:eastAsia="zh-CN"/>
              </w:rPr>
              <w:t>综上，项目选址合理。</w:t>
            </w:r>
          </w:p>
        </w:tc>
      </w:tr>
    </w:tbl>
    <w:p w14:paraId="45F4724A">
      <w:pPr>
        <w:spacing w:line="360" w:lineRule="auto"/>
        <w:outlineLvl w:val="0"/>
        <w:rPr>
          <w:rFonts w:hint="default" w:ascii="Times New Roman" w:hAnsi="Times New Roman" w:eastAsia="黑体" w:cs="Times New Roman"/>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4E5B768D">
      <w:pPr>
        <w:pStyle w:val="23"/>
        <w:jc w:val="center"/>
        <w:outlineLvl w:val="0"/>
        <w:rPr>
          <w:rFonts w:hint="default" w:ascii="Times New Roman" w:hAnsi="Times New Roman" w:eastAsia="黑体" w:cs="Times New Roman"/>
          <w:snapToGrid w:val="0"/>
          <w:sz w:val="30"/>
          <w:szCs w:val="30"/>
        </w:rPr>
      </w:pPr>
      <w:bookmarkStart w:id="6" w:name="_Toc9183"/>
      <w:r>
        <w:rPr>
          <w:rFonts w:hint="default" w:ascii="Times New Roman" w:hAnsi="Times New Roman" w:eastAsia="黑体" w:cs="Times New Roman"/>
          <w:snapToGrid w:val="0"/>
          <w:sz w:val="30"/>
          <w:szCs w:val="30"/>
        </w:rPr>
        <w:t>二、建设项目工程分析</w:t>
      </w:r>
      <w:bookmarkEnd w:id="6"/>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6"/>
        <w:gridCol w:w="8538"/>
      </w:tblGrid>
      <w:tr w14:paraId="59D783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47" w:hRule="atLeast"/>
          <w:jc w:val="center"/>
        </w:trPr>
        <w:tc>
          <w:tcPr>
            <w:tcW w:w="446" w:type="dxa"/>
            <w:noWrap w:val="0"/>
            <w:vAlign w:val="center"/>
          </w:tcPr>
          <w:p w14:paraId="22FA724C">
            <w:pPr>
              <w:pStyle w:val="23"/>
              <w:adjustRightInd w:val="0"/>
              <w:snapToGrid w:val="0"/>
              <w:spacing w:before="0" w:beforeAutospacing="0" w:after="0" w:afterAutospacing="0"/>
              <w:jc w:val="center"/>
              <w:rPr>
                <w:rFonts w:hint="default" w:ascii="Times New Roman" w:hAnsi="Times New Roman" w:cs="Times New Roman"/>
                <w:b/>
                <w:bCs/>
                <w:color w:val="auto"/>
                <w:sz w:val="24"/>
                <w:szCs w:val="24"/>
              </w:rPr>
            </w:pPr>
            <w:r>
              <w:rPr>
                <w:rFonts w:hint="default" w:ascii="Times New Roman" w:hAnsi="Times New Roman" w:cs="Times New Roman"/>
                <w:b w:val="0"/>
                <w:bCs w:val="0"/>
                <w:color w:val="auto"/>
                <w:sz w:val="24"/>
                <w:szCs w:val="24"/>
              </w:rPr>
              <w:t>建设内容</w:t>
            </w:r>
          </w:p>
        </w:tc>
        <w:tc>
          <w:tcPr>
            <w:tcW w:w="8538" w:type="dxa"/>
            <w:noWrap w:val="0"/>
            <w:vAlign w:val="top"/>
          </w:tcPr>
          <w:p w14:paraId="0E57E9C6">
            <w:pPr>
              <w:spacing w:line="360" w:lineRule="auto"/>
              <w:ind w:firstLine="482" w:firstLineChars="200"/>
              <w:rPr>
                <w:b/>
                <w:bCs/>
                <w:color w:val="auto"/>
                <w:sz w:val="24"/>
              </w:rPr>
            </w:pPr>
            <w:r>
              <w:rPr>
                <w:rFonts w:hint="eastAsia"/>
                <w:b/>
                <w:color w:val="auto"/>
                <w:sz w:val="24"/>
              </w:rPr>
              <w:t>1</w:t>
            </w:r>
            <w:r>
              <w:rPr>
                <w:rFonts w:hint="eastAsia"/>
                <w:b/>
                <w:bCs/>
                <w:color w:val="auto"/>
                <w:sz w:val="24"/>
              </w:rPr>
              <w:t>、项目基本情况</w:t>
            </w:r>
          </w:p>
          <w:p w14:paraId="641F0BA4">
            <w:pPr>
              <w:spacing w:line="360" w:lineRule="auto"/>
              <w:ind w:firstLine="480" w:firstLineChars="200"/>
              <w:rPr>
                <w:color w:val="auto"/>
                <w:sz w:val="24"/>
              </w:rPr>
            </w:pPr>
            <w:r>
              <w:rPr>
                <w:color w:val="auto"/>
                <w:sz w:val="24"/>
              </w:rPr>
              <w:t>项目名称：</w:t>
            </w:r>
            <w:r>
              <w:rPr>
                <w:rFonts w:hint="eastAsia"/>
                <w:color w:val="auto"/>
                <w:sz w:val="24"/>
                <w:lang w:val="en-US" w:eastAsia="zh-CN"/>
              </w:rPr>
              <w:t>高效氢燃料电池膜电极产业化</w:t>
            </w:r>
            <w:r>
              <w:rPr>
                <w:rFonts w:hint="default"/>
                <w:color w:val="auto"/>
                <w:sz w:val="24"/>
                <w:lang w:val="en-US" w:eastAsia="zh-CN"/>
              </w:rPr>
              <w:t>项目</w:t>
            </w:r>
          </w:p>
          <w:p w14:paraId="0287427E">
            <w:pPr>
              <w:spacing w:line="360" w:lineRule="auto"/>
              <w:ind w:firstLine="480" w:firstLineChars="200"/>
              <w:rPr>
                <w:color w:val="auto"/>
                <w:sz w:val="24"/>
              </w:rPr>
            </w:pPr>
            <w:r>
              <w:rPr>
                <w:color w:val="auto"/>
                <w:sz w:val="24"/>
              </w:rPr>
              <w:t>建设单位：</w:t>
            </w:r>
            <w:r>
              <w:rPr>
                <w:rFonts w:hint="default"/>
                <w:color w:val="auto"/>
                <w:sz w:val="24"/>
                <w:lang w:val="en-US" w:eastAsia="zh-CN"/>
              </w:rPr>
              <w:t>陕西</w:t>
            </w:r>
            <w:r>
              <w:rPr>
                <w:rFonts w:hint="eastAsia"/>
                <w:color w:val="auto"/>
                <w:sz w:val="24"/>
                <w:lang w:val="en-US" w:eastAsia="zh-CN"/>
              </w:rPr>
              <w:t>盛世氢芯科技</w:t>
            </w:r>
            <w:r>
              <w:rPr>
                <w:rFonts w:hint="default"/>
                <w:color w:val="auto"/>
                <w:sz w:val="24"/>
                <w:lang w:val="en-US" w:eastAsia="zh-CN"/>
              </w:rPr>
              <w:t>有限公司</w:t>
            </w:r>
          </w:p>
          <w:p w14:paraId="31AD6766">
            <w:pPr>
              <w:spacing w:line="360" w:lineRule="auto"/>
              <w:ind w:firstLine="480" w:firstLineChars="200"/>
              <w:rPr>
                <w:color w:val="auto"/>
                <w:sz w:val="24"/>
              </w:rPr>
            </w:pPr>
            <w:r>
              <w:rPr>
                <w:color w:val="auto"/>
                <w:sz w:val="24"/>
              </w:rPr>
              <w:t>建设性质：</w:t>
            </w:r>
            <w:r>
              <w:rPr>
                <w:rFonts w:hint="eastAsia"/>
                <w:color w:val="auto"/>
                <w:sz w:val="24"/>
              </w:rPr>
              <w:t>新建</w:t>
            </w:r>
          </w:p>
          <w:p w14:paraId="246DBDE0">
            <w:pPr>
              <w:spacing w:line="360" w:lineRule="auto"/>
              <w:ind w:firstLine="480" w:firstLineChars="200"/>
              <w:rPr>
                <w:color w:val="auto"/>
                <w:sz w:val="24"/>
              </w:rPr>
            </w:pPr>
            <w:r>
              <w:rPr>
                <w:color w:val="auto"/>
                <w:sz w:val="24"/>
              </w:rPr>
              <w:t>项目投资：项目总投资为</w:t>
            </w:r>
            <w:r>
              <w:rPr>
                <w:rFonts w:hint="eastAsia"/>
                <w:color w:val="auto"/>
                <w:sz w:val="24"/>
                <w:lang w:val="en-US" w:eastAsia="zh-CN"/>
              </w:rPr>
              <w:t>32000</w:t>
            </w:r>
            <w:r>
              <w:rPr>
                <w:color w:val="auto"/>
                <w:sz w:val="24"/>
              </w:rPr>
              <w:t>万元，资金</w:t>
            </w:r>
            <w:r>
              <w:rPr>
                <w:rFonts w:hint="eastAsia"/>
                <w:color w:val="auto"/>
                <w:sz w:val="24"/>
              </w:rPr>
              <w:t>全部由</w:t>
            </w:r>
            <w:r>
              <w:rPr>
                <w:color w:val="auto"/>
                <w:sz w:val="24"/>
              </w:rPr>
              <w:t>企业自筹。</w:t>
            </w:r>
          </w:p>
          <w:p w14:paraId="4245A1A0">
            <w:pPr>
              <w:spacing w:line="360" w:lineRule="auto"/>
              <w:ind w:firstLine="480" w:firstLineChars="200"/>
              <w:rPr>
                <w:color w:val="auto"/>
                <w:sz w:val="24"/>
              </w:rPr>
            </w:pPr>
            <w:r>
              <w:rPr>
                <w:color w:val="auto"/>
                <w:sz w:val="24"/>
              </w:rPr>
              <w:t>建设地点：</w:t>
            </w:r>
            <w:r>
              <w:rPr>
                <w:rFonts w:hint="eastAsia"/>
                <w:color w:val="auto"/>
                <w:sz w:val="24"/>
              </w:rPr>
              <w:t>项目位于</w:t>
            </w:r>
            <w:r>
              <w:rPr>
                <w:rFonts w:hint="default" w:ascii="Times New Roman" w:hAnsi="Times New Roman" w:eastAsia="宋体" w:cs="Times New Roman"/>
                <w:color w:val="auto"/>
                <w:sz w:val="24"/>
                <w:szCs w:val="24"/>
                <w:lang w:val="en-US" w:eastAsia="zh-CN"/>
              </w:rPr>
              <w:t>陕西省西咸新区泾河新城永乐镇泾河智造创新产业园18#3层</w:t>
            </w:r>
            <w:r>
              <w:rPr>
                <w:color w:val="auto"/>
                <w:sz w:val="24"/>
              </w:rPr>
              <w:t>，中心位置地理为</w:t>
            </w:r>
            <w:r>
              <w:rPr>
                <w:rFonts w:hint="default" w:ascii="Times New Roman" w:hAnsi="Times New Roman" w:cs="Times New Roman"/>
                <w:color w:val="auto"/>
                <w:sz w:val="24"/>
                <w:szCs w:val="24"/>
                <w:u w:val="none"/>
                <w:lang w:val="en-US" w:eastAsia="zh-CN"/>
              </w:rPr>
              <w:t>东经108°57'28.63</w:t>
            </w:r>
            <w:r>
              <w:rPr>
                <w:rFonts w:hint="eastAsia" w:ascii="Times New Roman" w:hAnsi="Times New Roman" w:cs="Times New Roman"/>
                <w:color w:val="auto"/>
                <w:sz w:val="24"/>
                <w:szCs w:val="24"/>
                <w:u w:val="none"/>
                <w:lang w:val="en-US" w:eastAsia="zh-CN"/>
              </w:rPr>
              <w:t>9</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w:t>
            </w:r>
            <w:r>
              <w:rPr>
                <w:rFonts w:hint="default" w:ascii="Times New Roman" w:hAnsi="Times New Roman" w:cs="Times New Roman"/>
                <w:color w:val="auto"/>
                <w:sz w:val="24"/>
                <w:szCs w:val="24"/>
                <w:u w:val="none"/>
                <w:lang w:val="en-US" w:eastAsia="zh-CN"/>
              </w:rPr>
              <w:t>北纬34°32'09.176"</w:t>
            </w:r>
            <w:r>
              <w:rPr>
                <w:color w:val="auto"/>
                <w:sz w:val="24"/>
              </w:rPr>
              <w:t>。详见附图1地理位置图。</w:t>
            </w:r>
          </w:p>
          <w:p w14:paraId="622D0D3B">
            <w:pPr>
              <w:spacing w:line="360" w:lineRule="auto"/>
              <w:ind w:firstLine="480" w:firstLineChars="200"/>
              <w:rPr>
                <w:color w:val="auto"/>
                <w:sz w:val="24"/>
              </w:rPr>
            </w:pPr>
            <w:r>
              <w:rPr>
                <w:color w:val="auto"/>
                <w:sz w:val="24"/>
              </w:rPr>
              <w:t>四邻关系：</w:t>
            </w:r>
            <w:r>
              <w:rPr>
                <w:rFonts w:hint="default" w:ascii="Times New Roman" w:hAnsi="Times New Roman" w:cs="Times New Roman"/>
                <w:b w:val="0"/>
                <w:bCs w:val="0"/>
                <w:color w:val="auto"/>
                <w:sz w:val="24"/>
                <w:szCs w:val="24"/>
                <w:lang w:val="en-US" w:eastAsia="zh-CN"/>
              </w:rPr>
              <w:t>本项目所在</w:t>
            </w:r>
            <w:r>
              <w:rPr>
                <w:rFonts w:hint="eastAsia" w:ascii="Times New Roman" w:hAnsi="Times New Roman" w:cs="Times New Roman"/>
                <w:b w:val="0"/>
                <w:bCs w:val="0"/>
                <w:color w:val="auto"/>
                <w:sz w:val="24"/>
                <w:szCs w:val="24"/>
                <w:lang w:val="en-US" w:eastAsia="zh-CN"/>
              </w:rPr>
              <w:t>18</w:t>
            </w:r>
            <w:r>
              <w:rPr>
                <w:rFonts w:hint="default" w:ascii="Times New Roman" w:hAnsi="Times New Roman" w:cs="Times New Roman"/>
                <w:b w:val="0"/>
                <w:bCs w:val="0"/>
                <w:color w:val="auto"/>
                <w:sz w:val="24"/>
                <w:szCs w:val="24"/>
                <w:lang w:val="en-US" w:eastAsia="zh-CN"/>
              </w:rPr>
              <w:t>栋</w:t>
            </w:r>
            <w:r>
              <w:rPr>
                <w:rFonts w:hint="eastAsia" w:ascii="Times New Roman" w:hAnsi="Times New Roman" w:cs="Times New Roman"/>
                <w:b w:val="0"/>
                <w:bCs w:val="0"/>
                <w:color w:val="auto"/>
                <w:sz w:val="24"/>
                <w:szCs w:val="24"/>
                <w:lang w:val="en-US" w:eastAsia="zh-CN"/>
              </w:rPr>
              <w:t>厂房</w:t>
            </w:r>
            <w:r>
              <w:rPr>
                <w:rFonts w:hint="default" w:ascii="Times New Roman" w:hAnsi="Times New Roman" w:cs="Times New Roman"/>
                <w:b w:val="0"/>
                <w:bCs w:val="0"/>
                <w:color w:val="auto"/>
                <w:sz w:val="24"/>
                <w:szCs w:val="24"/>
                <w:lang w:val="en-US" w:eastAsia="zh-CN"/>
              </w:rPr>
              <w:t>共</w:t>
            </w:r>
            <w:r>
              <w:rPr>
                <w:rFonts w:hint="eastAsia" w:ascii="Times New Roman" w:hAnsi="Times New Roman" w:cs="Times New Roman"/>
                <w:b w:val="0"/>
                <w:bCs w:val="0"/>
                <w:color w:val="auto"/>
                <w:sz w:val="24"/>
                <w:szCs w:val="24"/>
                <w:lang w:val="en-US" w:eastAsia="zh-CN"/>
              </w:rPr>
              <w:t>4</w:t>
            </w:r>
            <w:r>
              <w:rPr>
                <w:rFonts w:hint="default" w:ascii="Times New Roman" w:hAnsi="Times New Roman" w:cs="Times New Roman"/>
                <w:b w:val="0"/>
                <w:bCs w:val="0"/>
                <w:color w:val="auto"/>
                <w:sz w:val="24"/>
                <w:szCs w:val="24"/>
                <w:lang w:val="en-US" w:eastAsia="zh-CN"/>
              </w:rPr>
              <w:t>层，</w:t>
            </w:r>
            <w:r>
              <w:rPr>
                <w:rFonts w:hint="eastAsia" w:ascii="Times New Roman" w:hAnsi="Times New Roman" w:cs="Times New Roman"/>
                <w:b w:val="0"/>
                <w:bCs w:val="0"/>
                <w:color w:val="auto"/>
                <w:sz w:val="24"/>
                <w:szCs w:val="24"/>
                <w:lang w:val="en-US" w:eastAsia="zh-CN"/>
              </w:rPr>
              <w:t>1层和2层为陕西旭氢时代科技有限公司，4层为</w:t>
            </w:r>
            <w:r>
              <w:rPr>
                <w:rFonts w:hint="eastAsia" w:ascii="Times New Roman" w:hAnsi="Times New Roman" w:cs="Times New Roman"/>
                <w:b w:val="0"/>
                <w:bCs/>
                <w:color w:val="auto"/>
                <w:sz w:val="24"/>
                <w:lang w:val="en-US" w:eastAsia="zh-CN"/>
              </w:rPr>
              <w:t>盛世盈创氢能科技（陕西）有限公司</w:t>
            </w:r>
            <w:r>
              <w:rPr>
                <w:rFonts w:hint="default" w:ascii="Times New Roman" w:hAnsi="Times New Roman"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项目</w:t>
            </w:r>
            <w:r>
              <w:rPr>
                <w:rFonts w:hint="default" w:ascii="Times New Roman" w:hAnsi="Times New Roman" w:cs="Times New Roman"/>
                <w:b w:val="0"/>
                <w:bCs w:val="0"/>
                <w:color w:val="auto"/>
                <w:sz w:val="24"/>
                <w:szCs w:val="24"/>
                <w:lang w:val="en-US" w:eastAsia="zh-CN"/>
              </w:rPr>
              <w:t>东侧</w:t>
            </w:r>
            <w:r>
              <w:rPr>
                <w:rFonts w:hint="eastAsia" w:ascii="Times New Roman" w:hAnsi="Times New Roman" w:cs="Times New Roman"/>
                <w:b w:val="0"/>
                <w:bCs w:val="0"/>
                <w:color w:val="auto"/>
                <w:sz w:val="24"/>
                <w:szCs w:val="24"/>
                <w:lang w:val="en-US" w:eastAsia="zh-CN"/>
              </w:rPr>
              <w:t>和西侧分别</w:t>
            </w:r>
            <w:r>
              <w:rPr>
                <w:rFonts w:hint="default" w:ascii="Times New Roman" w:hAnsi="Times New Roman" w:cs="Times New Roman"/>
                <w:b w:val="0"/>
                <w:bCs w:val="0"/>
                <w:color w:val="auto"/>
                <w:sz w:val="24"/>
                <w:szCs w:val="24"/>
                <w:lang w:val="en-US" w:eastAsia="zh-CN"/>
              </w:rPr>
              <w:t>为</w:t>
            </w:r>
            <w:r>
              <w:rPr>
                <w:rFonts w:hint="eastAsia" w:ascii="Times New Roman" w:hAnsi="Times New Roman" w:cs="Times New Roman"/>
                <w:b w:val="0"/>
                <w:bCs w:val="0"/>
                <w:color w:val="auto"/>
                <w:sz w:val="24"/>
                <w:szCs w:val="24"/>
                <w:lang w:val="en-US" w:eastAsia="zh-CN"/>
              </w:rPr>
              <w:t>西咸新区泾河新城产业园区发展有限公司</w:t>
            </w:r>
            <w:r>
              <w:rPr>
                <w:rFonts w:hint="default" w:ascii="Times New Roman" w:hAnsi="Times New Roman" w:cs="Times New Roman"/>
                <w:b w:val="0"/>
                <w:bCs w:val="0"/>
                <w:color w:val="auto"/>
                <w:sz w:val="24"/>
                <w:szCs w:val="24"/>
                <w:lang w:val="en-US" w:eastAsia="zh-CN"/>
              </w:rPr>
              <w:t>12#厂房</w:t>
            </w:r>
            <w:r>
              <w:rPr>
                <w:rFonts w:hint="eastAsia" w:ascii="Times New Roman" w:hAnsi="Times New Roman" w:cs="Times New Roman"/>
                <w:b w:val="0"/>
                <w:bCs w:val="0"/>
                <w:color w:val="auto"/>
                <w:sz w:val="24"/>
                <w:szCs w:val="24"/>
                <w:lang w:val="en-US" w:eastAsia="zh-CN"/>
              </w:rPr>
              <w:t>和22#厂房</w:t>
            </w:r>
            <w:r>
              <w:rPr>
                <w:rFonts w:hint="default" w:ascii="Times New Roman" w:hAnsi="Times New Roman"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北</w:t>
            </w:r>
            <w:r>
              <w:rPr>
                <w:rFonts w:hint="default" w:ascii="Times New Roman" w:hAnsi="Times New Roman" w:cs="Times New Roman"/>
                <w:b w:val="0"/>
                <w:bCs w:val="0"/>
                <w:color w:val="auto"/>
                <w:sz w:val="24"/>
                <w:szCs w:val="24"/>
                <w:lang w:val="en-US" w:eastAsia="zh-CN"/>
              </w:rPr>
              <w:t>侧为</w:t>
            </w:r>
            <w:r>
              <w:rPr>
                <w:rFonts w:hint="eastAsia" w:ascii="Times New Roman" w:hAnsi="Times New Roman" w:cs="Times New Roman"/>
                <w:b w:val="0"/>
                <w:bCs w:val="0"/>
                <w:color w:val="auto"/>
                <w:sz w:val="24"/>
                <w:szCs w:val="24"/>
                <w:lang w:val="en-US" w:eastAsia="zh-CN"/>
              </w:rPr>
              <w:t>燃料电池中试测试平台</w:t>
            </w:r>
            <w:r>
              <w:rPr>
                <w:rFonts w:hint="default" w:ascii="Times New Roman" w:hAnsi="Times New Roman"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南</w:t>
            </w:r>
            <w:r>
              <w:rPr>
                <w:rFonts w:hint="default" w:ascii="Times New Roman" w:hAnsi="Times New Roman" w:cs="Times New Roman"/>
                <w:b w:val="0"/>
                <w:bCs w:val="0"/>
                <w:color w:val="auto"/>
                <w:sz w:val="24"/>
                <w:szCs w:val="24"/>
                <w:lang w:val="en-US" w:eastAsia="zh-CN"/>
              </w:rPr>
              <w:t>侧为</w:t>
            </w:r>
            <w:r>
              <w:rPr>
                <w:rFonts w:hint="eastAsia" w:ascii="Times New Roman" w:hAnsi="Times New Roman" w:cs="Times New Roman"/>
                <w:b w:val="0"/>
                <w:bCs w:val="0"/>
                <w:color w:val="auto"/>
                <w:sz w:val="24"/>
                <w:szCs w:val="24"/>
                <w:lang w:val="en-US" w:eastAsia="zh-CN"/>
              </w:rPr>
              <w:t>陕西秦源泰动力设备有限公司</w:t>
            </w:r>
            <w:r>
              <w:rPr>
                <w:rFonts w:hint="eastAsia"/>
                <w:color w:val="auto"/>
                <w:sz w:val="24"/>
              </w:rPr>
              <w:t>。</w:t>
            </w:r>
            <w:r>
              <w:rPr>
                <w:color w:val="auto"/>
                <w:sz w:val="24"/>
              </w:rPr>
              <w:t>详见附图</w:t>
            </w:r>
            <w:r>
              <w:rPr>
                <w:rFonts w:hint="eastAsia"/>
                <w:color w:val="auto"/>
                <w:sz w:val="24"/>
              </w:rPr>
              <w:t>2</w:t>
            </w:r>
            <w:r>
              <w:rPr>
                <w:color w:val="auto"/>
                <w:sz w:val="24"/>
              </w:rPr>
              <w:t>四邻关系图。</w:t>
            </w:r>
          </w:p>
          <w:p w14:paraId="66361BAD">
            <w:pPr>
              <w:spacing w:line="360" w:lineRule="auto"/>
              <w:ind w:firstLine="482" w:firstLineChars="200"/>
              <w:rPr>
                <w:b/>
                <w:bCs/>
                <w:color w:val="auto"/>
                <w:sz w:val="24"/>
              </w:rPr>
            </w:pPr>
            <w:r>
              <w:rPr>
                <w:rFonts w:hint="eastAsia"/>
                <w:b/>
                <w:bCs/>
                <w:color w:val="auto"/>
                <w:sz w:val="24"/>
              </w:rPr>
              <w:t>2</w:t>
            </w:r>
            <w:r>
              <w:rPr>
                <w:b/>
                <w:bCs/>
                <w:color w:val="auto"/>
                <w:sz w:val="24"/>
              </w:rPr>
              <w:t>、建设规模及建设内容</w:t>
            </w:r>
          </w:p>
          <w:p w14:paraId="473ECA80">
            <w:pPr>
              <w:widowControl/>
              <w:spacing w:line="360" w:lineRule="auto"/>
              <w:ind w:firstLine="480" w:firstLineChars="200"/>
              <w:rPr>
                <w:color w:val="auto"/>
                <w:sz w:val="24"/>
              </w:rPr>
            </w:pPr>
            <w:r>
              <w:rPr>
                <w:rFonts w:hint="eastAsia" w:ascii="Times New Roman" w:hAnsi="Times New Roman" w:cs="Times New Roman"/>
                <w:b w:val="0"/>
                <w:bCs/>
                <w:color w:val="auto"/>
                <w:sz w:val="24"/>
                <w:lang w:val="en-US" w:eastAsia="zh-CN"/>
              </w:rPr>
              <w:t>陕西氢动盛世能源科技有限公司</w:t>
            </w:r>
            <w:r>
              <w:rPr>
                <w:rFonts w:hint="default" w:ascii="Times New Roman" w:hAnsi="Times New Roman" w:cs="Times New Roman"/>
                <w:b w:val="0"/>
                <w:bCs/>
                <w:color w:val="auto"/>
                <w:sz w:val="24"/>
              </w:rPr>
              <w:t>租赁</w:t>
            </w:r>
            <w:r>
              <w:rPr>
                <w:rFonts w:hint="eastAsia" w:ascii="Times New Roman" w:hAnsi="Times New Roman" w:cs="Times New Roman"/>
                <w:b w:val="0"/>
                <w:bCs w:val="0"/>
                <w:color w:val="auto"/>
                <w:sz w:val="24"/>
                <w:szCs w:val="24"/>
                <w:lang w:val="en-US" w:eastAsia="zh-CN"/>
              </w:rPr>
              <w:t>西咸新区泾河新城产业园区发展有限公司18</w:t>
            </w:r>
            <w:r>
              <w:rPr>
                <w:rFonts w:hint="default" w:ascii="Times New Roman" w:hAnsi="Times New Roman"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3层</w:t>
            </w:r>
            <w:r>
              <w:rPr>
                <w:rFonts w:hint="default" w:ascii="Times New Roman" w:hAnsi="Times New Roman" w:cs="Times New Roman"/>
                <w:b w:val="0"/>
                <w:bCs/>
                <w:color w:val="auto"/>
                <w:sz w:val="24"/>
              </w:rPr>
              <w:t>厂房</w:t>
            </w:r>
            <w:r>
              <w:rPr>
                <w:rFonts w:hint="default" w:ascii="Times New Roman" w:hAnsi="Times New Roman" w:cs="Times New Roman"/>
                <w:b w:val="0"/>
                <w:bCs/>
                <w:color w:val="auto"/>
                <w:sz w:val="24"/>
                <w:lang w:eastAsia="zh-CN"/>
              </w:rPr>
              <w:t>，</w:t>
            </w:r>
            <w:r>
              <w:rPr>
                <w:rFonts w:hint="eastAsia"/>
                <w:color w:val="auto"/>
                <w:sz w:val="24"/>
              </w:rPr>
              <w:t>建筑总面积</w:t>
            </w:r>
            <w:r>
              <w:rPr>
                <w:rFonts w:hint="eastAsia"/>
                <w:color w:val="auto"/>
                <w:sz w:val="24"/>
                <w:lang w:val="en-US" w:eastAsia="zh-CN"/>
              </w:rPr>
              <w:t>721.06</w:t>
            </w:r>
            <w:r>
              <w:rPr>
                <w:rFonts w:hint="eastAsia"/>
                <w:color w:val="auto"/>
                <w:sz w:val="24"/>
              </w:rPr>
              <w:t>平方米</w:t>
            </w:r>
            <w:r>
              <w:rPr>
                <w:rFonts w:hint="eastAsia"/>
                <w:color w:val="auto"/>
                <w:lang w:eastAsia="zh-CN"/>
              </w:rPr>
              <w:t>，</w:t>
            </w:r>
            <w:r>
              <w:rPr>
                <w:rFonts w:hint="default" w:ascii="Times New Roman" w:hAnsi="Times New Roman" w:cs="Times New Roman"/>
                <w:b w:val="0"/>
                <w:bCs/>
                <w:color w:val="auto"/>
                <w:sz w:val="24"/>
              </w:rPr>
              <w:t>陕西</w:t>
            </w:r>
            <w:r>
              <w:rPr>
                <w:rFonts w:hint="eastAsia" w:ascii="Times New Roman" w:hAnsi="Times New Roman" w:cs="Times New Roman"/>
                <w:b w:val="0"/>
                <w:bCs/>
                <w:color w:val="auto"/>
                <w:sz w:val="24"/>
                <w:lang w:val="en-US" w:eastAsia="zh-CN"/>
              </w:rPr>
              <w:t>盛世氢芯科技</w:t>
            </w:r>
            <w:r>
              <w:rPr>
                <w:rFonts w:hint="default" w:ascii="Times New Roman" w:hAnsi="Times New Roman" w:cs="Times New Roman"/>
                <w:b w:val="0"/>
                <w:bCs/>
                <w:color w:val="auto"/>
                <w:sz w:val="24"/>
              </w:rPr>
              <w:t>有限公司</w:t>
            </w:r>
            <w:r>
              <w:rPr>
                <w:rFonts w:hint="eastAsia" w:ascii="Times New Roman" w:hAnsi="Times New Roman" w:cs="Times New Roman"/>
                <w:b w:val="0"/>
                <w:bCs/>
                <w:color w:val="auto"/>
                <w:sz w:val="24"/>
                <w:lang w:val="en-US" w:eastAsia="zh-CN"/>
              </w:rPr>
              <w:t>与其共同使用该租赁厂房建设本项目，使用面积为690平方米，共同使用厂房情况说明见附件5。</w:t>
            </w:r>
            <w:r>
              <w:rPr>
                <w:rFonts w:hint="eastAsia"/>
                <w:color w:val="auto"/>
                <w:sz w:val="24"/>
                <w:lang w:val="en-US" w:eastAsia="zh-CN"/>
              </w:rPr>
              <w:t>建设一条产业线用于膜电极及氢气泄漏检测胶带的生产</w:t>
            </w:r>
            <w:r>
              <w:rPr>
                <w:rFonts w:hint="eastAsia"/>
                <w:color w:val="auto"/>
                <w:sz w:val="24"/>
              </w:rPr>
              <w:t>，</w:t>
            </w:r>
            <w:r>
              <w:rPr>
                <w:rFonts w:hint="eastAsia"/>
                <w:color w:val="auto"/>
                <w:sz w:val="24"/>
                <w:lang w:val="en-US" w:eastAsia="zh-CN"/>
              </w:rPr>
              <w:t>计划年生产规模为膜电极300000片、氢气泄漏检测胶带3000卷</w:t>
            </w:r>
            <w:r>
              <w:rPr>
                <w:rFonts w:hint="eastAsia"/>
                <w:color w:val="auto"/>
                <w:sz w:val="24"/>
              </w:rPr>
              <w:t>。</w:t>
            </w:r>
          </w:p>
          <w:p w14:paraId="78C9DA0E">
            <w:pPr>
              <w:numPr>
                <w:ilvl w:val="0"/>
                <w:numId w:val="0"/>
              </w:numPr>
              <w:adjustRightInd w:val="0"/>
              <w:snapToGrid w:val="0"/>
              <w:spacing w:line="360" w:lineRule="auto"/>
              <w:ind w:firstLine="480" w:firstLineChars="200"/>
              <w:jc w:val="both"/>
              <w:rPr>
                <w:rFonts w:hint="default" w:ascii="Times New Roman" w:hAnsi="Times New Roman" w:cs="Times New Roman"/>
                <w:b w:val="0"/>
                <w:bCs w:val="0"/>
                <w:color w:val="auto"/>
                <w:sz w:val="24"/>
                <w:szCs w:val="24"/>
                <w:lang w:val="en-US" w:eastAsia="zh-CN"/>
              </w:rPr>
            </w:pPr>
            <w:r>
              <w:rPr>
                <w:rFonts w:hint="eastAsia"/>
                <w:color w:val="auto"/>
                <w:sz w:val="24"/>
              </w:rPr>
              <w:t>本项目工程组成见表2-1。</w:t>
            </w:r>
          </w:p>
          <w:p w14:paraId="50428DD3">
            <w:pPr>
              <w:numPr>
                <w:ilvl w:val="0"/>
                <w:numId w:val="0"/>
              </w:numPr>
              <w:adjustRightInd w:val="0"/>
              <w:snapToGrid w:val="0"/>
              <w:spacing w:line="240" w:lineRule="auto"/>
              <w:ind w:left="0" w:leftChars="0" w:firstLine="0" w:firstLineChars="0"/>
              <w:jc w:val="center"/>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表2-1</w:t>
            </w:r>
            <w:r>
              <w:rPr>
                <w:rFonts w:hint="eastAsia" w:ascii="Times New Roman" w:hAnsi="Times New Roman" w:cs="Times New Roman"/>
                <w:b/>
                <w:bCs/>
                <w:color w:val="auto"/>
                <w:sz w:val="24"/>
                <w:szCs w:val="24"/>
                <w:lang w:val="en-US" w:eastAsia="zh-CN"/>
              </w:rPr>
              <w:t xml:space="preserve">  </w:t>
            </w:r>
            <w:r>
              <w:rPr>
                <w:rFonts w:hint="default" w:ascii="Times New Roman" w:hAnsi="Times New Roman" w:cs="Times New Roman"/>
                <w:b/>
                <w:bCs/>
                <w:color w:val="auto"/>
                <w:sz w:val="24"/>
                <w:szCs w:val="24"/>
                <w:lang w:val="en-US" w:eastAsia="zh-CN"/>
              </w:rPr>
              <w:t>项目建设内容一览表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39"/>
              <w:gridCol w:w="1048"/>
              <w:gridCol w:w="6123"/>
            </w:tblGrid>
            <w:tr w14:paraId="44F60E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tcBorders>
                    <w:tl2br w:val="nil"/>
                    <w:tr2bl w:val="nil"/>
                  </w:tcBorders>
                  <w:noWrap w:val="0"/>
                  <w:vAlign w:val="center"/>
                </w:tcPr>
                <w:p w14:paraId="24024D0E">
                  <w:pPr>
                    <w:tabs>
                      <w:tab w:val="left" w:pos="1260"/>
                    </w:tabs>
                    <w:adjustRightInd w:val="0"/>
                    <w:snapToGrid w:val="0"/>
                    <w:jc w:val="center"/>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val="en-US" w:eastAsia="zh-CN"/>
                    </w:rPr>
                    <w:t>类别</w:t>
                  </w:r>
                </w:p>
              </w:tc>
              <w:tc>
                <w:tcPr>
                  <w:tcW w:w="894" w:type="pct"/>
                  <w:gridSpan w:val="2"/>
                  <w:tcBorders>
                    <w:tl2br w:val="nil"/>
                    <w:tr2bl w:val="nil"/>
                  </w:tcBorders>
                  <w:noWrap w:val="0"/>
                  <w:vAlign w:val="center"/>
                </w:tcPr>
                <w:p w14:paraId="3000875F">
                  <w:pPr>
                    <w:tabs>
                      <w:tab w:val="left" w:pos="1260"/>
                    </w:tabs>
                    <w:adjustRightInd w:val="0"/>
                    <w:snapToGrid w:val="0"/>
                    <w:jc w:val="center"/>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rPr>
                    <w:t>项目</w:t>
                  </w:r>
                  <w:r>
                    <w:rPr>
                      <w:rFonts w:hint="default" w:ascii="Times New Roman" w:hAnsi="Times New Roman" w:cs="Times New Roman"/>
                      <w:b/>
                      <w:bCs/>
                      <w:color w:val="auto"/>
                      <w:sz w:val="21"/>
                      <w:szCs w:val="21"/>
                      <w:lang w:val="en-US" w:eastAsia="zh-CN"/>
                    </w:rPr>
                    <w:t>组成</w:t>
                  </w:r>
                </w:p>
              </w:tc>
              <w:tc>
                <w:tcPr>
                  <w:tcW w:w="3679" w:type="pct"/>
                  <w:tcBorders>
                    <w:tl2br w:val="nil"/>
                    <w:tr2bl w:val="nil"/>
                  </w:tcBorders>
                  <w:noWrap w:val="0"/>
                  <w:vAlign w:val="center"/>
                </w:tcPr>
                <w:p w14:paraId="232F3FE1">
                  <w:pPr>
                    <w:tabs>
                      <w:tab w:val="left" w:pos="1260"/>
                    </w:tabs>
                    <w:adjustRightInd w:val="0"/>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建设</w:t>
                  </w:r>
                  <w:r>
                    <w:rPr>
                      <w:rFonts w:hint="default" w:ascii="Times New Roman" w:hAnsi="Times New Roman" w:cs="Times New Roman"/>
                      <w:b/>
                      <w:bCs/>
                      <w:color w:val="auto"/>
                      <w:sz w:val="21"/>
                      <w:szCs w:val="21"/>
                    </w:rPr>
                    <w:t>内容</w:t>
                  </w:r>
                  <w:r>
                    <w:rPr>
                      <w:rFonts w:hint="default" w:ascii="Times New Roman" w:hAnsi="Times New Roman" w:cs="Times New Roman"/>
                      <w:b/>
                      <w:bCs/>
                      <w:color w:val="auto"/>
                      <w:sz w:val="21"/>
                      <w:szCs w:val="21"/>
                      <w:lang w:val="en-US" w:eastAsia="zh-CN"/>
                    </w:rPr>
                    <w:t>及规模</w:t>
                  </w:r>
                </w:p>
              </w:tc>
            </w:tr>
            <w:tr w14:paraId="312E19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vMerge w:val="restart"/>
                  <w:tcBorders>
                    <w:tl2br w:val="nil"/>
                    <w:tr2bl w:val="nil"/>
                  </w:tcBorders>
                  <w:noWrap w:val="0"/>
                  <w:vAlign w:val="center"/>
                </w:tcPr>
                <w:p w14:paraId="20D9AE13">
                  <w:pPr>
                    <w:tabs>
                      <w:tab w:val="left" w:pos="1260"/>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主体工程</w:t>
                  </w:r>
                </w:p>
              </w:tc>
              <w:tc>
                <w:tcPr>
                  <w:tcW w:w="894" w:type="pct"/>
                  <w:gridSpan w:val="2"/>
                  <w:tcBorders>
                    <w:tl2br w:val="nil"/>
                    <w:tr2bl w:val="nil"/>
                  </w:tcBorders>
                  <w:noWrap w:val="0"/>
                  <w:vAlign w:val="center"/>
                </w:tcPr>
                <w:p w14:paraId="61D57424">
                  <w:pPr>
                    <w:tabs>
                      <w:tab w:val="left" w:pos="1260"/>
                    </w:tabs>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产品生产线</w:t>
                  </w:r>
                </w:p>
              </w:tc>
              <w:tc>
                <w:tcPr>
                  <w:tcW w:w="3679" w:type="pct"/>
                  <w:tcBorders>
                    <w:tl2br w:val="nil"/>
                    <w:tr2bl w:val="nil"/>
                  </w:tcBorders>
                  <w:noWrap w:val="0"/>
                  <w:vAlign w:val="center"/>
                </w:tcPr>
                <w:p w14:paraId="188084F6">
                  <w:pPr>
                    <w:tabs>
                      <w:tab w:val="left" w:pos="1260"/>
                    </w:tabs>
                    <w:adjustRightInd w:val="0"/>
                    <w:snapToGrid w:val="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位于</w:t>
                  </w:r>
                  <w:r>
                    <w:rPr>
                      <w:rFonts w:hint="eastAsia" w:ascii="Times New Roman" w:hAnsi="Times New Roman" w:eastAsia="宋体" w:cs="Times New Roman"/>
                      <w:color w:val="auto"/>
                      <w:sz w:val="21"/>
                      <w:szCs w:val="21"/>
                      <w:lang w:val="en-US" w:eastAsia="zh-CN"/>
                    </w:rPr>
                    <w:t>厂房中部</w:t>
                  </w: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color w:val="auto"/>
                      <w:sz w:val="21"/>
                      <w:szCs w:val="21"/>
                    </w:rPr>
                    <w:t>建筑面积约</w:t>
                  </w:r>
                  <w:r>
                    <w:rPr>
                      <w:rFonts w:hint="eastAsia" w:ascii="Times New Roman" w:hAnsi="Times New Roman" w:cs="Times New Roman"/>
                      <w:color w:val="auto"/>
                      <w:sz w:val="21"/>
                      <w:szCs w:val="21"/>
                      <w:lang w:val="en-US" w:eastAsia="zh-CN"/>
                    </w:rPr>
                    <w:t>330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主要设置</w:t>
                  </w:r>
                  <w:r>
                    <w:rPr>
                      <w:rFonts w:hint="eastAsia" w:ascii="宋体" w:hAnsi="宋体" w:eastAsia="宋体" w:cs="宋体"/>
                      <w:color w:val="auto"/>
                      <w:kern w:val="0"/>
                      <w:sz w:val="21"/>
                      <w:szCs w:val="21"/>
                      <w:lang w:val="en-US" w:eastAsia="zh-CN" w:bidi="ar"/>
                    </w:rPr>
                    <w:t>精密视觉裁切机</w:t>
                  </w:r>
                  <w:r>
                    <w:rPr>
                      <w:rFonts w:hint="default" w:ascii="Times New Roman" w:hAnsi="Times New Roman" w:cs="Times New Roman"/>
                      <w:color w:val="auto"/>
                      <w:sz w:val="21"/>
                      <w:szCs w:val="21"/>
                    </w:rPr>
                    <w:t>、</w:t>
                  </w:r>
                  <w:r>
                    <w:rPr>
                      <w:rFonts w:hint="eastAsia" w:ascii="宋体" w:hAnsi="宋体" w:eastAsia="宋体" w:cs="宋体"/>
                      <w:color w:val="auto"/>
                      <w:kern w:val="0"/>
                      <w:sz w:val="21"/>
                      <w:szCs w:val="21"/>
                      <w:lang w:val="en-US" w:eastAsia="zh-CN" w:bidi="ar"/>
                    </w:rPr>
                    <w:t>伺服热压机</w:t>
                  </w:r>
                  <w:r>
                    <w:rPr>
                      <w:rFonts w:hint="default" w:ascii="Times New Roman" w:hAnsi="Times New Roman" w:eastAsia="宋体" w:cs="Times New Roman"/>
                      <w:color w:val="auto"/>
                      <w:sz w:val="21"/>
                      <w:szCs w:val="21"/>
                      <w:lang w:val="en-US" w:eastAsia="zh-CN"/>
                    </w:rPr>
                    <w:t>等</w:t>
                  </w:r>
                  <w:r>
                    <w:rPr>
                      <w:rFonts w:hint="default" w:ascii="Times New Roman" w:hAnsi="Times New Roman" w:cs="Times New Roman"/>
                      <w:color w:val="auto"/>
                      <w:sz w:val="21"/>
                      <w:szCs w:val="21"/>
                      <w:lang w:val="en-US" w:eastAsia="zh-CN"/>
                    </w:rPr>
                    <w:t>加工设备，进行膜电极及氢气泄漏检测胶带的生产。</w:t>
                  </w:r>
                </w:p>
              </w:tc>
            </w:tr>
            <w:tr w14:paraId="5A44AC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vMerge w:val="continue"/>
                  <w:tcBorders>
                    <w:tl2br w:val="nil"/>
                    <w:tr2bl w:val="nil"/>
                  </w:tcBorders>
                  <w:noWrap w:val="0"/>
                  <w:vAlign w:val="center"/>
                </w:tcPr>
                <w:p w14:paraId="4075113E">
                  <w:pPr>
                    <w:tabs>
                      <w:tab w:val="left" w:pos="1260"/>
                    </w:tabs>
                    <w:adjustRightInd w:val="0"/>
                    <w:snapToGrid w:val="0"/>
                    <w:jc w:val="center"/>
                    <w:rPr>
                      <w:rFonts w:hint="default" w:ascii="Times New Roman" w:hAnsi="Times New Roman" w:cs="Times New Roman"/>
                      <w:color w:val="auto"/>
                      <w:sz w:val="21"/>
                      <w:szCs w:val="21"/>
                    </w:rPr>
                  </w:pPr>
                </w:p>
              </w:tc>
              <w:tc>
                <w:tcPr>
                  <w:tcW w:w="894" w:type="pct"/>
                  <w:gridSpan w:val="2"/>
                  <w:tcBorders>
                    <w:tl2br w:val="nil"/>
                    <w:tr2bl w:val="nil"/>
                  </w:tcBorders>
                  <w:noWrap w:val="0"/>
                  <w:vAlign w:val="center"/>
                </w:tcPr>
                <w:p w14:paraId="51EAA352">
                  <w:pPr>
                    <w:tabs>
                      <w:tab w:val="left" w:pos="1260"/>
                    </w:tabs>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实验室</w:t>
                  </w:r>
                </w:p>
              </w:tc>
              <w:tc>
                <w:tcPr>
                  <w:tcW w:w="3679" w:type="pct"/>
                  <w:tcBorders>
                    <w:tl2br w:val="nil"/>
                    <w:tr2bl w:val="nil"/>
                  </w:tcBorders>
                  <w:noWrap w:val="0"/>
                  <w:vAlign w:val="center"/>
                </w:tcPr>
                <w:p w14:paraId="198D6217">
                  <w:pPr>
                    <w:tabs>
                      <w:tab w:val="left" w:pos="1260"/>
                    </w:tabs>
                    <w:adjustRightInd w:val="0"/>
                    <w:snapToGrid w:val="0"/>
                    <w:jc w:val="left"/>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sz w:val="21"/>
                      <w:szCs w:val="21"/>
                      <w:lang w:val="en-US" w:eastAsia="zh-CN"/>
                    </w:rPr>
                    <w:t>位于</w:t>
                  </w:r>
                  <w:r>
                    <w:rPr>
                      <w:rFonts w:hint="eastAsia" w:ascii="Times New Roman" w:hAnsi="Times New Roman" w:eastAsia="宋体" w:cs="Times New Roman"/>
                      <w:color w:val="auto"/>
                      <w:sz w:val="21"/>
                      <w:szCs w:val="21"/>
                      <w:lang w:val="en-US" w:eastAsia="zh-CN"/>
                    </w:rPr>
                    <w:t>厂房东北侧</w:t>
                  </w: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color w:val="auto"/>
                      <w:sz w:val="21"/>
                      <w:szCs w:val="21"/>
                    </w:rPr>
                    <w:t>建筑面积约</w:t>
                  </w:r>
                  <w:r>
                    <w:rPr>
                      <w:rFonts w:hint="eastAsia" w:ascii="Times New Roman" w:hAnsi="Times New Roman" w:cs="Times New Roman"/>
                      <w:color w:val="auto"/>
                      <w:sz w:val="21"/>
                      <w:szCs w:val="21"/>
                      <w:lang w:val="en-US" w:eastAsia="zh-CN"/>
                    </w:rPr>
                    <w:t>40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主要</w:t>
                  </w:r>
                  <w:r>
                    <w:rPr>
                      <w:rFonts w:hint="eastAsia" w:ascii="Times New Roman" w:hAnsi="Times New Roman" w:cs="Times New Roman"/>
                      <w:color w:val="auto"/>
                      <w:sz w:val="21"/>
                      <w:szCs w:val="21"/>
                      <w:lang w:val="en-US" w:eastAsia="zh-CN"/>
                    </w:rPr>
                    <w:t>用于试剂的调配</w:t>
                  </w:r>
                  <w:r>
                    <w:rPr>
                      <w:rFonts w:hint="default" w:ascii="Times New Roman" w:hAnsi="Times New Roman" w:cs="Times New Roman"/>
                      <w:color w:val="auto"/>
                      <w:sz w:val="21"/>
                      <w:szCs w:val="21"/>
                      <w:lang w:val="en-US" w:eastAsia="zh-CN"/>
                    </w:rPr>
                    <w:t>。</w:t>
                  </w:r>
                </w:p>
              </w:tc>
            </w:tr>
            <w:tr w14:paraId="56F716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vMerge w:val="restart"/>
                  <w:tcBorders>
                    <w:tl2br w:val="nil"/>
                    <w:tr2bl w:val="nil"/>
                  </w:tcBorders>
                  <w:noWrap w:val="0"/>
                  <w:vAlign w:val="center"/>
                </w:tcPr>
                <w:p w14:paraId="44E01B1A">
                  <w:pPr>
                    <w:tabs>
                      <w:tab w:val="left" w:pos="1260"/>
                    </w:tabs>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储运工程</w:t>
                  </w:r>
                </w:p>
              </w:tc>
              <w:tc>
                <w:tcPr>
                  <w:tcW w:w="894" w:type="pct"/>
                  <w:gridSpan w:val="2"/>
                  <w:tcBorders>
                    <w:tl2br w:val="nil"/>
                    <w:tr2bl w:val="nil"/>
                  </w:tcBorders>
                  <w:noWrap w:val="0"/>
                  <w:vAlign w:val="center"/>
                </w:tcPr>
                <w:p w14:paraId="23BFFD49">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仓库</w:t>
                  </w:r>
                </w:p>
              </w:tc>
              <w:tc>
                <w:tcPr>
                  <w:tcW w:w="3679" w:type="pct"/>
                  <w:tcBorders>
                    <w:tl2br w:val="nil"/>
                    <w:tr2bl w:val="nil"/>
                  </w:tcBorders>
                  <w:noWrap w:val="0"/>
                  <w:vAlign w:val="top"/>
                </w:tcPr>
                <w:p w14:paraId="2BFE816B">
                  <w:pPr>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位于</w:t>
                  </w:r>
                  <w:r>
                    <w:rPr>
                      <w:rFonts w:hint="eastAsia" w:ascii="Times New Roman" w:hAnsi="Times New Roman" w:eastAsia="宋体" w:cs="Times New Roman"/>
                      <w:color w:val="auto"/>
                      <w:sz w:val="21"/>
                      <w:szCs w:val="21"/>
                      <w:lang w:val="en-US" w:eastAsia="zh-CN"/>
                    </w:rPr>
                    <w:t>厂房西北角</w:t>
                  </w: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color w:val="auto"/>
                      <w:sz w:val="21"/>
                      <w:szCs w:val="21"/>
                    </w:rPr>
                    <w:t>建筑面积约</w:t>
                  </w:r>
                  <w:r>
                    <w:rPr>
                      <w:rFonts w:hint="eastAsia" w:ascii="Times New Roman" w:hAnsi="Times New Roman" w:cs="Times New Roman"/>
                      <w:color w:val="auto"/>
                      <w:sz w:val="21"/>
                      <w:szCs w:val="21"/>
                      <w:lang w:val="en-US" w:eastAsia="zh-CN"/>
                    </w:rPr>
                    <w:t>10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，主要储存原材料以及成品</w:t>
                  </w:r>
                  <w:r>
                    <w:rPr>
                      <w:rFonts w:hint="default" w:ascii="Times New Roman" w:hAnsi="Times New Roman" w:cs="Times New Roman"/>
                      <w:color w:val="auto"/>
                      <w:sz w:val="21"/>
                      <w:szCs w:val="21"/>
                      <w:lang w:eastAsia="zh-CN"/>
                    </w:rPr>
                    <w:t>。</w:t>
                  </w:r>
                </w:p>
              </w:tc>
            </w:tr>
            <w:tr w14:paraId="6A173F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vMerge w:val="continue"/>
                  <w:tcBorders>
                    <w:tl2br w:val="nil"/>
                    <w:tr2bl w:val="nil"/>
                  </w:tcBorders>
                  <w:noWrap w:val="0"/>
                  <w:vAlign w:val="center"/>
                </w:tcPr>
                <w:p w14:paraId="680BA273">
                  <w:pPr>
                    <w:tabs>
                      <w:tab w:val="left" w:pos="1260"/>
                    </w:tabs>
                    <w:adjustRightInd w:val="0"/>
                    <w:snapToGrid w:val="0"/>
                    <w:jc w:val="center"/>
                    <w:rPr>
                      <w:rFonts w:hint="default" w:ascii="Times New Roman" w:hAnsi="Times New Roman" w:cs="Times New Roman"/>
                      <w:color w:val="auto"/>
                      <w:sz w:val="21"/>
                      <w:szCs w:val="21"/>
                    </w:rPr>
                  </w:pPr>
                </w:p>
              </w:tc>
              <w:tc>
                <w:tcPr>
                  <w:tcW w:w="894" w:type="pct"/>
                  <w:gridSpan w:val="2"/>
                  <w:tcBorders>
                    <w:tl2br w:val="nil"/>
                    <w:tr2bl w:val="nil"/>
                  </w:tcBorders>
                  <w:noWrap w:val="0"/>
                  <w:vAlign w:val="center"/>
                </w:tcPr>
                <w:p w14:paraId="62889220">
                  <w:pPr>
                    <w:adjustRightInd w:val="0"/>
                    <w:snapToGrid w:val="0"/>
                    <w:jc w:val="center"/>
                    <w:rPr>
                      <w:rFonts w:hint="eastAsia" w:eastAsia="宋体"/>
                      <w:bCs/>
                      <w:color w:val="auto"/>
                      <w:kern w:val="2"/>
                      <w:sz w:val="21"/>
                      <w:szCs w:val="21"/>
                      <w:lang w:val="en-US" w:eastAsia="zh-CN" w:bidi="ar-SA"/>
                    </w:rPr>
                  </w:pPr>
                  <w:r>
                    <w:rPr>
                      <w:rFonts w:hint="eastAsia"/>
                      <w:bCs/>
                      <w:color w:val="auto"/>
                      <w:szCs w:val="21"/>
                    </w:rPr>
                    <w:t>一般固废</w:t>
                  </w:r>
                  <w:r>
                    <w:rPr>
                      <w:rFonts w:hint="eastAsia"/>
                      <w:bCs/>
                      <w:color w:val="auto"/>
                      <w:szCs w:val="21"/>
                      <w:lang w:val="en-US" w:eastAsia="zh-CN"/>
                    </w:rPr>
                    <w:t>间</w:t>
                  </w:r>
                </w:p>
              </w:tc>
              <w:tc>
                <w:tcPr>
                  <w:tcW w:w="3679" w:type="pct"/>
                  <w:tcBorders>
                    <w:tl2br w:val="nil"/>
                    <w:tr2bl w:val="nil"/>
                  </w:tcBorders>
                  <w:noWrap w:val="0"/>
                  <w:vAlign w:val="center"/>
                </w:tcPr>
                <w:p w14:paraId="63FB5080">
                  <w:pPr>
                    <w:adjustRightInd w:val="0"/>
                    <w:snapToGrid w:val="0"/>
                    <w:jc w:val="center"/>
                    <w:rPr>
                      <w:rFonts w:hint="default"/>
                      <w:color w:val="auto"/>
                      <w:kern w:val="2"/>
                      <w:sz w:val="21"/>
                      <w:szCs w:val="21"/>
                      <w:lang w:val="en-US" w:eastAsia="zh-CN" w:bidi="ar-SA"/>
                    </w:rPr>
                  </w:pPr>
                  <w:r>
                    <w:rPr>
                      <w:rFonts w:hint="eastAsia"/>
                      <w:color w:val="auto"/>
                      <w:szCs w:val="21"/>
                    </w:rPr>
                    <w:t>位于</w:t>
                  </w:r>
                  <w:r>
                    <w:rPr>
                      <w:rFonts w:hint="eastAsia" w:ascii="Times New Roman" w:hAnsi="Times New Roman" w:eastAsia="宋体" w:cs="Times New Roman"/>
                      <w:color w:val="auto"/>
                      <w:sz w:val="21"/>
                      <w:szCs w:val="21"/>
                      <w:lang w:val="en-US" w:eastAsia="zh-CN"/>
                    </w:rPr>
                    <w:t>厂房</w:t>
                  </w:r>
                  <w:r>
                    <w:rPr>
                      <w:rFonts w:hint="eastAsia"/>
                      <w:color w:val="auto"/>
                      <w:szCs w:val="21"/>
                      <w:lang w:val="en-US" w:eastAsia="zh-CN"/>
                    </w:rPr>
                    <w:t>东北侧</w:t>
                  </w:r>
                  <w:r>
                    <w:rPr>
                      <w:rFonts w:hint="eastAsia"/>
                      <w:color w:val="auto"/>
                      <w:szCs w:val="21"/>
                    </w:rPr>
                    <w:t>，面积约</w:t>
                  </w:r>
                  <w:r>
                    <w:rPr>
                      <w:rFonts w:hint="eastAsia"/>
                      <w:color w:val="auto"/>
                      <w:kern w:val="0"/>
                      <w:szCs w:val="21"/>
                      <w:lang w:val="en-US" w:eastAsia="zh-CN"/>
                    </w:rPr>
                    <w:t>10</w:t>
                  </w:r>
                  <w:r>
                    <w:rPr>
                      <w:rFonts w:hint="eastAsia"/>
                      <w:color w:val="auto"/>
                      <w:kern w:val="0"/>
                      <w:szCs w:val="21"/>
                    </w:rPr>
                    <w:t xml:space="preserve"> m</w:t>
                  </w:r>
                  <w:r>
                    <w:rPr>
                      <w:rFonts w:hint="eastAsia"/>
                      <w:color w:val="auto"/>
                      <w:kern w:val="0"/>
                      <w:szCs w:val="21"/>
                      <w:vertAlign w:val="superscript"/>
                    </w:rPr>
                    <w:t>2</w:t>
                  </w:r>
                  <w:r>
                    <w:rPr>
                      <w:rFonts w:hint="eastAsia"/>
                      <w:color w:val="auto"/>
                      <w:kern w:val="0"/>
                      <w:szCs w:val="21"/>
                    </w:rPr>
                    <w:t>，用于</w:t>
                  </w:r>
                  <w:r>
                    <w:rPr>
                      <w:rFonts w:hint="eastAsia"/>
                      <w:color w:val="auto"/>
                      <w:szCs w:val="21"/>
                      <w:lang w:val="en-US" w:eastAsia="zh-CN"/>
                    </w:rPr>
                    <w:t>废</w:t>
                  </w:r>
                  <w:r>
                    <w:rPr>
                      <w:rFonts w:hint="default"/>
                      <w:color w:val="auto"/>
                      <w:szCs w:val="21"/>
                      <w:lang w:val="en-US" w:eastAsia="zh-CN"/>
                    </w:rPr>
                    <w:t>边角料</w:t>
                  </w:r>
                  <w:r>
                    <w:rPr>
                      <w:rFonts w:hint="eastAsia"/>
                      <w:color w:val="auto"/>
                      <w:szCs w:val="21"/>
                      <w:lang w:val="en-US" w:eastAsia="zh-CN"/>
                    </w:rPr>
                    <w:t>、</w:t>
                  </w:r>
                  <w:r>
                    <w:rPr>
                      <w:rFonts w:hint="default"/>
                      <w:color w:val="auto"/>
                      <w:szCs w:val="21"/>
                      <w:lang w:val="en-US" w:eastAsia="zh-CN"/>
                    </w:rPr>
                    <w:t>废包装</w:t>
                  </w:r>
                  <w:r>
                    <w:rPr>
                      <w:rFonts w:hint="eastAsia"/>
                      <w:color w:val="auto"/>
                      <w:szCs w:val="21"/>
                      <w:lang w:val="en-US" w:eastAsia="zh-CN"/>
                    </w:rPr>
                    <w:t>材料、不合格品、废反渗透膜</w:t>
                  </w:r>
                  <w:r>
                    <w:rPr>
                      <w:rFonts w:hint="eastAsia"/>
                      <w:color w:val="auto"/>
                      <w:kern w:val="0"/>
                      <w:szCs w:val="21"/>
                    </w:rPr>
                    <w:t>的暂存，</w:t>
                  </w:r>
                  <w:r>
                    <w:rPr>
                      <w:rFonts w:hint="eastAsia"/>
                      <w:color w:val="auto"/>
                      <w:szCs w:val="21"/>
                      <w:lang w:val="en-US" w:eastAsia="zh-CN"/>
                    </w:rPr>
                    <w:t>废</w:t>
                  </w:r>
                  <w:r>
                    <w:rPr>
                      <w:rFonts w:hint="default"/>
                      <w:color w:val="auto"/>
                      <w:szCs w:val="21"/>
                      <w:lang w:val="en-US" w:eastAsia="zh-CN"/>
                    </w:rPr>
                    <w:t>边角料</w:t>
                  </w:r>
                  <w:r>
                    <w:rPr>
                      <w:rFonts w:hint="eastAsia"/>
                      <w:color w:val="auto"/>
                      <w:szCs w:val="21"/>
                      <w:lang w:val="en-US" w:eastAsia="zh-CN"/>
                    </w:rPr>
                    <w:t>、</w:t>
                  </w:r>
                  <w:r>
                    <w:rPr>
                      <w:rFonts w:hint="default"/>
                      <w:color w:val="auto"/>
                      <w:szCs w:val="21"/>
                      <w:lang w:val="en-US" w:eastAsia="zh-CN"/>
                    </w:rPr>
                    <w:t>废包装</w:t>
                  </w:r>
                  <w:r>
                    <w:rPr>
                      <w:rFonts w:hint="eastAsia"/>
                      <w:color w:val="auto"/>
                      <w:szCs w:val="21"/>
                      <w:lang w:val="en-US" w:eastAsia="zh-CN"/>
                    </w:rPr>
                    <w:t>材料、不合格品</w:t>
                  </w:r>
                  <w:r>
                    <w:rPr>
                      <w:rFonts w:hint="default" w:ascii="Times New Roman" w:hAnsi="Times New Roman"/>
                      <w:color w:val="auto"/>
                      <w:sz w:val="21"/>
                      <w:szCs w:val="21"/>
                      <w:lang w:val="en-US" w:eastAsia="zh-CN"/>
                    </w:rPr>
                    <w:t>集中收集后外售</w:t>
                  </w:r>
                  <w:r>
                    <w:rPr>
                      <w:rFonts w:hint="eastAsia" w:ascii="Times New Roman" w:hAnsi="Times New Roman"/>
                      <w:color w:val="auto"/>
                      <w:sz w:val="21"/>
                      <w:szCs w:val="21"/>
                      <w:lang w:val="en-US" w:eastAsia="zh-CN"/>
                    </w:rPr>
                    <w:t>，</w:t>
                  </w:r>
                  <w:r>
                    <w:rPr>
                      <w:rFonts w:hint="eastAsia"/>
                      <w:color w:val="auto"/>
                      <w:szCs w:val="21"/>
                      <w:lang w:val="en-US" w:eastAsia="zh-CN"/>
                    </w:rPr>
                    <w:t>废反渗透膜</w:t>
                  </w:r>
                  <w:r>
                    <w:rPr>
                      <w:rFonts w:hint="eastAsia"/>
                      <w:color w:val="auto"/>
                      <w:sz w:val="21"/>
                      <w:szCs w:val="21"/>
                      <w:lang w:val="en-US" w:eastAsia="zh-CN"/>
                    </w:rPr>
                    <w:t>交供应商回收利用。</w:t>
                  </w:r>
                </w:p>
              </w:tc>
            </w:tr>
            <w:tr w14:paraId="57B7E6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vMerge w:val="continue"/>
                  <w:tcBorders>
                    <w:tl2br w:val="nil"/>
                    <w:tr2bl w:val="nil"/>
                  </w:tcBorders>
                  <w:noWrap w:val="0"/>
                  <w:vAlign w:val="center"/>
                </w:tcPr>
                <w:p w14:paraId="567A4DAD">
                  <w:pPr>
                    <w:tabs>
                      <w:tab w:val="left" w:pos="1260"/>
                    </w:tabs>
                    <w:adjustRightInd w:val="0"/>
                    <w:snapToGrid w:val="0"/>
                    <w:jc w:val="center"/>
                    <w:rPr>
                      <w:rFonts w:hint="default" w:ascii="Times New Roman" w:hAnsi="Times New Roman" w:cs="Times New Roman"/>
                      <w:color w:val="auto"/>
                      <w:sz w:val="21"/>
                      <w:szCs w:val="21"/>
                    </w:rPr>
                  </w:pPr>
                </w:p>
              </w:tc>
              <w:tc>
                <w:tcPr>
                  <w:tcW w:w="894" w:type="pct"/>
                  <w:gridSpan w:val="2"/>
                  <w:tcBorders>
                    <w:tl2br w:val="nil"/>
                    <w:tr2bl w:val="nil"/>
                  </w:tcBorders>
                  <w:noWrap w:val="0"/>
                  <w:vAlign w:val="center"/>
                </w:tcPr>
                <w:p w14:paraId="6FECDF2C">
                  <w:pPr>
                    <w:adjustRightInd w:val="0"/>
                    <w:snapToGrid w:val="0"/>
                    <w:jc w:val="center"/>
                    <w:rPr>
                      <w:rFonts w:hint="default"/>
                      <w:bCs/>
                      <w:color w:val="auto"/>
                      <w:kern w:val="2"/>
                      <w:sz w:val="21"/>
                      <w:szCs w:val="21"/>
                      <w:lang w:val="en-US" w:eastAsia="zh-CN" w:bidi="ar-SA"/>
                    </w:rPr>
                  </w:pPr>
                  <w:r>
                    <w:rPr>
                      <w:rFonts w:hint="eastAsia"/>
                      <w:bCs/>
                      <w:color w:val="auto"/>
                      <w:szCs w:val="21"/>
                    </w:rPr>
                    <w:t>危废贮存库</w:t>
                  </w:r>
                </w:p>
              </w:tc>
              <w:tc>
                <w:tcPr>
                  <w:tcW w:w="3679" w:type="pct"/>
                  <w:tcBorders>
                    <w:tl2br w:val="nil"/>
                    <w:tr2bl w:val="nil"/>
                  </w:tcBorders>
                  <w:noWrap w:val="0"/>
                  <w:vAlign w:val="center"/>
                </w:tcPr>
                <w:p w14:paraId="0F60A37D">
                  <w:pPr>
                    <w:adjustRightInd w:val="0"/>
                    <w:snapToGrid w:val="0"/>
                    <w:jc w:val="center"/>
                    <w:rPr>
                      <w:rFonts w:hint="default"/>
                      <w:color w:val="auto"/>
                      <w:kern w:val="2"/>
                      <w:sz w:val="21"/>
                      <w:szCs w:val="21"/>
                      <w:lang w:val="en-US" w:eastAsia="zh-CN" w:bidi="ar-SA"/>
                    </w:rPr>
                  </w:pPr>
                  <w:r>
                    <w:rPr>
                      <w:rFonts w:hint="eastAsia"/>
                      <w:color w:val="auto"/>
                      <w:szCs w:val="21"/>
                    </w:rPr>
                    <w:t>位于</w:t>
                  </w:r>
                  <w:r>
                    <w:rPr>
                      <w:rFonts w:hint="eastAsia" w:ascii="Times New Roman" w:hAnsi="Times New Roman" w:eastAsia="宋体" w:cs="Times New Roman"/>
                      <w:color w:val="auto"/>
                      <w:sz w:val="21"/>
                      <w:szCs w:val="21"/>
                      <w:lang w:val="en-US" w:eastAsia="zh-CN"/>
                    </w:rPr>
                    <w:t>厂房</w:t>
                  </w:r>
                  <w:r>
                    <w:rPr>
                      <w:rFonts w:hint="eastAsia"/>
                      <w:color w:val="auto"/>
                      <w:szCs w:val="21"/>
                      <w:lang w:val="en-US" w:eastAsia="zh-CN"/>
                    </w:rPr>
                    <w:t>西侧</w:t>
                  </w:r>
                  <w:r>
                    <w:rPr>
                      <w:rFonts w:hint="eastAsia"/>
                      <w:color w:val="auto"/>
                      <w:szCs w:val="21"/>
                    </w:rPr>
                    <w:t>，面积约5</w:t>
                  </w:r>
                  <w:r>
                    <w:rPr>
                      <w:rFonts w:hint="eastAsia"/>
                      <w:color w:val="auto"/>
                      <w:kern w:val="0"/>
                      <w:szCs w:val="21"/>
                    </w:rPr>
                    <w:t xml:space="preserve"> m</w:t>
                  </w:r>
                  <w:r>
                    <w:rPr>
                      <w:rFonts w:hint="eastAsia"/>
                      <w:color w:val="auto"/>
                      <w:kern w:val="0"/>
                      <w:szCs w:val="21"/>
                      <w:vertAlign w:val="superscript"/>
                    </w:rPr>
                    <w:t>2</w:t>
                  </w:r>
                  <w:r>
                    <w:rPr>
                      <w:rFonts w:hint="eastAsia"/>
                      <w:color w:val="auto"/>
                      <w:kern w:val="0"/>
                      <w:szCs w:val="21"/>
                    </w:rPr>
                    <w:t>，用于危险废物的暂存，</w:t>
                  </w:r>
                  <w:r>
                    <w:rPr>
                      <w:snapToGrid w:val="0"/>
                      <w:color w:val="auto"/>
                      <w:szCs w:val="21"/>
                      <w:lang w:val="zh-CN"/>
                    </w:rPr>
                    <w:t>定期交由有资质单位处理</w:t>
                  </w:r>
                  <w:r>
                    <w:rPr>
                      <w:rFonts w:hint="eastAsia"/>
                      <w:snapToGrid w:val="0"/>
                      <w:color w:val="auto"/>
                      <w:szCs w:val="21"/>
                      <w:lang w:val="zh-CN"/>
                    </w:rPr>
                    <w:t>。</w:t>
                  </w:r>
                </w:p>
              </w:tc>
            </w:tr>
            <w:tr w14:paraId="3EE140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tcBorders>
                    <w:tl2br w:val="nil"/>
                    <w:tr2bl w:val="nil"/>
                  </w:tcBorders>
                  <w:noWrap w:val="0"/>
                  <w:vAlign w:val="center"/>
                </w:tcPr>
                <w:p w14:paraId="4A3820F7">
                  <w:pPr>
                    <w:tabs>
                      <w:tab w:val="left" w:pos="1260"/>
                    </w:tabs>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辅助工程</w:t>
                  </w:r>
                </w:p>
              </w:tc>
              <w:tc>
                <w:tcPr>
                  <w:tcW w:w="894" w:type="pct"/>
                  <w:gridSpan w:val="2"/>
                  <w:tcBorders>
                    <w:tl2br w:val="nil"/>
                    <w:tr2bl w:val="nil"/>
                  </w:tcBorders>
                  <w:noWrap w:val="0"/>
                  <w:vAlign w:val="center"/>
                </w:tcPr>
                <w:p w14:paraId="3ED3D742">
                  <w:pPr>
                    <w:tabs>
                      <w:tab w:val="left" w:pos="1260"/>
                    </w:tabs>
                    <w:adjustRightInd w:val="0"/>
                    <w:snapToGrid w:val="0"/>
                    <w:jc w:val="center"/>
                    <w:rPr>
                      <w:rFonts w:hint="default" w:ascii="Times New Roman" w:hAnsi="Times New Roman" w:eastAsia="宋体" w:cs="Times New Roman"/>
                      <w:color w:val="auto"/>
                      <w:sz w:val="21"/>
                      <w:szCs w:val="21"/>
                      <w:highlight w:val="green"/>
                      <w:lang w:val="en-US" w:eastAsia="zh-CN"/>
                    </w:rPr>
                  </w:pPr>
                  <w:r>
                    <w:rPr>
                      <w:rFonts w:hint="default" w:ascii="Times New Roman" w:hAnsi="Times New Roman" w:cs="Times New Roman"/>
                      <w:color w:val="auto"/>
                      <w:sz w:val="21"/>
                      <w:szCs w:val="21"/>
                      <w:highlight w:val="none"/>
                      <w:lang w:val="en-US" w:eastAsia="zh-CN"/>
                    </w:rPr>
                    <w:t>办公区</w:t>
                  </w:r>
                </w:p>
              </w:tc>
              <w:tc>
                <w:tcPr>
                  <w:tcW w:w="3679" w:type="pct"/>
                  <w:tcBorders>
                    <w:tl2br w:val="nil"/>
                    <w:tr2bl w:val="nil"/>
                  </w:tcBorders>
                  <w:noWrap w:val="0"/>
                  <w:vAlign w:val="center"/>
                </w:tcPr>
                <w:p w14:paraId="23305F8E">
                  <w:pPr>
                    <w:tabs>
                      <w:tab w:val="left" w:pos="1260"/>
                    </w:tabs>
                    <w:adjustRightInd w:val="0"/>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位于</w:t>
                  </w:r>
                  <w:r>
                    <w:rPr>
                      <w:rFonts w:hint="eastAsia" w:ascii="Times New Roman" w:hAnsi="Times New Roman" w:eastAsia="宋体" w:cs="Times New Roman"/>
                      <w:color w:val="auto"/>
                      <w:sz w:val="21"/>
                      <w:szCs w:val="21"/>
                      <w:lang w:val="en-US" w:eastAsia="zh-CN"/>
                    </w:rPr>
                    <w:t>厂房西</w:t>
                  </w:r>
                  <w:r>
                    <w:rPr>
                      <w:rFonts w:hint="default" w:ascii="Times New Roman" w:hAnsi="Times New Roman" w:eastAsia="宋体" w:cs="Times New Roman"/>
                      <w:color w:val="auto"/>
                      <w:sz w:val="21"/>
                      <w:szCs w:val="21"/>
                      <w:lang w:val="en-US" w:eastAsia="zh-CN"/>
                    </w:rPr>
                    <w:t>侧，建筑面积约</w:t>
                  </w:r>
                  <w:r>
                    <w:rPr>
                      <w:rFonts w:hint="eastAsia" w:ascii="Times New Roman" w:hAnsi="Times New Roman" w:eastAsia="宋体" w:cs="Times New Roman"/>
                      <w:color w:val="auto"/>
                      <w:sz w:val="21"/>
                      <w:szCs w:val="21"/>
                      <w:lang w:val="en-US" w:eastAsia="zh-CN"/>
                    </w:rPr>
                    <w:t>30</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，用于办公。</w:t>
                  </w:r>
                </w:p>
              </w:tc>
            </w:tr>
            <w:tr w14:paraId="3F48A8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vMerge w:val="restart"/>
                  <w:tcBorders>
                    <w:tl2br w:val="nil"/>
                    <w:tr2bl w:val="nil"/>
                  </w:tcBorders>
                  <w:noWrap w:val="0"/>
                  <w:vAlign w:val="center"/>
                </w:tcPr>
                <w:p w14:paraId="64BA8BCB">
                  <w:pPr>
                    <w:tabs>
                      <w:tab w:val="left" w:pos="1260"/>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公用工程</w:t>
                  </w:r>
                </w:p>
              </w:tc>
              <w:tc>
                <w:tcPr>
                  <w:tcW w:w="894" w:type="pct"/>
                  <w:gridSpan w:val="2"/>
                  <w:vMerge w:val="restart"/>
                  <w:tcBorders>
                    <w:tl2br w:val="nil"/>
                    <w:tr2bl w:val="nil"/>
                  </w:tcBorders>
                  <w:noWrap w:val="0"/>
                  <w:vAlign w:val="center"/>
                </w:tcPr>
                <w:p w14:paraId="0E0FCEB6">
                  <w:pPr>
                    <w:tabs>
                      <w:tab w:val="left" w:pos="1260"/>
                    </w:tabs>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供水</w:t>
                  </w:r>
                </w:p>
              </w:tc>
              <w:tc>
                <w:tcPr>
                  <w:tcW w:w="3679" w:type="pct"/>
                  <w:tcBorders>
                    <w:tl2br w:val="nil"/>
                    <w:tr2bl w:val="nil"/>
                  </w:tcBorders>
                  <w:noWrap w:val="0"/>
                  <w:vAlign w:val="center"/>
                </w:tcPr>
                <w:p w14:paraId="235DFDC3">
                  <w:pPr>
                    <w:tabs>
                      <w:tab w:val="left" w:pos="1260"/>
                    </w:tabs>
                    <w:adjustRightInd w:val="0"/>
                    <w:snapToGrid w:val="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由市政供水管网供给</w:t>
                  </w:r>
                  <w:r>
                    <w:rPr>
                      <w:rFonts w:hint="default" w:ascii="Times New Roman" w:hAnsi="Times New Roman" w:cs="Times New Roman"/>
                      <w:color w:val="auto"/>
                      <w:sz w:val="21"/>
                      <w:szCs w:val="21"/>
                      <w:lang w:eastAsia="zh-CN"/>
                    </w:rPr>
                    <w:t>。</w:t>
                  </w:r>
                </w:p>
              </w:tc>
            </w:tr>
            <w:tr w14:paraId="0033F1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vMerge w:val="continue"/>
                  <w:tcBorders>
                    <w:tl2br w:val="nil"/>
                    <w:tr2bl w:val="nil"/>
                  </w:tcBorders>
                  <w:noWrap w:val="0"/>
                  <w:vAlign w:val="center"/>
                </w:tcPr>
                <w:p w14:paraId="056CA48E">
                  <w:pPr>
                    <w:tabs>
                      <w:tab w:val="left" w:pos="1260"/>
                    </w:tabs>
                    <w:adjustRightInd w:val="0"/>
                    <w:snapToGrid w:val="0"/>
                    <w:jc w:val="center"/>
                    <w:rPr>
                      <w:rFonts w:hint="default" w:ascii="Times New Roman" w:hAnsi="Times New Roman" w:cs="Times New Roman"/>
                      <w:color w:val="auto"/>
                      <w:sz w:val="21"/>
                      <w:szCs w:val="21"/>
                    </w:rPr>
                  </w:pPr>
                </w:p>
              </w:tc>
              <w:tc>
                <w:tcPr>
                  <w:tcW w:w="894" w:type="pct"/>
                  <w:gridSpan w:val="2"/>
                  <w:vMerge w:val="continue"/>
                  <w:tcBorders>
                    <w:tl2br w:val="nil"/>
                    <w:tr2bl w:val="nil"/>
                  </w:tcBorders>
                  <w:noWrap w:val="0"/>
                  <w:vAlign w:val="center"/>
                </w:tcPr>
                <w:p w14:paraId="5A631D5A">
                  <w:pPr>
                    <w:tabs>
                      <w:tab w:val="left" w:pos="1260"/>
                    </w:tabs>
                    <w:adjustRightInd w:val="0"/>
                    <w:snapToGrid w:val="0"/>
                    <w:jc w:val="center"/>
                    <w:rPr>
                      <w:rFonts w:hint="default" w:ascii="Times New Roman" w:hAnsi="Times New Roman" w:cs="Times New Roman"/>
                      <w:color w:val="auto"/>
                      <w:sz w:val="21"/>
                      <w:szCs w:val="21"/>
                    </w:rPr>
                  </w:pPr>
                </w:p>
              </w:tc>
              <w:tc>
                <w:tcPr>
                  <w:tcW w:w="3679" w:type="pct"/>
                  <w:tcBorders>
                    <w:tl2br w:val="nil"/>
                    <w:tr2bl w:val="nil"/>
                  </w:tcBorders>
                  <w:noWrap w:val="0"/>
                  <w:vAlign w:val="center"/>
                </w:tcPr>
                <w:p w14:paraId="65423B92">
                  <w:pPr>
                    <w:tabs>
                      <w:tab w:val="left" w:pos="1260"/>
                    </w:tabs>
                    <w:adjustRightInd w:val="0"/>
                    <w:snapToGrid w:val="0"/>
                    <w:jc w:val="left"/>
                    <w:rPr>
                      <w:rFonts w:hint="default" w:ascii="Times New Roman" w:hAnsi="Times New Roman" w:eastAsia="宋体" w:cs="Times New Roman"/>
                      <w:color w:val="auto"/>
                      <w:sz w:val="21"/>
                      <w:szCs w:val="21"/>
                      <w:lang w:val="en-US" w:eastAsia="zh-CN"/>
                    </w:rPr>
                  </w:pPr>
                  <w:r>
                    <w:rPr>
                      <w:rFonts w:hint="eastAsia"/>
                      <w:color w:val="auto"/>
                      <w:szCs w:val="21"/>
                    </w:rPr>
                    <w:t>试验</w:t>
                  </w:r>
                  <w:r>
                    <w:rPr>
                      <w:color w:val="auto"/>
                      <w:szCs w:val="21"/>
                    </w:rPr>
                    <w:t>使用的纯水</w:t>
                  </w:r>
                  <w:r>
                    <w:rPr>
                      <w:rFonts w:hint="eastAsia"/>
                      <w:color w:val="auto"/>
                      <w:szCs w:val="21"/>
                      <w:lang w:val="en-US" w:eastAsia="zh-CN"/>
                    </w:rPr>
                    <w:t>使用纯水机制备。</w:t>
                  </w:r>
                </w:p>
              </w:tc>
            </w:tr>
            <w:tr w14:paraId="691276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vMerge w:val="continue"/>
                  <w:tcBorders>
                    <w:tl2br w:val="nil"/>
                    <w:tr2bl w:val="nil"/>
                  </w:tcBorders>
                  <w:noWrap w:val="0"/>
                  <w:vAlign w:val="center"/>
                </w:tcPr>
                <w:p w14:paraId="51663DFD">
                  <w:pPr>
                    <w:tabs>
                      <w:tab w:val="left" w:pos="1260"/>
                    </w:tabs>
                    <w:adjustRightInd w:val="0"/>
                    <w:snapToGrid w:val="0"/>
                    <w:jc w:val="center"/>
                    <w:rPr>
                      <w:rFonts w:hint="default" w:ascii="Times New Roman" w:hAnsi="Times New Roman" w:cs="Times New Roman"/>
                      <w:color w:val="auto"/>
                      <w:sz w:val="21"/>
                      <w:szCs w:val="21"/>
                    </w:rPr>
                  </w:pPr>
                </w:p>
              </w:tc>
              <w:tc>
                <w:tcPr>
                  <w:tcW w:w="894" w:type="pct"/>
                  <w:gridSpan w:val="2"/>
                  <w:tcBorders>
                    <w:tl2br w:val="nil"/>
                    <w:tr2bl w:val="nil"/>
                  </w:tcBorders>
                  <w:noWrap w:val="0"/>
                  <w:vAlign w:val="center"/>
                </w:tcPr>
                <w:p w14:paraId="09562386">
                  <w:pPr>
                    <w:tabs>
                      <w:tab w:val="left" w:pos="126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排水</w:t>
                  </w:r>
                </w:p>
              </w:tc>
              <w:tc>
                <w:tcPr>
                  <w:tcW w:w="3679" w:type="pct"/>
                  <w:tcBorders>
                    <w:tl2br w:val="nil"/>
                    <w:tr2bl w:val="nil"/>
                  </w:tcBorders>
                  <w:noWrap w:val="0"/>
                  <w:vAlign w:val="center"/>
                </w:tcPr>
                <w:p w14:paraId="4B3682B6">
                  <w:pPr>
                    <w:tabs>
                      <w:tab w:val="left" w:pos="1260"/>
                    </w:tabs>
                    <w:adjustRightInd w:val="0"/>
                    <w:snapToGrid w:val="0"/>
                    <w:jc w:val="left"/>
                    <w:rPr>
                      <w:rFonts w:hint="eastAsia" w:ascii="Times New Roman" w:hAnsi="Times New Roman" w:eastAsia="宋体" w:cs="Times New Roman"/>
                      <w:color w:val="auto"/>
                      <w:kern w:val="2"/>
                      <w:sz w:val="21"/>
                      <w:szCs w:val="21"/>
                      <w:lang w:val="en-US" w:eastAsia="zh-CN" w:bidi="ar-SA"/>
                    </w:rPr>
                  </w:pPr>
                  <w:r>
                    <w:rPr>
                      <w:rFonts w:hint="eastAsia"/>
                      <w:color w:val="auto"/>
                      <w:szCs w:val="21"/>
                    </w:rPr>
                    <w:t>实验室器皿后段清洗废水经pH调节池收集处理后</w:t>
                  </w:r>
                  <w:r>
                    <w:rPr>
                      <w:color w:val="auto"/>
                      <w:szCs w:val="21"/>
                    </w:rPr>
                    <w:t>与生活污水</w:t>
                  </w:r>
                  <w:r>
                    <w:rPr>
                      <w:rFonts w:hint="eastAsia"/>
                      <w:color w:val="auto"/>
                      <w:szCs w:val="21"/>
                      <w:lang w:eastAsia="zh-CN"/>
                    </w:rPr>
                    <w:t>、</w:t>
                  </w:r>
                  <w:r>
                    <w:rPr>
                      <w:rFonts w:hint="eastAsia"/>
                      <w:color w:val="auto"/>
                      <w:szCs w:val="21"/>
                      <w:lang w:val="en-US" w:eastAsia="zh-CN"/>
                    </w:rPr>
                    <w:t>纯水机浓水</w:t>
                  </w:r>
                  <w:r>
                    <w:rPr>
                      <w:color w:val="auto"/>
                      <w:szCs w:val="21"/>
                    </w:rPr>
                    <w:t>一起进入化粪池处理达标后排入市政污水管网</w:t>
                  </w:r>
                  <w:r>
                    <w:rPr>
                      <w:rFonts w:hint="eastAsia"/>
                      <w:color w:val="auto"/>
                      <w:szCs w:val="21"/>
                      <w:lang w:eastAsia="zh-CN"/>
                    </w:rPr>
                    <w:t>。</w:t>
                  </w:r>
                </w:p>
              </w:tc>
            </w:tr>
            <w:tr w14:paraId="2B0643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vMerge w:val="continue"/>
                  <w:tcBorders>
                    <w:tl2br w:val="nil"/>
                    <w:tr2bl w:val="nil"/>
                  </w:tcBorders>
                  <w:noWrap w:val="0"/>
                  <w:vAlign w:val="center"/>
                </w:tcPr>
                <w:p w14:paraId="32272223">
                  <w:pPr>
                    <w:tabs>
                      <w:tab w:val="left" w:pos="1260"/>
                    </w:tabs>
                    <w:adjustRightInd w:val="0"/>
                    <w:snapToGrid w:val="0"/>
                    <w:jc w:val="center"/>
                    <w:rPr>
                      <w:rFonts w:hint="default" w:ascii="Times New Roman" w:hAnsi="Times New Roman" w:cs="Times New Roman"/>
                      <w:color w:val="auto"/>
                      <w:sz w:val="21"/>
                      <w:szCs w:val="21"/>
                    </w:rPr>
                  </w:pPr>
                </w:p>
              </w:tc>
              <w:tc>
                <w:tcPr>
                  <w:tcW w:w="894" w:type="pct"/>
                  <w:gridSpan w:val="2"/>
                  <w:tcBorders>
                    <w:tl2br w:val="nil"/>
                    <w:tr2bl w:val="nil"/>
                  </w:tcBorders>
                  <w:noWrap w:val="0"/>
                  <w:vAlign w:val="center"/>
                </w:tcPr>
                <w:p w14:paraId="7C1658A2">
                  <w:pPr>
                    <w:tabs>
                      <w:tab w:val="left" w:pos="1260"/>
                    </w:tabs>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供电</w:t>
                  </w:r>
                </w:p>
              </w:tc>
              <w:tc>
                <w:tcPr>
                  <w:tcW w:w="3679" w:type="pct"/>
                  <w:tcBorders>
                    <w:tl2br w:val="nil"/>
                    <w:tr2bl w:val="nil"/>
                  </w:tcBorders>
                  <w:noWrap w:val="0"/>
                  <w:vAlign w:val="center"/>
                </w:tcPr>
                <w:p w14:paraId="047D4895">
                  <w:pPr>
                    <w:tabs>
                      <w:tab w:val="left" w:pos="1260"/>
                    </w:tabs>
                    <w:adjustRightInd w:val="0"/>
                    <w:snapToGrid w:val="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由市政供电管网供给</w:t>
                  </w:r>
                  <w:r>
                    <w:rPr>
                      <w:rFonts w:hint="default" w:ascii="Times New Roman" w:hAnsi="Times New Roman" w:cs="Times New Roman"/>
                      <w:color w:val="auto"/>
                      <w:sz w:val="21"/>
                      <w:szCs w:val="21"/>
                      <w:lang w:eastAsia="zh-CN"/>
                    </w:rPr>
                    <w:t>。</w:t>
                  </w:r>
                </w:p>
              </w:tc>
            </w:tr>
            <w:tr w14:paraId="08F41B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vMerge w:val="continue"/>
                  <w:tcBorders>
                    <w:tl2br w:val="nil"/>
                    <w:tr2bl w:val="nil"/>
                  </w:tcBorders>
                  <w:noWrap w:val="0"/>
                  <w:vAlign w:val="center"/>
                </w:tcPr>
                <w:p w14:paraId="680AA7D0">
                  <w:pPr>
                    <w:tabs>
                      <w:tab w:val="left" w:pos="1260"/>
                    </w:tabs>
                    <w:adjustRightInd w:val="0"/>
                    <w:snapToGrid w:val="0"/>
                    <w:jc w:val="center"/>
                    <w:rPr>
                      <w:rFonts w:hint="default" w:ascii="Times New Roman" w:hAnsi="Times New Roman" w:cs="Times New Roman"/>
                      <w:color w:val="auto"/>
                      <w:sz w:val="21"/>
                      <w:szCs w:val="21"/>
                    </w:rPr>
                  </w:pPr>
                </w:p>
              </w:tc>
              <w:tc>
                <w:tcPr>
                  <w:tcW w:w="894" w:type="pct"/>
                  <w:gridSpan w:val="2"/>
                  <w:tcBorders>
                    <w:tl2br w:val="nil"/>
                    <w:tr2bl w:val="nil"/>
                  </w:tcBorders>
                  <w:noWrap w:val="0"/>
                  <w:vAlign w:val="center"/>
                </w:tcPr>
                <w:p w14:paraId="77E008B0">
                  <w:pPr>
                    <w:pStyle w:val="17"/>
                    <w:adjustRightInd w:val="0"/>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lang w:val="en-US" w:eastAsia="zh-CN"/>
                    </w:rPr>
                    <w:t>采暖与</w:t>
                  </w:r>
                  <w:r>
                    <w:rPr>
                      <w:rFonts w:hint="default" w:ascii="Times New Roman" w:hAnsi="Times New Roman" w:cs="Times New Roman"/>
                      <w:bCs/>
                      <w:color w:val="auto"/>
                      <w:sz w:val="21"/>
                      <w:szCs w:val="21"/>
                    </w:rPr>
                    <w:t>制冷</w:t>
                  </w:r>
                </w:p>
              </w:tc>
              <w:tc>
                <w:tcPr>
                  <w:tcW w:w="3679" w:type="pct"/>
                  <w:tcBorders>
                    <w:tl2br w:val="nil"/>
                    <w:tr2bl w:val="nil"/>
                  </w:tcBorders>
                  <w:noWrap w:val="0"/>
                  <w:vAlign w:val="center"/>
                </w:tcPr>
                <w:p w14:paraId="10E8B7E1">
                  <w:pPr>
                    <w:adjustRightInd w:val="0"/>
                    <w:snapToGrid w:val="0"/>
                    <w:jc w:val="left"/>
                    <w:rPr>
                      <w:rFonts w:hint="eastAsia" w:ascii="Times New Roman" w:hAnsi="Times New Roman" w:eastAsia="宋体" w:cs="Times New Roman"/>
                      <w:color w:val="auto"/>
                      <w:sz w:val="21"/>
                      <w:szCs w:val="21"/>
                      <w:lang w:val="en-US" w:eastAsia="zh-CN"/>
                    </w:rPr>
                  </w:pPr>
                  <w:r>
                    <w:rPr>
                      <w:rFonts w:hint="eastAsia"/>
                      <w:color w:val="auto"/>
                      <w:szCs w:val="21"/>
                    </w:rPr>
                    <w:t>采取空调供暖制冷</w:t>
                  </w:r>
                  <w:r>
                    <w:rPr>
                      <w:rFonts w:hint="eastAsia"/>
                      <w:color w:val="auto"/>
                      <w:szCs w:val="21"/>
                      <w:lang w:eastAsia="zh-CN"/>
                    </w:rPr>
                    <w:t>。</w:t>
                  </w:r>
                </w:p>
              </w:tc>
            </w:tr>
            <w:tr w14:paraId="0A4A36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vMerge w:val="restart"/>
                  <w:tcBorders>
                    <w:tl2br w:val="nil"/>
                    <w:tr2bl w:val="nil"/>
                  </w:tcBorders>
                  <w:noWrap w:val="0"/>
                  <w:vAlign w:val="center"/>
                </w:tcPr>
                <w:p w14:paraId="016B912E">
                  <w:pPr>
                    <w:tabs>
                      <w:tab w:val="left" w:pos="1260"/>
                    </w:tabs>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环保工程</w:t>
                  </w:r>
                </w:p>
              </w:tc>
              <w:tc>
                <w:tcPr>
                  <w:tcW w:w="894" w:type="pct"/>
                  <w:gridSpan w:val="2"/>
                  <w:tcBorders>
                    <w:tl2br w:val="nil"/>
                    <w:tr2bl w:val="nil"/>
                  </w:tcBorders>
                  <w:noWrap w:val="0"/>
                  <w:vAlign w:val="center"/>
                </w:tcPr>
                <w:p w14:paraId="0658A7B3">
                  <w:pPr>
                    <w:tabs>
                      <w:tab w:val="left" w:pos="1260"/>
                    </w:tabs>
                    <w:adjustRightInd w:val="0"/>
                    <w:snapToGrid w:val="0"/>
                    <w:jc w:val="center"/>
                    <w:rPr>
                      <w:rFonts w:hint="default" w:ascii="Times New Roman" w:hAnsi="Times New Roman" w:cs="Times New Roman"/>
                      <w:color w:val="auto"/>
                      <w:sz w:val="21"/>
                      <w:szCs w:val="21"/>
                      <w:highlight w:val="green"/>
                      <w:lang w:val="en-US" w:eastAsia="zh-CN"/>
                    </w:rPr>
                  </w:pPr>
                  <w:r>
                    <w:rPr>
                      <w:rFonts w:hint="default" w:ascii="Times New Roman" w:hAnsi="Times New Roman" w:cs="Times New Roman"/>
                      <w:color w:val="auto"/>
                      <w:lang w:val="en-US" w:eastAsia="zh-CN"/>
                    </w:rPr>
                    <w:t>废气</w:t>
                  </w:r>
                </w:p>
              </w:tc>
              <w:tc>
                <w:tcPr>
                  <w:tcW w:w="3679" w:type="pct"/>
                  <w:tcBorders>
                    <w:tl2br w:val="nil"/>
                    <w:tr2bl w:val="nil"/>
                  </w:tcBorders>
                  <w:noWrap w:val="0"/>
                  <w:vAlign w:val="center"/>
                </w:tcPr>
                <w:p w14:paraId="5EBF26C8">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催化浆料配制工序废气、变色材料制备工序废气采用通风橱收集，催化剂涂覆膜制备工序废气、敏感层制备工序废气采用密闭式管道收集，经“二级活性炭吸附装置”处理后通过</w:t>
                  </w:r>
                  <w:r>
                    <w:rPr>
                      <w:rFonts w:hint="eastAsia" w:ascii="Times New Roman" w:hAnsi="Times New Roman" w:cs="Times New Roman"/>
                      <w:color w:val="auto"/>
                      <w:lang w:val="en-US" w:eastAsia="zh-CN"/>
                    </w:rPr>
                    <w:t>17m</w:t>
                  </w:r>
                  <w:r>
                    <w:rPr>
                      <w:rFonts w:hint="default" w:ascii="Times New Roman" w:hAnsi="Times New Roman" w:cs="Times New Roman"/>
                      <w:color w:val="auto"/>
                      <w:lang w:val="en-US" w:eastAsia="zh-CN"/>
                    </w:rPr>
                    <w:t>高排气筒（DA001）排放。</w:t>
                  </w:r>
                </w:p>
              </w:tc>
            </w:tr>
            <w:tr w14:paraId="478AD5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vMerge w:val="continue"/>
                  <w:tcBorders>
                    <w:tl2br w:val="nil"/>
                    <w:tr2bl w:val="nil"/>
                  </w:tcBorders>
                  <w:noWrap w:val="0"/>
                  <w:vAlign w:val="center"/>
                </w:tcPr>
                <w:p w14:paraId="0123385D">
                  <w:pPr>
                    <w:tabs>
                      <w:tab w:val="left" w:pos="1260"/>
                    </w:tabs>
                    <w:adjustRightInd w:val="0"/>
                    <w:snapToGrid w:val="0"/>
                    <w:jc w:val="center"/>
                    <w:rPr>
                      <w:rFonts w:hint="default" w:ascii="Times New Roman" w:hAnsi="Times New Roman" w:cs="Times New Roman"/>
                      <w:color w:val="auto"/>
                      <w:sz w:val="21"/>
                      <w:szCs w:val="21"/>
                      <w:lang w:val="en-US" w:eastAsia="zh-CN"/>
                    </w:rPr>
                  </w:pPr>
                </w:p>
              </w:tc>
              <w:tc>
                <w:tcPr>
                  <w:tcW w:w="894" w:type="pct"/>
                  <w:gridSpan w:val="2"/>
                  <w:tcBorders>
                    <w:tl2br w:val="nil"/>
                    <w:tr2bl w:val="nil"/>
                  </w:tcBorders>
                  <w:noWrap w:val="0"/>
                  <w:vAlign w:val="center"/>
                </w:tcPr>
                <w:p w14:paraId="0F510F8A">
                  <w:pPr>
                    <w:tabs>
                      <w:tab w:val="left" w:pos="1260"/>
                    </w:tabs>
                    <w:adjustRightInd w:val="0"/>
                    <w:snapToGrid w:val="0"/>
                    <w:jc w:val="center"/>
                    <w:rPr>
                      <w:rFonts w:hint="default" w:ascii="Times New Roman" w:hAnsi="Times New Roman" w:cs="Times New Roman"/>
                      <w:color w:val="auto"/>
                      <w:kern w:val="2"/>
                      <w:sz w:val="21"/>
                      <w:szCs w:val="21"/>
                      <w:highlight w:val="green"/>
                      <w:lang w:val="en-US" w:eastAsia="zh-CN" w:bidi="ar-SA"/>
                    </w:rPr>
                  </w:pPr>
                  <w:r>
                    <w:rPr>
                      <w:rFonts w:hint="default" w:ascii="Times New Roman" w:hAnsi="Times New Roman" w:cs="Times New Roman"/>
                      <w:color w:val="auto"/>
                      <w:sz w:val="21"/>
                      <w:szCs w:val="21"/>
                      <w:lang w:val="en-US" w:eastAsia="zh-CN"/>
                    </w:rPr>
                    <w:t>废水</w:t>
                  </w:r>
                </w:p>
              </w:tc>
              <w:tc>
                <w:tcPr>
                  <w:tcW w:w="3679" w:type="pct"/>
                  <w:tcBorders>
                    <w:tl2br w:val="nil"/>
                    <w:tr2bl w:val="nil"/>
                  </w:tcBorders>
                  <w:noWrap w:val="0"/>
                  <w:vAlign w:val="center"/>
                </w:tcPr>
                <w:p w14:paraId="39BCC1B7">
                  <w:pPr>
                    <w:tabs>
                      <w:tab w:val="left" w:pos="1260"/>
                    </w:tabs>
                    <w:adjustRightInd w:val="0"/>
                    <w:snapToGrid w:val="0"/>
                    <w:jc w:val="both"/>
                    <w:rPr>
                      <w:rFonts w:hint="default" w:ascii="Times New Roman" w:hAnsi="Times New Roman" w:eastAsia="宋体" w:cs="Times New Roman"/>
                      <w:color w:val="auto"/>
                      <w:kern w:val="2"/>
                      <w:sz w:val="21"/>
                      <w:szCs w:val="21"/>
                      <w:highlight w:val="green"/>
                      <w:lang w:val="en-US" w:eastAsia="zh-CN" w:bidi="ar-SA"/>
                    </w:rPr>
                  </w:pPr>
                  <w:r>
                    <w:rPr>
                      <w:rFonts w:hint="eastAsia"/>
                      <w:color w:val="auto"/>
                      <w:szCs w:val="21"/>
                    </w:rPr>
                    <w:t>实验室器皿后段清洗废水经pH调节池收集处理后</w:t>
                  </w:r>
                  <w:r>
                    <w:rPr>
                      <w:color w:val="auto"/>
                      <w:szCs w:val="21"/>
                    </w:rPr>
                    <w:t>与生活污水</w:t>
                  </w:r>
                  <w:r>
                    <w:rPr>
                      <w:rFonts w:hint="eastAsia"/>
                      <w:color w:val="auto"/>
                      <w:szCs w:val="21"/>
                      <w:lang w:eastAsia="zh-CN"/>
                    </w:rPr>
                    <w:t>、</w:t>
                  </w:r>
                  <w:r>
                    <w:rPr>
                      <w:rFonts w:hint="eastAsia"/>
                      <w:color w:val="auto"/>
                      <w:szCs w:val="21"/>
                      <w:lang w:val="en-US" w:eastAsia="zh-CN"/>
                    </w:rPr>
                    <w:t>纯水机浓水</w:t>
                  </w:r>
                  <w:r>
                    <w:rPr>
                      <w:color w:val="auto"/>
                      <w:szCs w:val="21"/>
                    </w:rPr>
                    <w:t>一起进入</w:t>
                  </w:r>
                  <w:r>
                    <w:rPr>
                      <w:rFonts w:hint="eastAsia"/>
                      <w:color w:val="auto"/>
                      <w:szCs w:val="21"/>
                      <w:lang w:val="en-US" w:eastAsia="zh-CN"/>
                    </w:rPr>
                    <w:t>位于园区23号和24号厂房中间的</w:t>
                  </w:r>
                  <w:r>
                    <w:rPr>
                      <w:color w:val="auto"/>
                      <w:szCs w:val="21"/>
                    </w:rPr>
                    <w:t>化粪池</w:t>
                  </w:r>
                  <w:r>
                    <w:rPr>
                      <w:rFonts w:hint="eastAsia"/>
                      <w:color w:val="auto"/>
                      <w:szCs w:val="21"/>
                      <w:lang w:eastAsia="zh-CN"/>
                    </w:rPr>
                    <w:t>（</w:t>
                  </w:r>
                  <w:r>
                    <w:rPr>
                      <w:rFonts w:hint="eastAsia"/>
                      <w:color w:val="auto"/>
                      <w:szCs w:val="21"/>
                      <w:lang w:val="en-US" w:eastAsia="zh-CN"/>
                    </w:rPr>
                    <w:t>100m</w:t>
                  </w:r>
                  <w:r>
                    <w:rPr>
                      <w:rFonts w:hint="eastAsia"/>
                      <w:color w:val="auto"/>
                      <w:szCs w:val="21"/>
                      <w:vertAlign w:val="superscript"/>
                      <w:lang w:val="en-US" w:eastAsia="zh-CN"/>
                    </w:rPr>
                    <w:t>3</w:t>
                  </w:r>
                  <w:r>
                    <w:rPr>
                      <w:rFonts w:hint="eastAsia"/>
                      <w:color w:val="auto"/>
                      <w:szCs w:val="21"/>
                      <w:lang w:eastAsia="zh-CN"/>
                    </w:rPr>
                    <w:t>）</w:t>
                  </w:r>
                  <w:r>
                    <w:rPr>
                      <w:color w:val="auto"/>
                      <w:szCs w:val="21"/>
                    </w:rPr>
                    <w:t>处理达标后排入市政污水管网</w:t>
                  </w:r>
                  <w:r>
                    <w:rPr>
                      <w:rFonts w:hint="eastAsia"/>
                      <w:color w:val="auto"/>
                      <w:szCs w:val="21"/>
                      <w:lang w:eastAsia="zh-CN"/>
                    </w:rPr>
                    <w:t>。</w:t>
                  </w:r>
                </w:p>
              </w:tc>
            </w:tr>
            <w:tr w14:paraId="487404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vMerge w:val="continue"/>
                  <w:tcBorders>
                    <w:tl2br w:val="nil"/>
                    <w:tr2bl w:val="nil"/>
                  </w:tcBorders>
                  <w:noWrap w:val="0"/>
                  <w:vAlign w:val="center"/>
                </w:tcPr>
                <w:p w14:paraId="4468CCD0">
                  <w:pPr>
                    <w:tabs>
                      <w:tab w:val="left" w:pos="1260"/>
                    </w:tabs>
                    <w:adjustRightInd w:val="0"/>
                    <w:snapToGrid w:val="0"/>
                    <w:jc w:val="center"/>
                    <w:rPr>
                      <w:rFonts w:hint="default" w:ascii="Times New Roman" w:hAnsi="Times New Roman" w:cs="Times New Roman"/>
                      <w:color w:val="auto"/>
                      <w:sz w:val="21"/>
                      <w:szCs w:val="21"/>
                    </w:rPr>
                  </w:pPr>
                </w:p>
              </w:tc>
              <w:tc>
                <w:tcPr>
                  <w:tcW w:w="894" w:type="pct"/>
                  <w:gridSpan w:val="2"/>
                  <w:tcBorders>
                    <w:tl2br w:val="nil"/>
                    <w:tr2bl w:val="nil"/>
                  </w:tcBorders>
                  <w:noWrap w:val="0"/>
                  <w:vAlign w:val="center"/>
                </w:tcPr>
                <w:p w14:paraId="0DADBF16">
                  <w:pPr>
                    <w:tabs>
                      <w:tab w:val="left" w:pos="1260"/>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3679" w:type="pct"/>
                  <w:tcBorders>
                    <w:tl2br w:val="nil"/>
                    <w:tr2bl w:val="nil"/>
                  </w:tcBorders>
                  <w:noWrap w:val="0"/>
                  <w:vAlign w:val="center"/>
                </w:tcPr>
                <w:p w14:paraId="7F99BCC7">
                  <w:pPr>
                    <w:tabs>
                      <w:tab w:val="left" w:pos="1260"/>
                    </w:tabs>
                    <w:adjustRightInd w:val="0"/>
                    <w:snapToGrid w:val="0"/>
                    <w:jc w:val="both"/>
                    <w:rPr>
                      <w:rFonts w:hint="default" w:ascii="Times New Roman" w:hAnsi="Times New Roman" w:cs="Times New Roman"/>
                      <w:color w:val="auto"/>
                      <w:sz w:val="21"/>
                      <w:szCs w:val="21"/>
                      <w:lang w:val="en-US"/>
                    </w:rPr>
                  </w:pPr>
                  <w:r>
                    <w:rPr>
                      <w:rFonts w:hint="eastAsia"/>
                      <w:color w:val="auto"/>
                      <w:kern w:val="0"/>
                      <w:szCs w:val="21"/>
                      <w:lang w:bidi="ar"/>
                    </w:rPr>
                    <w:t>选用低噪声仪器，全部置于室内</w:t>
                  </w:r>
                  <w:r>
                    <w:rPr>
                      <w:rFonts w:hint="default" w:ascii="Times New Roman" w:hAnsi="Times New Roman" w:eastAsia="宋体" w:cs="Times New Roman"/>
                      <w:color w:val="auto"/>
                      <w:kern w:val="0"/>
                      <w:sz w:val="21"/>
                      <w:szCs w:val="21"/>
                      <w:lang w:val="en-US" w:eastAsia="zh-CN"/>
                    </w:rPr>
                    <w:t>。</w:t>
                  </w:r>
                </w:p>
              </w:tc>
            </w:tr>
            <w:tr w14:paraId="5B87D7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vMerge w:val="continue"/>
                  <w:tcBorders>
                    <w:tl2br w:val="nil"/>
                    <w:tr2bl w:val="nil"/>
                  </w:tcBorders>
                  <w:noWrap w:val="0"/>
                  <w:vAlign w:val="center"/>
                </w:tcPr>
                <w:p w14:paraId="62E3956D">
                  <w:pPr>
                    <w:tabs>
                      <w:tab w:val="left" w:pos="1260"/>
                    </w:tabs>
                    <w:adjustRightInd w:val="0"/>
                    <w:snapToGrid w:val="0"/>
                    <w:jc w:val="center"/>
                    <w:rPr>
                      <w:rFonts w:hint="default" w:ascii="Times New Roman" w:hAnsi="Times New Roman" w:cs="Times New Roman"/>
                      <w:color w:val="auto"/>
                      <w:sz w:val="21"/>
                      <w:szCs w:val="21"/>
                    </w:rPr>
                  </w:pPr>
                </w:p>
              </w:tc>
              <w:tc>
                <w:tcPr>
                  <w:tcW w:w="264" w:type="pct"/>
                  <w:vMerge w:val="restart"/>
                  <w:tcBorders>
                    <w:tl2br w:val="nil"/>
                    <w:tr2bl w:val="nil"/>
                  </w:tcBorders>
                  <w:noWrap w:val="0"/>
                  <w:vAlign w:val="center"/>
                </w:tcPr>
                <w:p w14:paraId="40B4FB47">
                  <w:pPr>
                    <w:tabs>
                      <w:tab w:val="left" w:pos="1260"/>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固废治理</w:t>
                  </w:r>
                </w:p>
              </w:tc>
              <w:tc>
                <w:tcPr>
                  <w:tcW w:w="629" w:type="pct"/>
                  <w:tcBorders>
                    <w:tl2br w:val="nil"/>
                    <w:tr2bl w:val="nil"/>
                  </w:tcBorders>
                  <w:noWrap w:val="0"/>
                  <w:vAlign w:val="center"/>
                </w:tcPr>
                <w:p w14:paraId="63AB0392">
                  <w:pPr>
                    <w:tabs>
                      <w:tab w:val="left" w:pos="1260"/>
                    </w:tabs>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生活垃圾</w:t>
                  </w:r>
                </w:p>
              </w:tc>
              <w:tc>
                <w:tcPr>
                  <w:tcW w:w="3679" w:type="pct"/>
                  <w:tcBorders>
                    <w:tl2br w:val="nil"/>
                    <w:tr2bl w:val="nil"/>
                  </w:tcBorders>
                  <w:noWrap w:val="0"/>
                  <w:vAlign w:val="center"/>
                </w:tcPr>
                <w:p w14:paraId="02549E50">
                  <w:pPr>
                    <w:tabs>
                      <w:tab w:val="left" w:pos="1260"/>
                    </w:tabs>
                    <w:adjustRightInd w:val="0"/>
                    <w:snapToGrid w:val="0"/>
                    <w:jc w:val="left"/>
                    <w:rPr>
                      <w:rFonts w:hint="default" w:ascii="Times New Roman" w:hAnsi="Times New Roman" w:eastAsia="宋体" w:cs="Times New Roman"/>
                      <w:color w:val="auto"/>
                      <w:sz w:val="21"/>
                      <w:szCs w:val="21"/>
                      <w:lang w:eastAsia="zh-CN"/>
                    </w:rPr>
                  </w:pPr>
                  <w:r>
                    <w:rPr>
                      <w:rFonts w:hint="eastAsia"/>
                      <w:color w:val="auto"/>
                      <w:kern w:val="0"/>
                      <w:szCs w:val="21"/>
                      <w:lang w:bidi="ar"/>
                    </w:rPr>
                    <w:t>分类收集后统一交由环卫部门处置</w:t>
                  </w:r>
                  <w:r>
                    <w:rPr>
                      <w:rFonts w:hint="default" w:ascii="Times New Roman" w:hAnsi="Times New Roman" w:cs="Times New Roman"/>
                      <w:color w:val="auto"/>
                      <w:sz w:val="21"/>
                      <w:szCs w:val="21"/>
                      <w:highlight w:val="none"/>
                      <w:lang w:eastAsia="zh-CN" w:bidi="ar"/>
                    </w:rPr>
                    <w:t>。</w:t>
                  </w:r>
                </w:p>
              </w:tc>
            </w:tr>
            <w:tr w14:paraId="461001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vMerge w:val="continue"/>
                  <w:tcBorders>
                    <w:tl2br w:val="nil"/>
                    <w:tr2bl w:val="nil"/>
                  </w:tcBorders>
                  <w:noWrap w:val="0"/>
                  <w:vAlign w:val="center"/>
                </w:tcPr>
                <w:p w14:paraId="3B7D0A75">
                  <w:pPr>
                    <w:tabs>
                      <w:tab w:val="left" w:pos="1260"/>
                    </w:tabs>
                    <w:adjustRightInd w:val="0"/>
                    <w:snapToGrid w:val="0"/>
                    <w:jc w:val="center"/>
                    <w:rPr>
                      <w:rFonts w:hint="default" w:ascii="Times New Roman" w:hAnsi="Times New Roman" w:cs="Times New Roman"/>
                      <w:color w:val="auto"/>
                      <w:sz w:val="21"/>
                      <w:szCs w:val="21"/>
                    </w:rPr>
                  </w:pPr>
                </w:p>
              </w:tc>
              <w:tc>
                <w:tcPr>
                  <w:tcW w:w="264" w:type="pct"/>
                  <w:vMerge w:val="continue"/>
                  <w:tcBorders>
                    <w:tl2br w:val="nil"/>
                    <w:tr2bl w:val="nil"/>
                  </w:tcBorders>
                  <w:noWrap w:val="0"/>
                  <w:vAlign w:val="center"/>
                </w:tcPr>
                <w:p w14:paraId="32189BE5">
                  <w:pPr>
                    <w:tabs>
                      <w:tab w:val="left" w:pos="1260"/>
                    </w:tabs>
                    <w:adjustRightInd w:val="0"/>
                    <w:snapToGrid w:val="0"/>
                    <w:jc w:val="center"/>
                    <w:rPr>
                      <w:rFonts w:hint="default" w:ascii="Times New Roman" w:hAnsi="Times New Roman" w:cs="Times New Roman"/>
                      <w:color w:val="auto"/>
                      <w:sz w:val="21"/>
                      <w:szCs w:val="21"/>
                    </w:rPr>
                  </w:pPr>
                </w:p>
              </w:tc>
              <w:tc>
                <w:tcPr>
                  <w:tcW w:w="629" w:type="pct"/>
                  <w:tcBorders>
                    <w:tl2br w:val="nil"/>
                    <w:tr2bl w:val="nil"/>
                  </w:tcBorders>
                  <w:noWrap w:val="0"/>
                  <w:vAlign w:val="center"/>
                </w:tcPr>
                <w:p w14:paraId="6FA148E7">
                  <w:pPr>
                    <w:tabs>
                      <w:tab w:val="left" w:pos="1260"/>
                    </w:tabs>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一般</w:t>
                  </w:r>
                </w:p>
                <w:p w14:paraId="4642071A">
                  <w:pPr>
                    <w:tabs>
                      <w:tab w:val="left" w:pos="1260"/>
                    </w:tabs>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工业固废</w:t>
                  </w:r>
                </w:p>
              </w:tc>
              <w:tc>
                <w:tcPr>
                  <w:tcW w:w="3679" w:type="pct"/>
                  <w:tcBorders>
                    <w:tl2br w:val="nil"/>
                    <w:tr2bl w:val="nil"/>
                  </w:tcBorders>
                  <w:noWrap w:val="0"/>
                  <w:vAlign w:val="center"/>
                </w:tcPr>
                <w:p w14:paraId="26A28689">
                  <w:pPr>
                    <w:tabs>
                      <w:tab w:val="left" w:pos="1260"/>
                    </w:tabs>
                    <w:adjustRightInd w:val="0"/>
                    <w:snapToGrid w:val="0"/>
                    <w:jc w:val="left"/>
                    <w:rPr>
                      <w:rFonts w:hint="default" w:ascii="Times New Roman" w:hAnsi="Times New Roman" w:eastAsia="宋体" w:cs="Times New Roman"/>
                      <w:color w:val="auto"/>
                      <w:sz w:val="21"/>
                      <w:szCs w:val="21"/>
                      <w:lang w:eastAsia="zh-CN"/>
                    </w:rPr>
                  </w:pPr>
                  <w:r>
                    <w:rPr>
                      <w:rFonts w:hint="eastAsia"/>
                      <w:color w:val="auto"/>
                      <w:szCs w:val="21"/>
                      <w:lang w:val="en-US" w:eastAsia="zh-CN"/>
                    </w:rPr>
                    <w:t>废</w:t>
                  </w:r>
                  <w:r>
                    <w:rPr>
                      <w:rFonts w:hint="default"/>
                      <w:color w:val="auto"/>
                      <w:szCs w:val="21"/>
                      <w:lang w:val="en-US" w:eastAsia="zh-CN"/>
                    </w:rPr>
                    <w:t>边角料</w:t>
                  </w:r>
                  <w:r>
                    <w:rPr>
                      <w:rFonts w:hint="eastAsia"/>
                      <w:color w:val="auto"/>
                      <w:szCs w:val="21"/>
                      <w:lang w:val="en-US" w:eastAsia="zh-CN"/>
                    </w:rPr>
                    <w:t>、</w:t>
                  </w:r>
                  <w:r>
                    <w:rPr>
                      <w:rFonts w:hint="default"/>
                      <w:color w:val="auto"/>
                      <w:szCs w:val="21"/>
                      <w:lang w:val="en-US" w:eastAsia="zh-CN"/>
                    </w:rPr>
                    <w:t>废包装</w:t>
                  </w:r>
                  <w:r>
                    <w:rPr>
                      <w:rFonts w:hint="eastAsia"/>
                      <w:color w:val="auto"/>
                      <w:szCs w:val="21"/>
                      <w:lang w:val="en-US" w:eastAsia="zh-CN"/>
                    </w:rPr>
                    <w:t>材料、不合格品</w:t>
                  </w:r>
                  <w:r>
                    <w:rPr>
                      <w:rFonts w:hint="default" w:ascii="Times New Roman" w:hAnsi="Times New Roman"/>
                      <w:color w:val="auto"/>
                      <w:sz w:val="21"/>
                      <w:szCs w:val="21"/>
                      <w:lang w:val="en-US" w:eastAsia="zh-CN"/>
                    </w:rPr>
                    <w:t>集中收集后外售</w:t>
                  </w:r>
                  <w:r>
                    <w:rPr>
                      <w:rFonts w:hint="eastAsia" w:ascii="Times New Roman" w:hAnsi="Times New Roman"/>
                      <w:color w:val="auto"/>
                      <w:sz w:val="21"/>
                      <w:szCs w:val="21"/>
                      <w:lang w:val="en-US" w:eastAsia="zh-CN"/>
                    </w:rPr>
                    <w:t>，</w:t>
                  </w:r>
                  <w:r>
                    <w:rPr>
                      <w:rFonts w:hint="eastAsia"/>
                      <w:color w:val="auto"/>
                      <w:szCs w:val="21"/>
                      <w:lang w:val="en-US" w:eastAsia="zh-CN"/>
                    </w:rPr>
                    <w:t>废反渗透膜</w:t>
                  </w:r>
                  <w:r>
                    <w:rPr>
                      <w:rFonts w:hint="eastAsia"/>
                      <w:color w:val="auto"/>
                      <w:sz w:val="21"/>
                      <w:szCs w:val="21"/>
                      <w:lang w:val="en-US" w:eastAsia="zh-CN"/>
                    </w:rPr>
                    <w:t>交供应商回收利用</w:t>
                  </w:r>
                  <w:r>
                    <w:rPr>
                      <w:rFonts w:hint="default" w:ascii="Times New Roman" w:hAnsi="Times New Roman" w:cs="Times New Roman"/>
                      <w:color w:val="auto"/>
                      <w:lang w:eastAsia="zh-CN"/>
                    </w:rPr>
                    <w:t>。</w:t>
                  </w:r>
                </w:p>
              </w:tc>
            </w:tr>
            <w:tr w14:paraId="57C549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vMerge w:val="continue"/>
                  <w:tcBorders>
                    <w:tl2br w:val="nil"/>
                    <w:tr2bl w:val="nil"/>
                  </w:tcBorders>
                  <w:noWrap w:val="0"/>
                  <w:vAlign w:val="center"/>
                </w:tcPr>
                <w:p w14:paraId="69329F4B">
                  <w:pPr>
                    <w:tabs>
                      <w:tab w:val="left" w:pos="1260"/>
                    </w:tabs>
                    <w:adjustRightInd w:val="0"/>
                    <w:snapToGrid w:val="0"/>
                    <w:jc w:val="center"/>
                    <w:rPr>
                      <w:rFonts w:hint="default" w:ascii="Times New Roman" w:hAnsi="Times New Roman" w:cs="Times New Roman"/>
                      <w:color w:val="auto"/>
                      <w:sz w:val="21"/>
                      <w:szCs w:val="21"/>
                    </w:rPr>
                  </w:pPr>
                </w:p>
              </w:tc>
              <w:tc>
                <w:tcPr>
                  <w:tcW w:w="264" w:type="pct"/>
                  <w:vMerge w:val="continue"/>
                  <w:tcBorders>
                    <w:tl2br w:val="nil"/>
                    <w:tr2bl w:val="nil"/>
                  </w:tcBorders>
                  <w:noWrap w:val="0"/>
                  <w:vAlign w:val="center"/>
                </w:tcPr>
                <w:p w14:paraId="1639FF60">
                  <w:pPr>
                    <w:tabs>
                      <w:tab w:val="left" w:pos="1260"/>
                    </w:tabs>
                    <w:adjustRightInd w:val="0"/>
                    <w:snapToGrid w:val="0"/>
                    <w:jc w:val="center"/>
                    <w:rPr>
                      <w:rFonts w:hint="default" w:ascii="Times New Roman" w:hAnsi="Times New Roman" w:cs="Times New Roman"/>
                      <w:color w:val="auto"/>
                      <w:sz w:val="21"/>
                      <w:szCs w:val="21"/>
                    </w:rPr>
                  </w:pPr>
                </w:p>
              </w:tc>
              <w:tc>
                <w:tcPr>
                  <w:tcW w:w="629" w:type="pct"/>
                  <w:tcBorders>
                    <w:tl2br w:val="nil"/>
                    <w:tr2bl w:val="nil"/>
                  </w:tcBorders>
                  <w:noWrap w:val="0"/>
                  <w:vAlign w:val="center"/>
                </w:tcPr>
                <w:p w14:paraId="5B4C9FB7">
                  <w:pPr>
                    <w:tabs>
                      <w:tab w:val="left" w:pos="1260"/>
                    </w:tabs>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危险废</w:t>
                  </w:r>
                  <w:r>
                    <w:rPr>
                      <w:rFonts w:hint="default" w:ascii="Times New Roman" w:hAnsi="Times New Roman" w:cs="Times New Roman"/>
                      <w:color w:val="auto"/>
                      <w:sz w:val="21"/>
                      <w:szCs w:val="21"/>
                      <w:lang w:eastAsia="zh-CN"/>
                    </w:rPr>
                    <w:t>物</w:t>
                  </w:r>
                </w:p>
              </w:tc>
              <w:tc>
                <w:tcPr>
                  <w:tcW w:w="3679" w:type="pct"/>
                  <w:tcBorders>
                    <w:tl2br w:val="nil"/>
                    <w:tr2bl w:val="nil"/>
                  </w:tcBorders>
                  <w:noWrap w:val="0"/>
                  <w:vAlign w:val="center"/>
                </w:tcPr>
                <w:p w14:paraId="3E1D2816">
                  <w:pPr>
                    <w:tabs>
                      <w:tab w:val="left" w:pos="1260"/>
                    </w:tabs>
                    <w:adjustRightInd w:val="0"/>
                    <w:snapToGrid w:val="0"/>
                    <w:jc w:val="left"/>
                    <w:rPr>
                      <w:rFonts w:hint="default" w:ascii="Times New Roman" w:hAnsi="Times New Roman" w:eastAsia="宋体" w:cs="Times New Roman"/>
                      <w:color w:val="auto"/>
                      <w:sz w:val="21"/>
                      <w:szCs w:val="21"/>
                      <w:lang w:val="en-US" w:eastAsia="zh-CN"/>
                    </w:rPr>
                  </w:pPr>
                  <w:r>
                    <w:rPr>
                      <w:rFonts w:hint="eastAsia"/>
                      <w:color w:val="auto"/>
                      <w:szCs w:val="21"/>
                      <w:lang w:val="en-US" w:eastAsia="zh-CN"/>
                    </w:rPr>
                    <w:t>实</w:t>
                  </w:r>
                  <w:r>
                    <w:rPr>
                      <w:rFonts w:hint="eastAsia"/>
                      <w:color w:val="auto"/>
                      <w:szCs w:val="21"/>
                    </w:rPr>
                    <w:t>验废液</w:t>
                  </w:r>
                  <w:r>
                    <w:rPr>
                      <w:rFonts w:hint="eastAsia"/>
                      <w:color w:val="auto"/>
                      <w:szCs w:val="21"/>
                      <w:lang w:eastAsia="zh-CN"/>
                    </w:rPr>
                    <w:t>、</w:t>
                  </w:r>
                  <w:r>
                    <w:rPr>
                      <w:rFonts w:hint="eastAsia"/>
                      <w:color w:val="auto"/>
                      <w:szCs w:val="21"/>
                      <w:lang w:val="en-US" w:eastAsia="zh-CN"/>
                    </w:rPr>
                    <w:t>废试剂瓶、</w:t>
                  </w:r>
                  <w:r>
                    <w:rPr>
                      <w:rFonts w:hint="default"/>
                      <w:color w:val="auto"/>
                      <w:szCs w:val="21"/>
                    </w:rPr>
                    <w:t>废活性炭</w:t>
                  </w:r>
                  <w:r>
                    <w:rPr>
                      <w:rFonts w:hint="default" w:ascii="Times New Roman" w:hAnsi="Times New Roman" w:cs="Times New Roman"/>
                      <w:color w:val="auto"/>
                      <w:sz w:val="21"/>
                      <w:szCs w:val="21"/>
                      <w:lang w:val="en-US" w:eastAsia="zh-CN"/>
                    </w:rPr>
                    <w:t>等</w:t>
                  </w:r>
                  <w:r>
                    <w:rPr>
                      <w:rFonts w:hint="default" w:ascii="Times New Roman" w:hAnsi="Times New Roman" w:cs="Times New Roman"/>
                      <w:color w:val="auto"/>
                      <w:sz w:val="21"/>
                      <w:szCs w:val="21"/>
                      <w:lang w:eastAsia="zh-CN"/>
                    </w:rPr>
                    <w:t>危险废物</w:t>
                  </w:r>
                  <w:r>
                    <w:rPr>
                      <w:rFonts w:hint="default" w:ascii="Times New Roman" w:hAnsi="Times New Roman" w:cs="Times New Roman"/>
                      <w:color w:val="auto"/>
                      <w:sz w:val="21"/>
                      <w:szCs w:val="21"/>
                      <w:lang w:val="en-US" w:eastAsia="zh-CN"/>
                    </w:rPr>
                    <w:t>分类收集，分区暂存于</w:t>
                  </w:r>
                  <w:r>
                    <w:rPr>
                      <w:rFonts w:hint="default" w:ascii="Times New Roman" w:hAnsi="Times New Roman" w:cs="Times New Roman"/>
                      <w:color w:val="auto"/>
                      <w:sz w:val="21"/>
                      <w:szCs w:val="21"/>
                      <w:lang w:eastAsia="zh-CN"/>
                    </w:rPr>
                    <w:t>危险废物贮存库</w:t>
                  </w:r>
                  <w:r>
                    <w:rPr>
                      <w:rFonts w:hint="default" w:ascii="Times New Roman" w:hAnsi="Times New Roman" w:cs="Times New Roman"/>
                      <w:color w:val="auto"/>
                      <w:sz w:val="21"/>
                      <w:szCs w:val="21"/>
                    </w:rPr>
                    <w:t>，委托有资质的单位</w:t>
                  </w:r>
                  <w:r>
                    <w:rPr>
                      <w:rFonts w:hint="default" w:ascii="Times New Roman" w:hAnsi="Times New Roman" w:cs="Times New Roman"/>
                      <w:color w:val="auto"/>
                      <w:sz w:val="21"/>
                      <w:szCs w:val="21"/>
                      <w:lang w:val="en-US" w:eastAsia="zh-CN"/>
                    </w:rPr>
                    <w:t>定期处置。</w:t>
                  </w:r>
                </w:p>
              </w:tc>
            </w:tr>
          </w:tbl>
          <w:p w14:paraId="1F045C65">
            <w:pPr>
              <w:numPr>
                <w:ilvl w:val="0"/>
                <w:numId w:val="0"/>
              </w:numPr>
              <w:adjustRightInd w:val="0"/>
              <w:snapToGrid w:val="0"/>
              <w:spacing w:line="360" w:lineRule="auto"/>
              <w:jc w:val="both"/>
              <w:rPr>
                <w:rFonts w:hint="default" w:ascii="Times New Roman" w:hAnsi="Times New Roman" w:cs="Times New Roman"/>
                <w:b/>
                <w:bCs w:val="0"/>
                <w:color w:val="auto"/>
                <w:sz w:val="24"/>
                <w:szCs w:val="24"/>
                <w:lang w:val="en-US" w:eastAsia="zh-CN"/>
              </w:rPr>
            </w:pPr>
            <w:r>
              <w:rPr>
                <w:rFonts w:hint="default" w:ascii="Times New Roman" w:hAnsi="Times New Roman" w:cs="Times New Roman"/>
                <w:b/>
                <w:bCs/>
                <w:color w:val="auto"/>
                <w:kern w:val="2"/>
                <w:sz w:val="24"/>
                <w:szCs w:val="24"/>
                <w:lang w:val="en-US" w:eastAsia="zh-CN" w:bidi="ar-SA"/>
              </w:rPr>
              <w:t>3、</w:t>
            </w:r>
            <w:r>
              <w:rPr>
                <w:rFonts w:hint="default" w:ascii="Times New Roman" w:hAnsi="Times New Roman" w:cs="Times New Roman"/>
                <w:b/>
                <w:bCs w:val="0"/>
                <w:color w:val="auto"/>
                <w:sz w:val="24"/>
                <w:szCs w:val="24"/>
                <w:lang w:val="en-US" w:eastAsia="zh-CN"/>
              </w:rPr>
              <w:t>产品方案</w:t>
            </w:r>
          </w:p>
          <w:p w14:paraId="3C15C50D">
            <w:pPr>
              <w:numPr>
                <w:ilvl w:val="0"/>
                <w:numId w:val="0"/>
              </w:numPr>
              <w:adjustRightInd w:val="0"/>
              <w:snapToGrid w:val="0"/>
              <w:spacing w:line="360" w:lineRule="auto"/>
              <w:ind w:firstLine="480" w:firstLineChars="200"/>
              <w:jc w:val="both"/>
              <w:rPr>
                <w:rFonts w:hint="default" w:ascii="Times New Roman" w:hAnsi="Times New Roman"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本项目产品方案见下表。</w:t>
            </w:r>
          </w:p>
          <w:p w14:paraId="4C144282">
            <w:pPr>
              <w:numPr>
                <w:ilvl w:val="0"/>
                <w:numId w:val="0"/>
              </w:numPr>
              <w:adjustRightInd w:val="0"/>
              <w:snapToGrid w:val="0"/>
              <w:spacing w:line="240" w:lineRule="auto"/>
              <w:ind w:left="0" w:leftChars="0" w:firstLine="0" w:firstLineChars="0"/>
              <w:jc w:val="center"/>
              <w:rPr>
                <w:rFonts w:hint="default" w:ascii="Times New Roman" w:hAnsi="Times New Roman" w:cs="Times New Roman"/>
                <w:b/>
                <w:bCs w:val="0"/>
                <w:color w:val="auto"/>
                <w:sz w:val="24"/>
                <w:szCs w:val="24"/>
                <w:lang w:val="en-US" w:eastAsia="zh-CN"/>
              </w:rPr>
            </w:pPr>
            <w:r>
              <w:rPr>
                <w:rFonts w:hint="default" w:ascii="Times New Roman" w:hAnsi="Times New Roman" w:cs="Times New Roman"/>
                <w:b/>
                <w:bCs w:val="0"/>
                <w:color w:val="auto"/>
                <w:sz w:val="24"/>
                <w:szCs w:val="24"/>
                <w:lang w:val="en-US" w:eastAsia="zh-CN"/>
              </w:rPr>
              <w:t>表2-2</w:t>
            </w:r>
            <w:r>
              <w:rPr>
                <w:rFonts w:hint="eastAsia" w:ascii="Times New Roman" w:hAnsi="Times New Roman" w:cs="Times New Roman"/>
                <w:b/>
                <w:bCs w:val="0"/>
                <w:color w:val="auto"/>
                <w:sz w:val="24"/>
                <w:szCs w:val="24"/>
                <w:lang w:val="en-US" w:eastAsia="zh-CN"/>
              </w:rPr>
              <w:t xml:space="preserve">  </w:t>
            </w:r>
            <w:r>
              <w:rPr>
                <w:rFonts w:hint="default" w:ascii="Times New Roman" w:hAnsi="Times New Roman" w:cs="Times New Roman"/>
                <w:b/>
                <w:bCs w:val="0"/>
                <w:color w:val="auto"/>
                <w:sz w:val="24"/>
                <w:szCs w:val="24"/>
                <w:lang w:val="en-US" w:eastAsia="zh-CN"/>
              </w:rPr>
              <w:t>项目产品方案一览表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5"/>
              <w:gridCol w:w="1074"/>
              <w:gridCol w:w="666"/>
              <w:gridCol w:w="856"/>
              <w:gridCol w:w="3200"/>
              <w:gridCol w:w="2098"/>
            </w:tblGrid>
            <w:tr w14:paraId="691C7A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 w:type="pct"/>
                  <w:tcBorders>
                    <w:tl2br w:val="nil"/>
                    <w:tr2bl w:val="nil"/>
                  </w:tcBorders>
                  <w:noWrap w:val="0"/>
                  <w:vAlign w:val="center"/>
                </w:tcPr>
                <w:p w14:paraId="5BDD35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序号</w:t>
                  </w:r>
                </w:p>
              </w:tc>
              <w:tc>
                <w:tcPr>
                  <w:tcW w:w="645" w:type="pct"/>
                  <w:tcBorders>
                    <w:tl2br w:val="nil"/>
                    <w:tr2bl w:val="nil"/>
                  </w:tcBorders>
                  <w:noWrap w:val="0"/>
                  <w:vAlign w:val="center"/>
                </w:tcPr>
                <w:p w14:paraId="4DC543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val="0"/>
                      <w:color w:val="auto"/>
                      <w:sz w:val="21"/>
                      <w:szCs w:val="21"/>
                    </w:rPr>
                  </w:pPr>
                  <w:r>
                    <w:rPr>
                      <w:rFonts w:hint="eastAsia" w:hAnsi="宋体" w:cs="宋体"/>
                      <w:b/>
                      <w:bCs/>
                      <w:color w:val="auto"/>
                      <w:sz w:val="21"/>
                      <w:szCs w:val="21"/>
                    </w:rPr>
                    <w:t>产品</w:t>
                  </w:r>
                </w:p>
              </w:tc>
              <w:tc>
                <w:tcPr>
                  <w:tcW w:w="400" w:type="pct"/>
                  <w:tcBorders>
                    <w:tl2br w:val="nil"/>
                    <w:tr2bl w:val="nil"/>
                  </w:tcBorders>
                  <w:noWrap w:val="0"/>
                  <w:vAlign w:val="center"/>
                </w:tcPr>
                <w:p w14:paraId="3C8DC9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lang w:eastAsia="zh-CN"/>
                    </w:rPr>
                  </w:pPr>
                  <w:r>
                    <w:rPr>
                      <w:rFonts w:hint="eastAsia" w:hAnsi="宋体" w:cs="宋体"/>
                      <w:b/>
                      <w:bCs/>
                      <w:color w:val="auto"/>
                      <w:sz w:val="21"/>
                      <w:szCs w:val="21"/>
                    </w:rPr>
                    <w:t>单位</w:t>
                  </w:r>
                </w:p>
              </w:tc>
              <w:tc>
                <w:tcPr>
                  <w:tcW w:w="514" w:type="pct"/>
                  <w:tcBorders>
                    <w:tl2br w:val="nil"/>
                    <w:tr2bl w:val="nil"/>
                  </w:tcBorders>
                  <w:noWrap w:val="0"/>
                  <w:vAlign w:val="center"/>
                </w:tcPr>
                <w:p w14:paraId="5CF1B7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val="0"/>
                      <w:color w:val="auto"/>
                      <w:sz w:val="21"/>
                      <w:szCs w:val="21"/>
                      <w:lang w:eastAsia="zh-CN"/>
                    </w:rPr>
                  </w:pPr>
                  <w:r>
                    <w:rPr>
                      <w:rFonts w:hint="eastAsia" w:hAnsi="宋体" w:cs="宋体"/>
                      <w:b/>
                      <w:bCs/>
                      <w:color w:val="auto"/>
                      <w:sz w:val="21"/>
                      <w:szCs w:val="21"/>
                    </w:rPr>
                    <w:t>年产量</w:t>
                  </w:r>
                </w:p>
              </w:tc>
              <w:tc>
                <w:tcPr>
                  <w:tcW w:w="1922" w:type="pct"/>
                  <w:tcBorders>
                    <w:tl2br w:val="nil"/>
                    <w:tr2bl w:val="nil"/>
                  </w:tcBorders>
                  <w:noWrap w:val="0"/>
                  <w:vAlign w:val="center"/>
                </w:tcPr>
                <w:p w14:paraId="27BE7C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hAnsi="宋体" w:eastAsia="宋体" w:cs="宋体"/>
                      <w:b/>
                      <w:bCs/>
                      <w:color w:val="auto"/>
                      <w:sz w:val="21"/>
                      <w:szCs w:val="21"/>
                      <w:lang w:val="en-US" w:eastAsia="zh-CN"/>
                    </w:rPr>
                  </w:pPr>
                  <w:r>
                    <w:rPr>
                      <w:rFonts w:hint="eastAsia" w:hAnsi="宋体" w:cs="宋体"/>
                      <w:b/>
                      <w:bCs/>
                      <w:color w:val="auto"/>
                      <w:sz w:val="21"/>
                      <w:szCs w:val="21"/>
                      <w:lang w:val="en-US" w:eastAsia="zh-CN"/>
                    </w:rPr>
                    <w:t>规格</w:t>
                  </w:r>
                </w:p>
              </w:tc>
              <w:tc>
                <w:tcPr>
                  <w:tcW w:w="1260" w:type="pct"/>
                  <w:tcBorders>
                    <w:tl2br w:val="nil"/>
                    <w:tr2bl w:val="nil"/>
                  </w:tcBorders>
                  <w:noWrap w:val="0"/>
                  <w:vAlign w:val="center"/>
                </w:tcPr>
                <w:p w14:paraId="55AD42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Ansi="宋体" w:cs="宋体"/>
                      <w:b/>
                      <w:bCs/>
                      <w:color w:val="auto"/>
                      <w:sz w:val="21"/>
                      <w:szCs w:val="21"/>
                      <w:lang w:val="en-US" w:eastAsia="zh-CN"/>
                    </w:rPr>
                  </w:pPr>
                  <w:r>
                    <w:rPr>
                      <w:rFonts w:hint="eastAsia" w:hAnsi="宋体" w:cs="宋体"/>
                      <w:b/>
                      <w:bCs/>
                      <w:color w:val="auto"/>
                      <w:sz w:val="21"/>
                      <w:szCs w:val="21"/>
                      <w:lang w:val="en-US" w:eastAsia="zh-CN"/>
                    </w:rPr>
                    <w:t>产品用途</w:t>
                  </w:r>
                </w:p>
              </w:tc>
            </w:tr>
            <w:tr w14:paraId="631076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 w:type="pct"/>
                  <w:tcBorders>
                    <w:tl2br w:val="nil"/>
                    <w:tr2bl w:val="nil"/>
                  </w:tcBorders>
                  <w:noWrap w:val="0"/>
                  <w:vAlign w:val="center"/>
                </w:tcPr>
                <w:p w14:paraId="527029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 w:val="0"/>
                      <w:bCs/>
                      <w:color w:val="auto"/>
                      <w:sz w:val="21"/>
                      <w:szCs w:val="21"/>
                    </w:rPr>
                    <w:t>1</w:t>
                  </w:r>
                </w:p>
              </w:tc>
              <w:tc>
                <w:tcPr>
                  <w:tcW w:w="645" w:type="pct"/>
                  <w:tcBorders>
                    <w:tl2br w:val="nil"/>
                    <w:tr2bl w:val="nil"/>
                  </w:tcBorders>
                  <w:noWrap w:val="0"/>
                  <w:vAlign w:val="center"/>
                </w:tcPr>
                <w:p w14:paraId="48F003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eastAsia" w:hAnsi="宋体"/>
                      <w:color w:val="auto"/>
                      <w:sz w:val="21"/>
                      <w:szCs w:val="21"/>
                      <w:lang w:val="en-US" w:eastAsia="zh-CN"/>
                    </w:rPr>
                    <w:t>膜电极</w:t>
                  </w:r>
                </w:p>
              </w:tc>
              <w:tc>
                <w:tcPr>
                  <w:tcW w:w="400" w:type="pct"/>
                  <w:tcBorders>
                    <w:tl2br w:val="nil"/>
                    <w:tr2bl w:val="nil"/>
                  </w:tcBorders>
                  <w:noWrap w:val="0"/>
                  <w:vAlign w:val="center"/>
                </w:tcPr>
                <w:p w14:paraId="739C7B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lang w:val="en-US" w:eastAsia="zh-CN"/>
                    </w:rPr>
                  </w:pPr>
                  <w:r>
                    <w:rPr>
                      <w:rFonts w:hint="eastAsia" w:hAnsi="宋体"/>
                      <w:color w:val="auto"/>
                      <w:sz w:val="21"/>
                      <w:szCs w:val="21"/>
                      <w:lang w:val="en-US" w:eastAsia="zh-CN"/>
                    </w:rPr>
                    <w:t>片</w:t>
                  </w:r>
                </w:p>
              </w:tc>
              <w:tc>
                <w:tcPr>
                  <w:tcW w:w="514" w:type="pct"/>
                  <w:tcBorders>
                    <w:tl2br w:val="nil"/>
                    <w:tr2bl w:val="nil"/>
                  </w:tcBorders>
                  <w:noWrap w:val="0"/>
                  <w:vAlign w:val="center"/>
                </w:tcPr>
                <w:p w14:paraId="1BAD40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hAnsi="宋体"/>
                      <w:color w:val="auto"/>
                      <w:sz w:val="21"/>
                      <w:szCs w:val="21"/>
                      <w:lang w:val="en-US" w:eastAsia="zh-CN"/>
                    </w:rPr>
                    <w:t>300000</w:t>
                  </w:r>
                </w:p>
              </w:tc>
              <w:tc>
                <w:tcPr>
                  <w:tcW w:w="1922" w:type="pct"/>
                  <w:tcBorders>
                    <w:tl2br w:val="nil"/>
                    <w:tr2bl w:val="nil"/>
                  </w:tcBorders>
                  <w:noWrap w:val="0"/>
                  <w:vAlign w:val="center"/>
                </w:tcPr>
                <w:p w14:paraId="25F91B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hAnsi="宋体"/>
                      <w:color w:val="auto"/>
                      <w:sz w:val="21"/>
                      <w:szCs w:val="21"/>
                      <w:lang w:val="en-US" w:eastAsia="zh-CN"/>
                    </w:rPr>
                  </w:pPr>
                  <w:r>
                    <w:rPr>
                      <w:rFonts w:hint="eastAsia" w:ascii="Times New Roman" w:hAnsi="Times New Roman" w:cs="Times New Roman"/>
                      <w:color w:val="auto"/>
                      <w:sz w:val="21"/>
                      <w:szCs w:val="21"/>
                      <w:lang w:val="en-US" w:eastAsia="zh-CN"/>
                    </w:rPr>
                    <w:t>每片膜电极：长130mm，宽50mm，厚0.8mm</w:t>
                  </w:r>
                </w:p>
              </w:tc>
              <w:tc>
                <w:tcPr>
                  <w:tcW w:w="1260" w:type="pct"/>
                  <w:tcBorders>
                    <w:tl2br w:val="nil"/>
                    <w:tr2bl w:val="nil"/>
                  </w:tcBorders>
                  <w:noWrap w:val="0"/>
                  <w:vAlign w:val="center"/>
                </w:tcPr>
                <w:p w14:paraId="05801D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hAnsi="宋体"/>
                      <w:color w:val="auto"/>
                      <w:sz w:val="21"/>
                      <w:szCs w:val="21"/>
                      <w:lang w:val="en-US" w:eastAsia="zh-CN"/>
                    </w:rPr>
                  </w:pPr>
                  <w:r>
                    <w:rPr>
                      <w:rFonts w:hint="eastAsia" w:hAnsi="宋体"/>
                      <w:color w:val="auto"/>
                      <w:sz w:val="21"/>
                      <w:szCs w:val="21"/>
                      <w:lang w:val="en-US" w:eastAsia="zh-CN"/>
                    </w:rPr>
                    <w:t>作为氢燃料电池内的新材料</w:t>
                  </w:r>
                </w:p>
              </w:tc>
            </w:tr>
            <w:tr w14:paraId="1F499E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 w:type="pct"/>
                  <w:tcBorders>
                    <w:tl2br w:val="nil"/>
                    <w:tr2bl w:val="nil"/>
                  </w:tcBorders>
                  <w:noWrap w:val="0"/>
                  <w:vAlign w:val="center"/>
                </w:tcPr>
                <w:p w14:paraId="113EA8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2</w:t>
                  </w:r>
                </w:p>
              </w:tc>
              <w:tc>
                <w:tcPr>
                  <w:tcW w:w="645" w:type="pct"/>
                  <w:tcBorders>
                    <w:tl2br w:val="nil"/>
                    <w:tr2bl w:val="nil"/>
                  </w:tcBorders>
                  <w:noWrap w:val="0"/>
                  <w:vAlign w:val="center"/>
                </w:tcPr>
                <w:p w14:paraId="26CF71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eastAsia" w:hAnsi="宋体"/>
                      <w:color w:val="auto"/>
                      <w:sz w:val="21"/>
                      <w:szCs w:val="21"/>
                      <w:lang w:val="en-US" w:eastAsia="zh-CN"/>
                    </w:rPr>
                    <w:t>氢气泄漏检测胶带</w:t>
                  </w:r>
                </w:p>
              </w:tc>
              <w:tc>
                <w:tcPr>
                  <w:tcW w:w="400" w:type="pct"/>
                  <w:tcBorders>
                    <w:tl2br w:val="nil"/>
                    <w:tr2bl w:val="nil"/>
                  </w:tcBorders>
                  <w:noWrap w:val="0"/>
                  <w:vAlign w:val="center"/>
                </w:tcPr>
                <w:p w14:paraId="282761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hAnsi="宋体"/>
                      <w:color w:val="auto"/>
                      <w:sz w:val="21"/>
                      <w:szCs w:val="21"/>
                      <w:lang w:val="en-US" w:eastAsia="zh-CN"/>
                    </w:rPr>
                  </w:pPr>
                  <w:r>
                    <w:rPr>
                      <w:rFonts w:hint="eastAsia" w:hAnsi="宋体"/>
                      <w:color w:val="auto"/>
                      <w:sz w:val="21"/>
                      <w:szCs w:val="21"/>
                      <w:lang w:val="en-US" w:eastAsia="zh-CN"/>
                    </w:rPr>
                    <w:t>卷</w:t>
                  </w:r>
                </w:p>
              </w:tc>
              <w:tc>
                <w:tcPr>
                  <w:tcW w:w="514" w:type="pct"/>
                  <w:tcBorders>
                    <w:tl2br w:val="nil"/>
                    <w:tr2bl w:val="nil"/>
                  </w:tcBorders>
                  <w:noWrap w:val="0"/>
                  <w:vAlign w:val="center"/>
                </w:tcPr>
                <w:p w14:paraId="618596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hAnsi="宋体"/>
                      <w:color w:val="auto"/>
                      <w:sz w:val="21"/>
                      <w:szCs w:val="21"/>
                      <w:lang w:val="en-US" w:eastAsia="zh-CN"/>
                    </w:rPr>
                  </w:pPr>
                  <w:r>
                    <w:rPr>
                      <w:rFonts w:hint="eastAsia" w:hAnsi="宋体"/>
                      <w:color w:val="auto"/>
                      <w:sz w:val="21"/>
                      <w:szCs w:val="21"/>
                      <w:lang w:val="en-US" w:eastAsia="zh-CN"/>
                    </w:rPr>
                    <w:t>3000</w:t>
                  </w:r>
                </w:p>
              </w:tc>
              <w:tc>
                <w:tcPr>
                  <w:tcW w:w="1922" w:type="pct"/>
                  <w:tcBorders>
                    <w:tl2br w:val="nil"/>
                    <w:tr2bl w:val="nil"/>
                  </w:tcBorders>
                  <w:noWrap w:val="0"/>
                  <w:vAlign w:val="center"/>
                </w:tcPr>
                <w:p w14:paraId="372D48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hAnsi="宋体"/>
                      <w:color w:val="auto"/>
                      <w:sz w:val="21"/>
                      <w:szCs w:val="21"/>
                      <w:lang w:val="en-US" w:eastAsia="zh-CN"/>
                    </w:rPr>
                  </w:pPr>
                  <w:r>
                    <w:rPr>
                      <w:rFonts w:hint="eastAsia" w:hAnsi="宋体"/>
                      <w:color w:val="auto"/>
                      <w:sz w:val="21"/>
                      <w:szCs w:val="21"/>
                      <w:lang w:val="en-US" w:eastAsia="zh-CN"/>
                    </w:rPr>
                    <w:t>直径10cm，高5cm</w:t>
                  </w:r>
                </w:p>
              </w:tc>
              <w:tc>
                <w:tcPr>
                  <w:tcW w:w="1260" w:type="pct"/>
                  <w:tcBorders>
                    <w:tl2br w:val="nil"/>
                    <w:tr2bl w:val="nil"/>
                  </w:tcBorders>
                  <w:noWrap w:val="0"/>
                  <w:vAlign w:val="center"/>
                </w:tcPr>
                <w:p w14:paraId="02E31D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Ansi="宋体"/>
                      <w:color w:val="auto"/>
                      <w:sz w:val="21"/>
                      <w:szCs w:val="21"/>
                      <w:lang w:val="en-US" w:eastAsia="zh-CN"/>
                    </w:rPr>
                  </w:pPr>
                  <w:r>
                    <w:rPr>
                      <w:rFonts w:hint="eastAsia" w:hAnsi="宋体"/>
                      <w:color w:val="auto"/>
                      <w:sz w:val="21"/>
                      <w:szCs w:val="21"/>
                      <w:lang w:val="en-US" w:eastAsia="zh-CN"/>
                    </w:rPr>
                    <w:t>用于直观检测仪器设备是否存在氢气泄漏</w:t>
                  </w:r>
                </w:p>
              </w:tc>
            </w:tr>
          </w:tbl>
          <w:p w14:paraId="1EA29AC0">
            <w:pPr>
              <w:numPr>
                <w:ilvl w:val="0"/>
                <w:numId w:val="0"/>
              </w:numPr>
              <w:adjustRightInd w:val="0"/>
              <w:snapToGrid w:val="0"/>
              <w:spacing w:line="360" w:lineRule="auto"/>
              <w:jc w:val="both"/>
              <w:rPr>
                <w:rFonts w:hint="default" w:ascii="Times New Roman" w:hAnsi="Times New Roman" w:cs="Times New Roman"/>
                <w:b/>
                <w:bCs w:val="0"/>
                <w:color w:val="auto"/>
                <w:sz w:val="24"/>
                <w:szCs w:val="24"/>
                <w:lang w:val="en-US" w:eastAsia="zh-CN"/>
              </w:rPr>
            </w:pPr>
            <w:r>
              <w:rPr>
                <w:rFonts w:hint="default" w:ascii="Times New Roman" w:hAnsi="Times New Roman" w:cs="Times New Roman"/>
                <w:b/>
                <w:bCs/>
                <w:color w:val="auto"/>
                <w:kern w:val="2"/>
                <w:sz w:val="24"/>
                <w:szCs w:val="24"/>
                <w:lang w:val="en-US" w:eastAsia="zh-CN" w:bidi="ar-SA"/>
              </w:rPr>
              <w:t>4、</w:t>
            </w:r>
            <w:r>
              <w:rPr>
                <w:rFonts w:hint="default" w:ascii="Times New Roman" w:hAnsi="Times New Roman" w:cs="Times New Roman"/>
                <w:b/>
                <w:bCs w:val="0"/>
                <w:color w:val="auto"/>
                <w:sz w:val="24"/>
                <w:szCs w:val="24"/>
                <w:lang w:val="en-US" w:eastAsia="zh-CN"/>
              </w:rPr>
              <w:t>主要生产设备</w:t>
            </w:r>
          </w:p>
          <w:p w14:paraId="77F591AF">
            <w:pPr>
              <w:numPr>
                <w:ilvl w:val="0"/>
                <w:numId w:val="0"/>
              </w:numPr>
              <w:adjustRightInd w:val="0"/>
              <w:snapToGrid w:val="0"/>
              <w:spacing w:line="360" w:lineRule="auto"/>
              <w:ind w:firstLine="480" w:firstLineChars="200"/>
              <w:jc w:val="both"/>
              <w:rPr>
                <w:rFonts w:hint="default" w:ascii="Times New Roman" w:hAnsi="Times New Roman"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本项目主要设备见下表。</w:t>
            </w:r>
          </w:p>
          <w:p w14:paraId="56F86830">
            <w:pPr>
              <w:numPr>
                <w:ilvl w:val="0"/>
                <w:numId w:val="0"/>
              </w:numPr>
              <w:adjustRightInd w:val="0"/>
              <w:snapToGrid w:val="0"/>
              <w:spacing w:line="240" w:lineRule="auto"/>
              <w:jc w:val="center"/>
              <w:rPr>
                <w:rFonts w:hint="default" w:ascii="Times New Roman" w:hAnsi="Times New Roman" w:cs="Times New Roman"/>
                <w:b/>
                <w:bCs w:val="0"/>
                <w:color w:val="auto"/>
                <w:sz w:val="24"/>
                <w:szCs w:val="24"/>
                <w:lang w:val="en-US" w:eastAsia="zh-CN"/>
              </w:rPr>
            </w:pPr>
            <w:r>
              <w:rPr>
                <w:rFonts w:hint="default" w:ascii="Times New Roman" w:hAnsi="Times New Roman" w:cs="Times New Roman"/>
                <w:b/>
                <w:bCs w:val="0"/>
                <w:color w:val="auto"/>
                <w:sz w:val="24"/>
                <w:szCs w:val="24"/>
                <w:lang w:val="en-US" w:eastAsia="zh-CN"/>
              </w:rPr>
              <w:t>表2-3</w:t>
            </w:r>
            <w:r>
              <w:rPr>
                <w:rFonts w:hint="eastAsia" w:ascii="Times New Roman" w:hAnsi="Times New Roman" w:cs="Times New Roman"/>
                <w:b/>
                <w:bCs w:val="0"/>
                <w:color w:val="auto"/>
                <w:sz w:val="24"/>
                <w:szCs w:val="24"/>
                <w:lang w:val="en-US" w:eastAsia="zh-CN"/>
              </w:rPr>
              <w:t xml:space="preserve">  </w:t>
            </w:r>
            <w:r>
              <w:rPr>
                <w:rFonts w:hint="default" w:ascii="Times New Roman" w:hAnsi="Times New Roman" w:cs="Times New Roman"/>
                <w:b/>
                <w:bCs w:val="0"/>
                <w:color w:val="auto"/>
                <w:sz w:val="24"/>
                <w:szCs w:val="24"/>
                <w:lang w:val="en-US" w:eastAsia="zh-CN"/>
              </w:rPr>
              <w:t>主要设备一览表</w:t>
            </w:r>
          </w:p>
          <w:tbl>
            <w:tblPr>
              <w:tblStyle w:val="26"/>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1"/>
              <w:gridCol w:w="1746"/>
              <w:gridCol w:w="2698"/>
              <w:gridCol w:w="571"/>
              <w:gridCol w:w="571"/>
              <w:gridCol w:w="2160"/>
            </w:tblGrid>
            <w:tr w14:paraId="791A1D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3" w:type="pct"/>
                  <w:tcBorders>
                    <w:tl2br w:val="nil"/>
                    <w:tr2bl w:val="nil"/>
                  </w:tcBorders>
                  <w:noWrap/>
                  <w:vAlign w:val="center"/>
                </w:tcPr>
                <w:p w14:paraId="3BE62169">
                  <w:pPr>
                    <w:jc w:val="center"/>
                    <w:rPr>
                      <w:rFonts w:ascii="宋体" w:hAnsi="宋体" w:cs="宋体"/>
                      <w:b/>
                      <w:bCs/>
                      <w:color w:val="auto"/>
                      <w:sz w:val="21"/>
                      <w:szCs w:val="21"/>
                    </w:rPr>
                  </w:pPr>
                  <w:r>
                    <w:rPr>
                      <w:rFonts w:hint="eastAsia"/>
                      <w:b/>
                      <w:bCs/>
                      <w:color w:val="auto"/>
                      <w:sz w:val="21"/>
                      <w:szCs w:val="21"/>
                    </w:rPr>
                    <w:t>序号</w:t>
                  </w:r>
                </w:p>
              </w:tc>
              <w:tc>
                <w:tcPr>
                  <w:tcW w:w="1049" w:type="pct"/>
                  <w:tcBorders>
                    <w:tl2br w:val="nil"/>
                    <w:tr2bl w:val="nil"/>
                  </w:tcBorders>
                  <w:noWrap/>
                  <w:vAlign w:val="center"/>
                </w:tcPr>
                <w:p w14:paraId="567D8BB9">
                  <w:pPr>
                    <w:jc w:val="center"/>
                    <w:rPr>
                      <w:rFonts w:ascii="宋体" w:hAnsi="宋体" w:cs="宋体"/>
                      <w:b/>
                      <w:bCs/>
                      <w:color w:val="auto"/>
                      <w:sz w:val="21"/>
                      <w:szCs w:val="21"/>
                    </w:rPr>
                  </w:pPr>
                  <w:r>
                    <w:rPr>
                      <w:rFonts w:hint="eastAsia"/>
                      <w:b/>
                      <w:bCs/>
                      <w:color w:val="auto"/>
                      <w:sz w:val="21"/>
                      <w:szCs w:val="21"/>
                    </w:rPr>
                    <w:t>名称</w:t>
                  </w:r>
                </w:p>
              </w:tc>
              <w:tc>
                <w:tcPr>
                  <w:tcW w:w="1621" w:type="pct"/>
                  <w:tcBorders>
                    <w:tl2br w:val="nil"/>
                    <w:tr2bl w:val="nil"/>
                  </w:tcBorders>
                  <w:noWrap/>
                  <w:vAlign w:val="center"/>
                </w:tcPr>
                <w:p w14:paraId="05CDA028">
                  <w:pPr>
                    <w:jc w:val="center"/>
                    <w:rPr>
                      <w:rFonts w:ascii="宋体" w:hAnsi="宋体" w:cs="宋体"/>
                      <w:b/>
                      <w:bCs/>
                      <w:color w:val="auto"/>
                      <w:sz w:val="21"/>
                      <w:szCs w:val="21"/>
                    </w:rPr>
                  </w:pPr>
                  <w:r>
                    <w:rPr>
                      <w:rFonts w:hint="eastAsia"/>
                      <w:b/>
                      <w:bCs/>
                      <w:color w:val="auto"/>
                      <w:sz w:val="21"/>
                      <w:szCs w:val="21"/>
                    </w:rPr>
                    <w:t>型号或编号</w:t>
                  </w:r>
                </w:p>
              </w:tc>
              <w:tc>
                <w:tcPr>
                  <w:tcW w:w="343" w:type="pct"/>
                  <w:tcBorders>
                    <w:tl2br w:val="nil"/>
                    <w:tr2bl w:val="nil"/>
                  </w:tcBorders>
                  <w:noWrap/>
                  <w:vAlign w:val="center"/>
                </w:tcPr>
                <w:p w14:paraId="2B208AB8">
                  <w:pPr>
                    <w:jc w:val="center"/>
                    <w:rPr>
                      <w:rFonts w:hint="eastAsia" w:eastAsia="宋体"/>
                      <w:b/>
                      <w:bCs/>
                      <w:color w:val="auto"/>
                      <w:sz w:val="21"/>
                      <w:szCs w:val="21"/>
                      <w:lang w:val="en-US" w:eastAsia="zh-CN"/>
                    </w:rPr>
                  </w:pPr>
                  <w:r>
                    <w:rPr>
                      <w:rFonts w:hint="eastAsia"/>
                      <w:b/>
                      <w:bCs/>
                      <w:color w:val="auto"/>
                      <w:sz w:val="21"/>
                      <w:szCs w:val="21"/>
                      <w:lang w:val="en-US" w:eastAsia="zh-CN"/>
                    </w:rPr>
                    <w:t>单位</w:t>
                  </w:r>
                </w:p>
              </w:tc>
              <w:tc>
                <w:tcPr>
                  <w:tcW w:w="343" w:type="pct"/>
                  <w:tcBorders>
                    <w:tl2br w:val="nil"/>
                    <w:tr2bl w:val="nil"/>
                  </w:tcBorders>
                  <w:noWrap/>
                  <w:vAlign w:val="center"/>
                </w:tcPr>
                <w:p w14:paraId="538DC90E">
                  <w:pPr>
                    <w:jc w:val="center"/>
                    <w:rPr>
                      <w:rFonts w:ascii="宋体" w:hAnsi="宋体" w:cs="宋体"/>
                      <w:b/>
                      <w:bCs/>
                      <w:color w:val="auto"/>
                      <w:sz w:val="21"/>
                      <w:szCs w:val="21"/>
                    </w:rPr>
                  </w:pPr>
                  <w:r>
                    <w:rPr>
                      <w:rFonts w:hint="eastAsia"/>
                      <w:b/>
                      <w:bCs/>
                      <w:color w:val="auto"/>
                      <w:sz w:val="21"/>
                      <w:szCs w:val="21"/>
                    </w:rPr>
                    <w:t>数量</w:t>
                  </w:r>
                </w:p>
              </w:tc>
              <w:tc>
                <w:tcPr>
                  <w:tcW w:w="1298" w:type="pct"/>
                  <w:tcBorders>
                    <w:tl2br w:val="nil"/>
                    <w:tr2bl w:val="nil"/>
                  </w:tcBorders>
                  <w:noWrap/>
                  <w:vAlign w:val="center"/>
                </w:tcPr>
                <w:p w14:paraId="4F4EFC91">
                  <w:pPr>
                    <w:jc w:val="center"/>
                    <w:rPr>
                      <w:rFonts w:hint="eastAsia" w:eastAsia="宋体"/>
                      <w:b/>
                      <w:bCs/>
                      <w:color w:val="auto"/>
                      <w:sz w:val="21"/>
                      <w:szCs w:val="21"/>
                      <w:lang w:val="en-US" w:eastAsia="zh-CN"/>
                    </w:rPr>
                  </w:pPr>
                  <w:r>
                    <w:rPr>
                      <w:rFonts w:hint="eastAsia"/>
                      <w:b/>
                      <w:bCs/>
                      <w:color w:val="auto"/>
                      <w:sz w:val="21"/>
                      <w:szCs w:val="21"/>
                      <w:lang w:val="en-US" w:eastAsia="zh-CN"/>
                    </w:rPr>
                    <w:t>用途</w:t>
                  </w:r>
                </w:p>
              </w:tc>
            </w:tr>
            <w:tr w14:paraId="012C74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3" w:type="pct"/>
                  <w:tcBorders>
                    <w:tl2br w:val="nil"/>
                    <w:tr2bl w:val="nil"/>
                  </w:tcBorders>
                  <w:noWrap/>
                  <w:vAlign w:val="center"/>
                </w:tcPr>
                <w:p w14:paraId="7BB629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1</w:t>
                  </w:r>
                </w:p>
              </w:tc>
              <w:tc>
                <w:tcPr>
                  <w:tcW w:w="1049" w:type="pct"/>
                  <w:tcBorders>
                    <w:tl2br w:val="nil"/>
                    <w:tr2bl w:val="nil"/>
                  </w:tcBorders>
                  <w:noWrap/>
                  <w:vAlign w:val="center"/>
                </w:tcPr>
                <w:p w14:paraId="38A0DF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精密视觉裁切机</w:t>
                  </w:r>
                </w:p>
              </w:tc>
              <w:tc>
                <w:tcPr>
                  <w:tcW w:w="1621" w:type="pct"/>
                  <w:tcBorders>
                    <w:tl2br w:val="nil"/>
                    <w:tr2bl w:val="nil"/>
                  </w:tcBorders>
                  <w:noWrap/>
                  <w:vAlign w:val="center"/>
                </w:tcPr>
                <w:p w14:paraId="454756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DW-FCA-0609</w:t>
                  </w:r>
                </w:p>
              </w:tc>
              <w:tc>
                <w:tcPr>
                  <w:tcW w:w="343" w:type="pct"/>
                  <w:tcBorders>
                    <w:tl2br w:val="nil"/>
                    <w:tr2bl w:val="nil"/>
                  </w:tcBorders>
                  <w:noWrap/>
                  <w:vAlign w:val="center"/>
                </w:tcPr>
                <w:p w14:paraId="3C4913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套</w:t>
                  </w:r>
                </w:p>
              </w:tc>
              <w:tc>
                <w:tcPr>
                  <w:tcW w:w="343" w:type="pct"/>
                  <w:tcBorders>
                    <w:tl2br w:val="nil"/>
                    <w:tr2bl w:val="nil"/>
                  </w:tcBorders>
                  <w:noWrap/>
                  <w:vAlign w:val="center"/>
                </w:tcPr>
                <w:p w14:paraId="07F09B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1</w:t>
                  </w:r>
                </w:p>
              </w:tc>
              <w:tc>
                <w:tcPr>
                  <w:tcW w:w="1298" w:type="pct"/>
                  <w:tcBorders>
                    <w:tl2br w:val="nil"/>
                    <w:tr2bl w:val="nil"/>
                  </w:tcBorders>
                  <w:noWrap/>
                  <w:vAlign w:val="center"/>
                </w:tcPr>
                <w:p w14:paraId="3761FB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裁切</w:t>
                  </w:r>
                </w:p>
              </w:tc>
            </w:tr>
            <w:tr w14:paraId="361CC5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3" w:type="pct"/>
                  <w:tcBorders>
                    <w:tl2br w:val="nil"/>
                    <w:tr2bl w:val="nil"/>
                  </w:tcBorders>
                  <w:noWrap/>
                  <w:vAlign w:val="center"/>
                </w:tcPr>
                <w:p w14:paraId="502B58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2</w:t>
                  </w:r>
                </w:p>
              </w:tc>
              <w:tc>
                <w:tcPr>
                  <w:tcW w:w="1049" w:type="pct"/>
                  <w:tcBorders>
                    <w:tl2br w:val="nil"/>
                    <w:tr2bl w:val="nil"/>
                  </w:tcBorders>
                  <w:noWrap/>
                  <w:vAlign w:val="center"/>
                </w:tcPr>
                <w:p w14:paraId="3E460F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伺服热压机</w:t>
                  </w:r>
                </w:p>
              </w:tc>
              <w:tc>
                <w:tcPr>
                  <w:tcW w:w="1621" w:type="pct"/>
                  <w:tcBorders>
                    <w:tl2br w:val="nil"/>
                    <w:tr2bl w:val="nil"/>
                  </w:tcBorders>
                  <w:noWrap/>
                  <w:vAlign w:val="center"/>
                </w:tcPr>
                <w:p w14:paraId="0516CE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DW-FPH-0305</w:t>
                  </w:r>
                </w:p>
              </w:tc>
              <w:tc>
                <w:tcPr>
                  <w:tcW w:w="343" w:type="pct"/>
                  <w:tcBorders>
                    <w:tl2br w:val="nil"/>
                    <w:tr2bl w:val="nil"/>
                  </w:tcBorders>
                  <w:noWrap/>
                  <w:vAlign w:val="center"/>
                </w:tcPr>
                <w:p w14:paraId="5214C9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套</w:t>
                  </w:r>
                </w:p>
              </w:tc>
              <w:tc>
                <w:tcPr>
                  <w:tcW w:w="343" w:type="pct"/>
                  <w:tcBorders>
                    <w:tl2br w:val="nil"/>
                    <w:tr2bl w:val="nil"/>
                  </w:tcBorders>
                  <w:noWrap/>
                  <w:vAlign w:val="center"/>
                </w:tcPr>
                <w:p w14:paraId="646938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1</w:t>
                  </w:r>
                </w:p>
              </w:tc>
              <w:tc>
                <w:tcPr>
                  <w:tcW w:w="1298" w:type="pct"/>
                  <w:tcBorders>
                    <w:tl2br w:val="nil"/>
                    <w:tr2bl w:val="nil"/>
                  </w:tcBorders>
                  <w:noWrap/>
                  <w:vAlign w:val="center"/>
                </w:tcPr>
                <w:p w14:paraId="2DDE22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压合</w:t>
                  </w:r>
                </w:p>
              </w:tc>
            </w:tr>
            <w:tr w14:paraId="1E8519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3" w:type="pct"/>
                  <w:tcBorders>
                    <w:tl2br w:val="nil"/>
                    <w:tr2bl w:val="nil"/>
                  </w:tcBorders>
                  <w:noWrap/>
                  <w:vAlign w:val="center"/>
                </w:tcPr>
                <w:p w14:paraId="024EBD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3</w:t>
                  </w:r>
                </w:p>
              </w:tc>
              <w:tc>
                <w:tcPr>
                  <w:tcW w:w="1049" w:type="pct"/>
                  <w:tcBorders>
                    <w:tl2br w:val="nil"/>
                    <w:tr2bl w:val="nil"/>
                  </w:tcBorders>
                  <w:noWrap/>
                  <w:vAlign w:val="center"/>
                </w:tcPr>
                <w:p w14:paraId="60B760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伺服平板模切机</w:t>
                  </w:r>
                </w:p>
              </w:tc>
              <w:tc>
                <w:tcPr>
                  <w:tcW w:w="1621" w:type="pct"/>
                  <w:tcBorders>
                    <w:tl2br w:val="nil"/>
                    <w:tr2bl w:val="nil"/>
                  </w:tcBorders>
                  <w:noWrap/>
                  <w:vAlign w:val="center"/>
                </w:tcPr>
                <w:p w14:paraId="1765C2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DW-FCM-4545</w:t>
                  </w:r>
                </w:p>
              </w:tc>
              <w:tc>
                <w:tcPr>
                  <w:tcW w:w="343" w:type="pct"/>
                  <w:tcBorders>
                    <w:tl2br w:val="nil"/>
                    <w:tr2bl w:val="nil"/>
                  </w:tcBorders>
                  <w:noWrap/>
                  <w:vAlign w:val="center"/>
                </w:tcPr>
                <w:p w14:paraId="084813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套</w:t>
                  </w:r>
                </w:p>
              </w:tc>
              <w:tc>
                <w:tcPr>
                  <w:tcW w:w="343" w:type="pct"/>
                  <w:tcBorders>
                    <w:tl2br w:val="nil"/>
                    <w:tr2bl w:val="nil"/>
                  </w:tcBorders>
                  <w:noWrap/>
                  <w:vAlign w:val="center"/>
                </w:tcPr>
                <w:p w14:paraId="7E14F9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1</w:t>
                  </w:r>
                </w:p>
              </w:tc>
              <w:tc>
                <w:tcPr>
                  <w:tcW w:w="1298" w:type="pct"/>
                  <w:tcBorders>
                    <w:tl2br w:val="nil"/>
                    <w:tr2bl w:val="nil"/>
                  </w:tcBorders>
                  <w:noWrap/>
                  <w:vAlign w:val="center"/>
                </w:tcPr>
                <w:p w14:paraId="183122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裁切</w:t>
                  </w:r>
                </w:p>
              </w:tc>
            </w:tr>
            <w:tr w14:paraId="391585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3" w:type="pct"/>
                  <w:tcBorders>
                    <w:tl2br w:val="nil"/>
                    <w:tr2bl w:val="nil"/>
                  </w:tcBorders>
                  <w:noWrap/>
                  <w:vAlign w:val="center"/>
                </w:tcPr>
                <w:p w14:paraId="571D5A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4</w:t>
                  </w:r>
                </w:p>
              </w:tc>
              <w:tc>
                <w:tcPr>
                  <w:tcW w:w="1049" w:type="pct"/>
                  <w:tcBorders>
                    <w:tl2br w:val="nil"/>
                    <w:tr2bl w:val="nil"/>
                  </w:tcBorders>
                  <w:noWrap/>
                  <w:vAlign w:val="center"/>
                </w:tcPr>
                <w:p w14:paraId="2E2123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五合一贴合设备</w:t>
                  </w:r>
                </w:p>
              </w:tc>
              <w:tc>
                <w:tcPr>
                  <w:tcW w:w="1621" w:type="pct"/>
                  <w:tcBorders>
                    <w:tl2br w:val="nil"/>
                    <w:tr2bl w:val="nil"/>
                  </w:tcBorders>
                  <w:noWrap/>
                  <w:vAlign w:val="center"/>
                </w:tcPr>
                <w:p w14:paraId="70DBD1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DZ -FLN-0305</w:t>
                  </w:r>
                </w:p>
              </w:tc>
              <w:tc>
                <w:tcPr>
                  <w:tcW w:w="343" w:type="pct"/>
                  <w:tcBorders>
                    <w:tl2br w:val="nil"/>
                    <w:tr2bl w:val="nil"/>
                  </w:tcBorders>
                  <w:noWrap/>
                  <w:vAlign w:val="center"/>
                </w:tcPr>
                <w:p w14:paraId="4BD661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套</w:t>
                  </w:r>
                </w:p>
              </w:tc>
              <w:tc>
                <w:tcPr>
                  <w:tcW w:w="343" w:type="pct"/>
                  <w:tcBorders>
                    <w:tl2br w:val="nil"/>
                    <w:tr2bl w:val="nil"/>
                  </w:tcBorders>
                  <w:noWrap/>
                  <w:vAlign w:val="center"/>
                </w:tcPr>
                <w:p w14:paraId="5FFDB5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1</w:t>
                  </w:r>
                </w:p>
              </w:tc>
              <w:tc>
                <w:tcPr>
                  <w:tcW w:w="1298" w:type="pct"/>
                  <w:tcBorders>
                    <w:tl2br w:val="nil"/>
                    <w:tr2bl w:val="nil"/>
                  </w:tcBorders>
                  <w:noWrap/>
                  <w:vAlign w:val="center"/>
                </w:tcPr>
                <w:p w14:paraId="774DA1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组装</w:t>
                  </w:r>
                </w:p>
              </w:tc>
            </w:tr>
            <w:tr w14:paraId="72AB56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3" w:type="pct"/>
                  <w:tcBorders>
                    <w:tl2br w:val="nil"/>
                    <w:tr2bl w:val="nil"/>
                  </w:tcBorders>
                  <w:noWrap/>
                  <w:vAlign w:val="center"/>
                </w:tcPr>
                <w:p w14:paraId="4CE03A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5</w:t>
                  </w:r>
                </w:p>
              </w:tc>
              <w:tc>
                <w:tcPr>
                  <w:tcW w:w="1049" w:type="pct"/>
                  <w:tcBorders>
                    <w:tl2br w:val="nil"/>
                    <w:tr2bl w:val="nil"/>
                  </w:tcBorders>
                  <w:noWrap/>
                  <w:vAlign w:val="center"/>
                </w:tcPr>
                <w:p w14:paraId="0D12AC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七合一贴合设备</w:t>
                  </w:r>
                </w:p>
              </w:tc>
              <w:tc>
                <w:tcPr>
                  <w:tcW w:w="1621" w:type="pct"/>
                  <w:tcBorders>
                    <w:tl2br w:val="nil"/>
                    <w:tr2bl w:val="nil"/>
                  </w:tcBorders>
                  <w:noWrap/>
                  <w:vAlign w:val="center"/>
                </w:tcPr>
                <w:p w14:paraId="048486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DZ -FLP-0305</w:t>
                  </w:r>
                </w:p>
              </w:tc>
              <w:tc>
                <w:tcPr>
                  <w:tcW w:w="343" w:type="pct"/>
                  <w:tcBorders>
                    <w:tl2br w:val="nil"/>
                    <w:tr2bl w:val="nil"/>
                  </w:tcBorders>
                  <w:noWrap/>
                  <w:vAlign w:val="center"/>
                </w:tcPr>
                <w:p w14:paraId="3AE05A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套</w:t>
                  </w:r>
                </w:p>
              </w:tc>
              <w:tc>
                <w:tcPr>
                  <w:tcW w:w="343" w:type="pct"/>
                  <w:tcBorders>
                    <w:tl2br w:val="nil"/>
                    <w:tr2bl w:val="nil"/>
                  </w:tcBorders>
                  <w:noWrap/>
                  <w:vAlign w:val="center"/>
                </w:tcPr>
                <w:p w14:paraId="7E1161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1</w:t>
                  </w:r>
                </w:p>
              </w:tc>
              <w:tc>
                <w:tcPr>
                  <w:tcW w:w="1298" w:type="pct"/>
                  <w:tcBorders>
                    <w:tl2br w:val="nil"/>
                    <w:tr2bl w:val="nil"/>
                  </w:tcBorders>
                  <w:noWrap/>
                  <w:vAlign w:val="center"/>
                </w:tcPr>
                <w:p w14:paraId="6D27E2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组装</w:t>
                  </w:r>
                </w:p>
              </w:tc>
            </w:tr>
            <w:tr w14:paraId="0B7707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3" w:type="pct"/>
                  <w:tcBorders>
                    <w:tl2br w:val="nil"/>
                    <w:tr2bl w:val="nil"/>
                  </w:tcBorders>
                  <w:noWrap/>
                  <w:vAlign w:val="center"/>
                </w:tcPr>
                <w:p w14:paraId="08EA04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6</w:t>
                  </w:r>
                </w:p>
              </w:tc>
              <w:tc>
                <w:tcPr>
                  <w:tcW w:w="1049" w:type="pct"/>
                  <w:tcBorders>
                    <w:tl2br w:val="nil"/>
                    <w:tr2bl w:val="nil"/>
                  </w:tcBorders>
                  <w:noWrap/>
                  <w:vAlign w:val="center"/>
                </w:tcPr>
                <w:p w14:paraId="564E2D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膜电极气密检测设备</w:t>
                  </w:r>
                </w:p>
              </w:tc>
              <w:tc>
                <w:tcPr>
                  <w:tcW w:w="1621" w:type="pct"/>
                  <w:tcBorders>
                    <w:tl2br w:val="nil"/>
                    <w:tr2bl w:val="nil"/>
                  </w:tcBorders>
                  <w:noWrap/>
                  <w:vAlign w:val="center"/>
                </w:tcPr>
                <w:p w14:paraId="1ED60A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DW-FDM-0305</w:t>
                  </w:r>
                </w:p>
              </w:tc>
              <w:tc>
                <w:tcPr>
                  <w:tcW w:w="343" w:type="pct"/>
                  <w:tcBorders>
                    <w:tl2br w:val="nil"/>
                    <w:tr2bl w:val="nil"/>
                  </w:tcBorders>
                  <w:noWrap/>
                  <w:vAlign w:val="center"/>
                </w:tcPr>
                <w:p w14:paraId="0CFA9D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套</w:t>
                  </w:r>
                </w:p>
              </w:tc>
              <w:tc>
                <w:tcPr>
                  <w:tcW w:w="343" w:type="pct"/>
                  <w:tcBorders>
                    <w:tl2br w:val="nil"/>
                    <w:tr2bl w:val="nil"/>
                  </w:tcBorders>
                  <w:noWrap/>
                  <w:vAlign w:val="center"/>
                </w:tcPr>
                <w:p w14:paraId="52D552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1</w:t>
                  </w:r>
                </w:p>
              </w:tc>
              <w:tc>
                <w:tcPr>
                  <w:tcW w:w="1298" w:type="pct"/>
                  <w:tcBorders>
                    <w:tl2br w:val="nil"/>
                    <w:tr2bl w:val="nil"/>
                  </w:tcBorders>
                  <w:noWrap/>
                  <w:vAlign w:val="center"/>
                </w:tcPr>
                <w:p w14:paraId="7D6F36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测试膜电极气密性</w:t>
                  </w:r>
                </w:p>
              </w:tc>
            </w:tr>
            <w:tr w14:paraId="3AB62C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3" w:type="pct"/>
                  <w:tcBorders>
                    <w:tl2br w:val="nil"/>
                    <w:tr2bl w:val="nil"/>
                  </w:tcBorders>
                  <w:noWrap/>
                  <w:vAlign w:val="center"/>
                </w:tcPr>
                <w:p w14:paraId="672FDA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7</w:t>
                  </w:r>
                </w:p>
              </w:tc>
              <w:tc>
                <w:tcPr>
                  <w:tcW w:w="1049" w:type="pct"/>
                  <w:tcBorders>
                    <w:tl2br w:val="nil"/>
                    <w:tr2bl w:val="nil"/>
                  </w:tcBorders>
                  <w:noWrap/>
                  <w:vAlign w:val="center"/>
                </w:tcPr>
                <w:p w14:paraId="7C4205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真空干燥箱</w:t>
                  </w:r>
                </w:p>
              </w:tc>
              <w:tc>
                <w:tcPr>
                  <w:tcW w:w="1621" w:type="pct"/>
                  <w:tcBorders>
                    <w:tl2br w:val="nil"/>
                    <w:tr2bl w:val="nil"/>
                  </w:tcBorders>
                  <w:noWrap/>
                  <w:vAlign w:val="center"/>
                </w:tcPr>
                <w:p w14:paraId="73E58E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w:t>
                  </w:r>
                </w:p>
              </w:tc>
              <w:tc>
                <w:tcPr>
                  <w:tcW w:w="343" w:type="pct"/>
                  <w:tcBorders>
                    <w:tl2br w:val="nil"/>
                    <w:tr2bl w:val="nil"/>
                  </w:tcBorders>
                  <w:noWrap/>
                  <w:vAlign w:val="center"/>
                </w:tcPr>
                <w:p w14:paraId="17D1C1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个</w:t>
                  </w:r>
                </w:p>
              </w:tc>
              <w:tc>
                <w:tcPr>
                  <w:tcW w:w="343" w:type="pct"/>
                  <w:tcBorders>
                    <w:tl2br w:val="nil"/>
                    <w:tr2bl w:val="nil"/>
                  </w:tcBorders>
                  <w:noWrap/>
                  <w:vAlign w:val="center"/>
                </w:tcPr>
                <w:p w14:paraId="110FF3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1</w:t>
                  </w:r>
                </w:p>
              </w:tc>
              <w:tc>
                <w:tcPr>
                  <w:tcW w:w="1298" w:type="pct"/>
                  <w:tcBorders>
                    <w:tl2br w:val="nil"/>
                    <w:tr2bl w:val="nil"/>
                  </w:tcBorders>
                  <w:noWrap/>
                  <w:vAlign w:val="center"/>
                </w:tcPr>
                <w:p w14:paraId="431E7C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烘干</w:t>
                  </w:r>
                </w:p>
              </w:tc>
            </w:tr>
            <w:tr w14:paraId="7CEBFE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3" w:type="pct"/>
                  <w:tcBorders>
                    <w:tl2br w:val="nil"/>
                    <w:tr2bl w:val="nil"/>
                  </w:tcBorders>
                  <w:noWrap/>
                  <w:vAlign w:val="center"/>
                </w:tcPr>
                <w:p w14:paraId="0290F2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8</w:t>
                  </w:r>
                </w:p>
              </w:tc>
              <w:tc>
                <w:tcPr>
                  <w:tcW w:w="1049" w:type="pct"/>
                  <w:tcBorders>
                    <w:tl2br w:val="nil"/>
                    <w:tr2bl w:val="nil"/>
                  </w:tcBorders>
                  <w:noWrap/>
                  <w:vAlign w:val="center"/>
                </w:tcPr>
                <w:p w14:paraId="690E87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鼓风干燥箱</w:t>
                  </w:r>
                </w:p>
              </w:tc>
              <w:tc>
                <w:tcPr>
                  <w:tcW w:w="1621" w:type="pct"/>
                  <w:tcBorders>
                    <w:tl2br w:val="nil"/>
                    <w:tr2bl w:val="nil"/>
                  </w:tcBorders>
                  <w:noWrap/>
                  <w:vAlign w:val="center"/>
                </w:tcPr>
                <w:p w14:paraId="76A7AA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LC-101-3B</w:t>
                  </w:r>
                </w:p>
              </w:tc>
              <w:tc>
                <w:tcPr>
                  <w:tcW w:w="343" w:type="pct"/>
                  <w:tcBorders>
                    <w:tl2br w:val="nil"/>
                    <w:tr2bl w:val="nil"/>
                  </w:tcBorders>
                  <w:noWrap/>
                  <w:vAlign w:val="center"/>
                </w:tcPr>
                <w:p w14:paraId="4CAF29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台</w:t>
                  </w:r>
                </w:p>
              </w:tc>
              <w:tc>
                <w:tcPr>
                  <w:tcW w:w="343" w:type="pct"/>
                  <w:tcBorders>
                    <w:tl2br w:val="nil"/>
                    <w:tr2bl w:val="nil"/>
                  </w:tcBorders>
                  <w:noWrap/>
                  <w:vAlign w:val="center"/>
                </w:tcPr>
                <w:p w14:paraId="2898C6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1</w:t>
                  </w:r>
                </w:p>
              </w:tc>
              <w:tc>
                <w:tcPr>
                  <w:tcW w:w="1298" w:type="pct"/>
                  <w:tcBorders>
                    <w:tl2br w:val="nil"/>
                    <w:tr2bl w:val="nil"/>
                  </w:tcBorders>
                  <w:noWrap/>
                  <w:vAlign w:val="center"/>
                </w:tcPr>
                <w:p w14:paraId="6A476B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烘干</w:t>
                  </w:r>
                </w:p>
              </w:tc>
            </w:tr>
            <w:tr w14:paraId="2E3309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3" w:type="pct"/>
                  <w:tcBorders>
                    <w:tl2br w:val="nil"/>
                    <w:tr2bl w:val="nil"/>
                  </w:tcBorders>
                  <w:noWrap/>
                  <w:vAlign w:val="center"/>
                </w:tcPr>
                <w:p w14:paraId="2210B1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sz w:val="21"/>
                      <w:szCs w:val="21"/>
                      <w:lang w:val="en-US" w:eastAsia="zh-CN"/>
                    </w:rPr>
                    <w:t>9</w:t>
                  </w:r>
                </w:p>
              </w:tc>
              <w:tc>
                <w:tcPr>
                  <w:tcW w:w="1049" w:type="pct"/>
                  <w:tcBorders>
                    <w:tl2br w:val="nil"/>
                    <w:tr2bl w:val="nil"/>
                  </w:tcBorders>
                  <w:noWrap/>
                  <w:vAlign w:val="center"/>
                </w:tcPr>
                <w:p w14:paraId="2FE142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顶置搅拌机</w:t>
                  </w:r>
                </w:p>
              </w:tc>
              <w:tc>
                <w:tcPr>
                  <w:tcW w:w="1621" w:type="pct"/>
                  <w:tcBorders>
                    <w:tl2br w:val="nil"/>
                    <w:tr2bl w:val="nil"/>
                  </w:tcBorders>
                  <w:noWrap/>
                  <w:vAlign w:val="center"/>
                </w:tcPr>
                <w:p w14:paraId="07C7F6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LCS-OS-60N Pro</w:t>
                  </w:r>
                </w:p>
              </w:tc>
              <w:tc>
                <w:tcPr>
                  <w:tcW w:w="343" w:type="pct"/>
                  <w:tcBorders>
                    <w:tl2br w:val="nil"/>
                    <w:tr2bl w:val="nil"/>
                  </w:tcBorders>
                  <w:noWrap/>
                  <w:vAlign w:val="center"/>
                </w:tcPr>
                <w:p w14:paraId="57BBCE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台</w:t>
                  </w:r>
                </w:p>
              </w:tc>
              <w:tc>
                <w:tcPr>
                  <w:tcW w:w="343" w:type="pct"/>
                  <w:tcBorders>
                    <w:tl2br w:val="nil"/>
                    <w:tr2bl w:val="nil"/>
                  </w:tcBorders>
                  <w:noWrap/>
                  <w:vAlign w:val="center"/>
                </w:tcPr>
                <w:p w14:paraId="1446F3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1</w:t>
                  </w:r>
                </w:p>
              </w:tc>
              <w:tc>
                <w:tcPr>
                  <w:tcW w:w="1298" w:type="pct"/>
                  <w:tcBorders>
                    <w:tl2br w:val="nil"/>
                    <w:tr2bl w:val="nil"/>
                  </w:tcBorders>
                  <w:noWrap/>
                  <w:vAlign w:val="center"/>
                </w:tcPr>
                <w:p w14:paraId="54D3B3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搅拌浆料</w:t>
                  </w:r>
                </w:p>
              </w:tc>
            </w:tr>
            <w:tr w14:paraId="5A8963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3" w:type="pct"/>
                  <w:tcBorders>
                    <w:tl2br w:val="nil"/>
                    <w:tr2bl w:val="nil"/>
                  </w:tcBorders>
                  <w:noWrap/>
                  <w:vAlign w:val="center"/>
                </w:tcPr>
                <w:p w14:paraId="1D931A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sz w:val="21"/>
                      <w:szCs w:val="21"/>
                      <w:lang w:val="en-US" w:eastAsia="zh-CN"/>
                    </w:rPr>
                    <w:t>10</w:t>
                  </w:r>
                </w:p>
              </w:tc>
              <w:tc>
                <w:tcPr>
                  <w:tcW w:w="1049" w:type="pct"/>
                  <w:tcBorders>
                    <w:tl2br w:val="nil"/>
                    <w:tr2bl w:val="nil"/>
                  </w:tcBorders>
                  <w:noWrap/>
                  <w:vAlign w:val="center"/>
                </w:tcPr>
                <w:p w14:paraId="27A2C8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工业离心机</w:t>
                  </w:r>
                </w:p>
              </w:tc>
              <w:tc>
                <w:tcPr>
                  <w:tcW w:w="1621" w:type="pct"/>
                  <w:tcBorders>
                    <w:tl2br w:val="nil"/>
                    <w:tr2bl w:val="nil"/>
                  </w:tcBorders>
                  <w:noWrap/>
                  <w:vAlign w:val="center"/>
                </w:tcPr>
                <w:p w14:paraId="550EB2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Pro2515</w:t>
                  </w:r>
                </w:p>
              </w:tc>
              <w:tc>
                <w:tcPr>
                  <w:tcW w:w="343" w:type="pct"/>
                  <w:tcBorders>
                    <w:tl2br w:val="nil"/>
                    <w:tr2bl w:val="nil"/>
                  </w:tcBorders>
                  <w:noWrap/>
                  <w:vAlign w:val="center"/>
                </w:tcPr>
                <w:p w14:paraId="71B8AF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台</w:t>
                  </w:r>
                </w:p>
              </w:tc>
              <w:tc>
                <w:tcPr>
                  <w:tcW w:w="343" w:type="pct"/>
                  <w:tcBorders>
                    <w:tl2br w:val="nil"/>
                    <w:tr2bl w:val="nil"/>
                  </w:tcBorders>
                  <w:noWrap/>
                  <w:vAlign w:val="center"/>
                </w:tcPr>
                <w:p w14:paraId="69A608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1</w:t>
                  </w:r>
                </w:p>
              </w:tc>
              <w:tc>
                <w:tcPr>
                  <w:tcW w:w="1298" w:type="pct"/>
                  <w:tcBorders>
                    <w:tl2br w:val="nil"/>
                    <w:tr2bl w:val="nil"/>
                  </w:tcBorders>
                  <w:noWrap/>
                  <w:vAlign w:val="center"/>
                </w:tcPr>
                <w:p w14:paraId="46DF28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离心</w:t>
                  </w:r>
                  <w:r>
                    <w:rPr>
                      <w:rFonts w:hint="eastAsia" w:ascii="Times New Roman" w:hAnsi="Times New Roman" w:eastAsia="宋体" w:cs="Times New Roman"/>
                      <w:b w:val="0"/>
                      <w:bCs w:val="0"/>
                      <w:color w:val="auto"/>
                      <w:sz w:val="21"/>
                      <w:szCs w:val="21"/>
                      <w:lang w:val="en-US" w:eastAsia="zh-CN"/>
                    </w:rPr>
                    <w:t>MoO</w:t>
                  </w:r>
                  <w:r>
                    <w:rPr>
                      <w:rFonts w:hint="eastAsia" w:ascii="Times New Roman" w:hAnsi="Times New Roman" w:eastAsia="宋体" w:cs="Times New Roman"/>
                      <w:b w:val="0"/>
                      <w:bCs w:val="0"/>
                      <w:color w:val="auto"/>
                      <w:sz w:val="21"/>
                      <w:szCs w:val="21"/>
                      <w:vertAlign w:val="subscript"/>
                      <w:lang w:val="en-US" w:eastAsia="zh-CN"/>
                    </w:rPr>
                    <w:t>3</w:t>
                  </w:r>
                  <w:r>
                    <w:rPr>
                      <w:rFonts w:hint="eastAsia" w:ascii="Times New Roman" w:hAnsi="Times New Roman" w:eastAsia="宋体" w:cs="Times New Roman"/>
                      <w:b w:val="0"/>
                      <w:bCs w:val="0"/>
                      <w:color w:val="auto"/>
                      <w:sz w:val="21"/>
                      <w:szCs w:val="21"/>
                      <w:lang w:val="en-US" w:eastAsia="zh-CN"/>
                    </w:rPr>
                    <w:t>-Pa</w:t>
                  </w:r>
                </w:p>
              </w:tc>
            </w:tr>
            <w:tr w14:paraId="0A20C2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3" w:type="pct"/>
                  <w:tcBorders>
                    <w:tl2br w:val="nil"/>
                    <w:tr2bl w:val="nil"/>
                  </w:tcBorders>
                  <w:noWrap/>
                  <w:vAlign w:val="center"/>
                </w:tcPr>
                <w:p w14:paraId="7CE19E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sz w:val="21"/>
                      <w:szCs w:val="21"/>
                      <w:lang w:val="en-US" w:eastAsia="zh-CN"/>
                    </w:rPr>
                    <w:t>11</w:t>
                  </w:r>
                </w:p>
              </w:tc>
              <w:tc>
                <w:tcPr>
                  <w:tcW w:w="1049" w:type="pct"/>
                  <w:tcBorders>
                    <w:tl2br w:val="nil"/>
                    <w:tr2bl w:val="nil"/>
                  </w:tcBorders>
                  <w:noWrap/>
                  <w:vAlign w:val="center"/>
                </w:tcPr>
                <w:p w14:paraId="11A58F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氙灯光源</w:t>
                  </w:r>
                </w:p>
              </w:tc>
              <w:tc>
                <w:tcPr>
                  <w:tcW w:w="1621" w:type="pct"/>
                  <w:tcBorders>
                    <w:tl2br w:val="nil"/>
                    <w:tr2bl w:val="nil"/>
                  </w:tcBorders>
                  <w:noWrap/>
                  <w:vAlign w:val="center"/>
                </w:tcPr>
                <w:p w14:paraId="02A2BE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PL-X300DUV</w:t>
                  </w:r>
                </w:p>
              </w:tc>
              <w:tc>
                <w:tcPr>
                  <w:tcW w:w="343" w:type="pct"/>
                  <w:tcBorders>
                    <w:tl2br w:val="nil"/>
                    <w:tr2bl w:val="nil"/>
                  </w:tcBorders>
                  <w:noWrap/>
                  <w:vAlign w:val="center"/>
                </w:tcPr>
                <w:p w14:paraId="5C9862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台</w:t>
                  </w:r>
                </w:p>
              </w:tc>
              <w:tc>
                <w:tcPr>
                  <w:tcW w:w="343" w:type="pct"/>
                  <w:tcBorders>
                    <w:tl2br w:val="nil"/>
                    <w:tr2bl w:val="nil"/>
                  </w:tcBorders>
                  <w:noWrap/>
                  <w:vAlign w:val="center"/>
                </w:tcPr>
                <w:p w14:paraId="1A9AB1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1</w:t>
                  </w:r>
                </w:p>
              </w:tc>
              <w:tc>
                <w:tcPr>
                  <w:tcW w:w="1298" w:type="pct"/>
                  <w:tcBorders>
                    <w:tl2br w:val="nil"/>
                    <w:tr2bl w:val="nil"/>
                  </w:tcBorders>
                  <w:noWrap/>
                  <w:vAlign w:val="center"/>
                </w:tcPr>
                <w:p w14:paraId="005145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提供紫外光源</w:t>
                  </w:r>
                </w:p>
              </w:tc>
            </w:tr>
            <w:tr w14:paraId="2448B0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3" w:type="pct"/>
                  <w:tcBorders>
                    <w:tl2br w:val="nil"/>
                    <w:tr2bl w:val="nil"/>
                  </w:tcBorders>
                  <w:noWrap/>
                  <w:vAlign w:val="center"/>
                </w:tcPr>
                <w:p w14:paraId="581A48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sz w:val="21"/>
                      <w:szCs w:val="21"/>
                      <w:lang w:val="en-US" w:eastAsia="zh-CN"/>
                    </w:rPr>
                    <w:t>12</w:t>
                  </w:r>
                </w:p>
              </w:tc>
              <w:tc>
                <w:tcPr>
                  <w:tcW w:w="1049" w:type="pct"/>
                  <w:tcBorders>
                    <w:tl2br w:val="nil"/>
                    <w:tr2bl w:val="nil"/>
                  </w:tcBorders>
                  <w:noWrap/>
                  <w:vAlign w:val="center"/>
                </w:tcPr>
                <w:p w14:paraId="5A5CC6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恒温恒湿箱</w:t>
                  </w:r>
                </w:p>
              </w:tc>
              <w:tc>
                <w:tcPr>
                  <w:tcW w:w="1621" w:type="pct"/>
                  <w:tcBorders>
                    <w:tl2br w:val="nil"/>
                    <w:tr2bl w:val="nil"/>
                  </w:tcBorders>
                  <w:noWrap/>
                  <w:vAlign w:val="center"/>
                </w:tcPr>
                <w:p w14:paraId="3EF05B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ZH-ATH-80D</w:t>
                  </w:r>
                </w:p>
              </w:tc>
              <w:tc>
                <w:tcPr>
                  <w:tcW w:w="343" w:type="pct"/>
                  <w:tcBorders>
                    <w:tl2br w:val="nil"/>
                    <w:tr2bl w:val="nil"/>
                  </w:tcBorders>
                  <w:noWrap/>
                  <w:vAlign w:val="center"/>
                </w:tcPr>
                <w:p w14:paraId="283AEB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台</w:t>
                  </w:r>
                </w:p>
              </w:tc>
              <w:tc>
                <w:tcPr>
                  <w:tcW w:w="343" w:type="pct"/>
                  <w:tcBorders>
                    <w:tl2br w:val="nil"/>
                    <w:tr2bl w:val="nil"/>
                  </w:tcBorders>
                  <w:noWrap/>
                  <w:vAlign w:val="center"/>
                </w:tcPr>
                <w:p w14:paraId="7D5A99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1</w:t>
                  </w:r>
                </w:p>
              </w:tc>
              <w:tc>
                <w:tcPr>
                  <w:tcW w:w="1298" w:type="pct"/>
                  <w:tcBorders>
                    <w:tl2br w:val="nil"/>
                    <w:tr2bl w:val="nil"/>
                  </w:tcBorders>
                  <w:noWrap/>
                  <w:vAlign w:val="center"/>
                </w:tcPr>
                <w:p w14:paraId="1C7443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保持恒温恒湿状态</w:t>
                  </w:r>
                </w:p>
              </w:tc>
            </w:tr>
            <w:tr w14:paraId="52C923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3" w:type="pct"/>
                  <w:tcBorders>
                    <w:tl2br w:val="nil"/>
                    <w:tr2bl w:val="nil"/>
                  </w:tcBorders>
                  <w:noWrap/>
                  <w:vAlign w:val="center"/>
                </w:tcPr>
                <w:p w14:paraId="52E8CD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sz w:val="21"/>
                      <w:szCs w:val="21"/>
                      <w:lang w:val="en-US" w:eastAsia="zh-CN"/>
                    </w:rPr>
                    <w:t>13</w:t>
                  </w:r>
                </w:p>
              </w:tc>
              <w:tc>
                <w:tcPr>
                  <w:tcW w:w="1049" w:type="pct"/>
                  <w:tcBorders>
                    <w:tl2br w:val="nil"/>
                    <w:tr2bl w:val="nil"/>
                  </w:tcBorders>
                  <w:noWrap/>
                  <w:vAlign w:val="center"/>
                </w:tcPr>
                <w:p w14:paraId="3E4E39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超纯水机</w:t>
                  </w:r>
                </w:p>
              </w:tc>
              <w:tc>
                <w:tcPr>
                  <w:tcW w:w="1621" w:type="pct"/>
                  <w:tcBorders>
                    <w:tl2br w:val="nil"/>
                    <w:tr2bl w:val="nil"/>
                  </w:tcBorders>
                  <w:noWrap/>
                  <w:vAlign w:val="center"/>
                </w:tcPr>
                <w:p w14:paraId="506A65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w:t>
                  </w:r>
                </w:p>
              </w:tc>
              <w:tc>
                <w:tcPr>
                  <w:tcW w:w="343" w:type="pct"/>
                  <w:tcBorders>
                    <w:tl2br w:val="nil"/>
                    <w:tr2bl w:val="nil"/>
                  </w:tcBorders>
                  <w:noWrap/>
                  <w:vAlign w:val="center"/>
                </w:tcPr>
                <w:p w14:paraId="24AE10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台</w:t>
                  </w:r>
                </w:p>
              </w:tc>
              <w:tc>
                <w:tcPr>
                  <w:tcW w:w="343" w:type="pct"/>
                  <w:tcBorders>
                    <w:tl2br w:val="nil"/>
                    <w:tr2bl w:val="nil"/>
                  </w:tcBorders>
                  <w:noWrap/>
                  <w:vAlign w:val="center"/>
                </w:tcPr>
                <w:p w14:paraId="52ACDD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1</w:t>
                  </w:r>
                </w:p>
              </w:tc>
              <w:tc>
                <w:tcPr>
                  <w:tcW w:w="1298" w:type="pct"/>
                  <w:tcBorders>
                    <w:tl2br w:val="nil"/>
                    <w:tr2bl w:val="nil"/>
                  </w:tcBorders>
                  <w:noWrap/>
                  <w:vAlign w:val="center"/>
                </w:tcPr>
                <w:p w14:paraId="5C5752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制备纯水</w:t>
                  </w:r>
                </w:p>
              </w:tc>
            </w:tr>
            <w:tr w14:paraId="5F732A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3" w:type="pct"/>
                  <w:tcBorders>
                    <w:tl2br w:val="nil"/>
                    <w:tr2bl w:val="nil"/>
                  </w:tcBorders>
                  <w:noWrap/>
                  <w:vAlign w:val="center"/>
                </w:tcPr>
                <w:p w14:paraId="65B35B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sz w:val="21"/>
                      <w:szCs w:val="21"/>
                      <w:lang w:val="en-US" w:eastAsia="zh-CN"/>
                    </w:rPr>
                    <w:t>14</w:t>
                  </w:r>
                </w:p>
              </w:tc>
              <w:tc>
                <w:tcPr>
                  <w:tcW w:w="1049" w:type="pct"/>
                  <w:tcBorders>
                    <w:tl2br w:val="nil"/>
                    <w:tr2bl w:val="nil"/>
                  </w:tcBorders>
                  <w:noWrap/>
                  <w:vAlign w:val="center"/>
                </w:tcPr>
                <w:p w14:paraId="4BCFA8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超声波清洗机</w:t>
                  </w:r>
                </w:p>
              </w:tc>
              <w:tc>
                <w:tcPr>
                  <w:tcW w:w="1621" w:type="pct"/>
                  <w:tcBorders>
                    <w:tl2br w:val="nil"/>
                    <w:tr2bl w:val="nil"/>
                  </w:tcBorders>
                  <w:noWrap/>
                  <w:vAlign w:val="center"/>
                </w:tcPr>
                <w:p w14:paraId="553D88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CJ-180ST</w:t>
                  </w:r>
                </w:p>
              </w:tc>
              <w:tc>
                <w:tcPr>
                  <w:tcW w:w="343" w:type="pct"/>
                  <w:tcBorders>
                    <w:tl2br w:val="nil"/>
                    <w:tr2bl w:val="nil"/>
                  </w:tcBorders>
                  <w:noWrap/>
                  <w:vAlign w:val="center"/>
                </w:tcPr>
                <w:p w14:paraId="5EA914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台</w:t>
                  </w:r>
                </w:p>
              </w:tc>
              <w:tc>
                <w:tcPr>
                  <w:tcW w:w="343" w:type="pct"/>
                  <w:tcBorders>
                    <w:tl2br w:val="nil"/>
                    <w:tr2bl w:val="nil"/>
                  </w:tcBorders>
                  <w:noWrap/>
                  <w:vAlign w:val="center"/>
                </w:tcPr>
                <w:p w14:paraId="5F0412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1</w:t>
                  </w:r>
                </w:p>
              </w:tc>
              <w:tc>
                <w:tcPr>
                  <w:tcW w:w="1298" w:type="pct"/>
                  <w:tcBorders>
                    <w:tl2br w:val="nil"/>
                    <w:tr2bl w:val="nil"/>
                  </w:tcBorders>
                  <w:noWrap/>
                  <w:vAlign w:val="center"/>
                </w:tcPr>
                <w:p w14:paraId="7EFBD2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超声搅拌</w:t>
                  </w:r>
                </w:p>
              </w:tc>
            </w:tr>
            <w:tr w14:paraId="07FE93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3" w:type="pct"/>
                  <w:tcBorders>
                    <w:tl2br w:val="nil"/>
                    <w:tr2bl w:val="nil"/>
                  </w:tcBorders>
                  <w:noWrap/>
                  <w:vAlign w:val="center"/>
                </w:tcPr>
                <w:p w14:paraId="18D96C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sz w:val="21"/>
                      <w:szCs w:val="21"/>
                      <w:lang w:val="en-US" w:eastAsia="zh-CN"/>
                    </w:rPr>
                    <w:t>15</w:t>
                  </w:r>
                </w:p>
              </w:tc>
              <w:tc>
                <w:tcPr>
                  <w:tcW w:w="1049" w:type="pct"/>
                  <w:tcBorders>
                    <w:tl2br w:val="nil"/>
                    <w:tr2bl w:val="nil"/>
                  </w:tcBorders>
                  <w:noWrap/>
                  <w:vAlign w:val="center"/>
                </w:tcPr>
                <w:p w14:paraId="1A3A23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卷材涂布机</w:t>
                  </w:r>
                </w:p>
              </w:tc>
              <w:tc>
                <w:tcPr>
                  <w:tcW w:w="1621" w:type="pct"/>
                  <w:tcBorders>
                    <w:tl2br w:val="nil"/>
                    <w:tr2bl w:val="nil"/>
                  </w:tcBorders>
                  <w:noWrap/>
                  <w:vAlign w:val="center"/>
                </w:tcPr>
                <w:p w14:paraId="736F8A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非标定制</w:t>
                  </w:r>
                </w:p>
              </w:tc>
              <w:tc>
                <w:tcPr>
                  <w:tcW w:w="343" w:type="pct"/>
                  <w:tcBorders>
                    <w:tl2br w:val="nil"/>
                    <w:tr2bl w:val="nil"/>
                  </w:tcBorders>
                  <w:noWrap/>
                  <w:vAlign w:val="center"/>
                </w:tcPr>
                <w:p w14:paraId="017F27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套</w:t>
                  </w:r>
                </w:p>
              </w:tc>
              <w:tc>
                <w:tcPr>
                  <w:tcW w:w="343" w:type="pct"/>
                  <w:tcBorders>
                    <w:tl2br w:val="nil"/>
                    <w:tr2bl w:val="nil"/>
                  </w:tcBorders>
                  <w:noWrap/>
                  <w:vAlign w:val="center"/>
                </w:tcPr>
                <w:p w14:paraId="1EBDD9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1</w:t>
                  </w:r>
                </w:p>
              </w:tc>
              <w:tc>
                <w:tcPr>
                  <w:tcW w:w="1298" w:type="pct"/>
                  <w:tcBorders>
                    <w:tl2br w:val="nil"/>
                    <w:tr2bl w:val="nil"/>
                  </w:tcBorders>
                  <w:noWrap/>
                  <w:vAlign w:val="center"/>
                </w:tcPr>
                <w:p w14:paraId="1ABE8A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涂布</w:t>
                  </w:r>
                </w:p>
              </w:tc>
            </w:tr>
            <w:tr w14:paraId="319AD0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3" w:type="pct"/>
                  <w:tcBorders>
                    <w:tl2br w:val="nil"/>
                    <w:tr2bl w:val="nil"/>
                  </w:tcBorders>
                  <w:shd w:val="clear" w:color="auto" w:fill="auto"/>
                  <w:noWrap/>
                  <w:vAlign w:val="center"/>
                </w:tcPr>
                <w:p w14:paraId="0074CB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sz w:val="21"/>
                      <w:szCs w:val="21"/>
                      <w:lang w:val="en-US" w:eastAsia="zh-CN"/>
                    </w:rPr>
                    <w:t>16</w:t>
                  </w:r>
                </w:p>
              </w:tc>
              <w:tc>
                <w:tcPr>
                  <w:tcW w:w="1049" w:type="pct"/>
                  <w:tcBorders>
                    <w:tl2br w:val="nil"/>
                    <w:tr2bl w:val="nil"/>
                  </w:tcBorders>
                  <w:shd w:val="clear" w:color="auto" w:fill="FFFFFF"/>
                  <w:noWrap/>
                  <w:vAlign w:val="center"/>
                </w:tcPr>
                <w:p w14:paraId="3FC7510C">
                  <w:pPr>
                    <w:widowControl/>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有机废气处理装置</w:t>
                  </w:r>
                </w:p>
              </w:tc>
              <w:tc>
                <w:tcPr>
                  <w:tcW w:w="1621" w:type="pct"/>
                  <w:tcBorders>
                    <w:tl2br w:val="nil"/>
                    <w:tr2bl w:val="nil"/>
                  </w:tcBorders>
                  <w:shd w:val="clear" w:color="auto" w:fill="FFFFFF"/>
                  <w:noWrap/>
                  <w:vAlign w:val="center"/>
                </w:tcPr>
                <w:p w14:paraId="22C740A2">
                  <w:pPr>
                    <w:widowControl/>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二级活性炭装置+1根17m排气筒</w:t>
                  </w:r>
                </w:p>
              </w:tc>
              <w:tc>
                <w:tcPr>
                  <w:tcW w:w="343" w:type="pct"/>
                  <w:tcBorders>
                    <w:tl2br w:val="nil"/>
                    <w:tr2bl w:val="nil"/>
                  </w:tcBorders>
                  <w:shd w:val="clear" w:color="auto" w:fill="FFFFFF"/>
                  <w:noWrap/>
                  <w:vAlign w:val="center"/>
                </w:tcPr>
                <w:p w14:paraId="38260BD1">
                  <w:pPr>
                    <w:autoSpaceDN w:val="0"/>
                    <w:spacing w:line="240" w:lineRule="auto"/>
                    <w:jc w:val="center"/>
                    <w:textAlignment w:val="bottom"/>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套</w:t>
                  </w:r>
                </w:p>
              </w:tc>
              <w:tc>
                <w:tcPr>
                  <w:tcW w:w="343" w:type="pct"/>
                  <w:tcBorders>
                    <w:tl2br w:val="nil"/>
                    <w:tr2bl w:val="nil"/>
                  </w:tcBorders>
                  <w:shd w:val="clear" w:color="auto" w:fill="FFFFFF"/>
                  <w:noWrap/>
                  <w:vAlign w:val="center"/>
                </w:tcPr>
                <w:p w14:paraId="38680957">
                  <w:pPr>
                    <w:widowControl/>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1298" w:type="pct"/>
                  <w:tcBorders>
                    <w:tl2br w:val="nil"/>
                    <w:tr2bl w:val="nil"/>
                  </w:tcBorders>
                  <w:shd w:val="clear" w:color="auto" w:fill="FFFFFF"/>
                  <w:noWrap/>
                  <w:vAlign w:val="center"/>
                </w:tcPr>
                <w:p w14:paraId="044710B1">
                  <w:pPr>
                    <w:autoSpaceDN w:val="0"/>
                    <w:spacing w:line="240" w:lineRule="auto"/>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废气处理</w:t>
                  </w:r>
                </w:p>
              </w:tc>
            </w:tr>
          </w:tbl>
          <w:p w14:paraId="518A772E">
            <w:pPr>
              <w:numPr>
                <w:ilvl w:val="0"/>
                <w:numId w:val="0"/>
              </w:numPr>
              <w:adjustRightInd w:val="0"/>
              <w:snapToGrid w:val="0"/>
              <w:spacing w:line="360" w:lineRule="auto"/>
              <w:jc w:val="both"/>
              <w:rPr>
                <w:rFonts w:hint="default" w:ascii="Times New Roman" w:hAnsi="Times New Roman" w:cs="Times New Roman"/>
                <w:bCs/>
                <w:color w:val="auto"/>
                <w:sz w:val="24"/>
                <w:szCs w:val="24"/>
                <w:lang w:val="en-US" w:eastAsia="zh-CN"/>
              </w:rPr>
            </w:pPr>
            <w:r>
              <w:rPr>
                <w:rFonts w:hint="default" w:ascii="Times New Roman" w:hAnsi="Times New Roman" w:cs="Times New Roman"/>
                <w:b/>
                <w:bCs/>
                <w:color w:val="auto"/>
                <w:kern w:val="2"/>
                <w:sz w:val="24"/>
                <w:szCs w:val="24"/>
                <w:lang w:val="en-US" w:eastAsia="zh-CN" w:bidi="ar-SA"/>
              </w:rPr>
              <w:t>5、</w:t>
            </w:r>
            <w:r>
              <w:rPr>
                <w:rFonts w:hint="default" w:ascii="Times New Roman" w:hAnsi="Times New Roman" w:cs="Times New Roman"/>
                <w:b/>
                <w:bCs w:val="0"/>
                <w:color w:val="auto"/>
                <w:sz w:val="24"/>
                <w:szCs w:val="24"/>
                <w:lang w:val="en-US" w:eastAsia="zh-CN"/>
              </w:rPr>
              <w:t>主要原辅料及能源消耗</w:t>
            </w:r>
          </w:p>
          <w:p w14:paraId="5E27CD31">
            <w:pPr>
              <w:numPr>
                <w:ilvl w:val="0"/>
                <w:numId w:val="0"/>
              </w:numPr>
              <w:adjustRightInd w:val="0"/>
              <w:snapToGrid w:val="0"/>
              <w:spacing w:line="360" w:lineRule="auto"/>
              <w:ind w:firstLine="480" w:firstLineChars="200"/>
              <w:jc w:val="both"/>
              <w:rPr>
                <w:rFonts w:hint="default" w:ascii="Times New Roman" w:hAnsi="Times New Roman"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本项目主要原辅料及能源消耗见下表。</w:t>
            </w:r>
          </w:p>
          <w:p w14:paraId="0F2A9B9E">
            <w:pPr>
              <w:numPr>
                <w:ilvl w:val="0"/>
                <w:numId w:val="0"/>
              </w:numPr>
              <w:adjustRightInd w:val="0"/>
              <w:snapToGrid w:val="0"/>
              <w:spacing w:line="240" w:lineRule="auto"/>
              <w:jc w:val="center"/>
              <w:rPr>
                <w:rFonts w:hint="default" w:ascii="Times New Roman" w:hAnsi="Times New Roman" w:cs="Times New Roman"/>
                <w:b/>
                <w:bCs w:val="0"/>
                <w:color w:val="auto"/>
                <w:sz w:val="24"/>
                <w:szCs w:val="24"/>
                <w:lang w:val="en-US" w:eastAsia="zh-CN"/>
              </w:rPr>
            </w:pPr>
            <w:r>
              <w:rPr>
                <w:rFonts w:hint="default" w:ascii="Times New Roman" w:hAnsi="Times New Roman" w:cs="Times New Roman"/>
                <w:b/>
                <w:bCs w:val="0"/>
                <w:color w:val="auto"/>
                <w:sz w:val="24"/>
                <w:szCs w:val="24"/>
                <w:lang w:val="en-US" w:eastAsia="zh-CN"/>
              </w:rPr>
              <w:t>表2-4</w:t>
            </w:r>
            <w:r>
              <w:rPr>
                <w:rFonts w:hint="eastAsia" w:ascii="Times New Roman" w:hAnsi="Times New Roman" w:cs="Times New Roman"/>
                <w:b/>
                <w:bCs w:val="0"/>
                <w:color w:val="auto"/>
                <w:sz w:val="24"/>
                <w:szCs w:val="24"/>
                <w:lang w:val="en-US" w:eastAsia="zh-CN"/>
              </w:rPr>
              <w:t xml:space="preserve">  </w:t>
            </w:r>
            <w:r>
              <w:rPr>
                <w:rFonts w:hint="default" w:ascii="Times New Roman" w:hAnsi="Times New Roman" w:cs="Times New Roman"/>
                <w:b/>
                <w:bCs w:val="0"/>
                <w:color w:val="auto"/>
                <w:sz w:val="24"/>
                <w:szCs w:val="24"/>
                <w:lang w:val="en-US" w:eastAsia="zh-CN"/>
              </w:rPr>
              <w:t>主要原辅材料及能源消耗一览表</w:t>
            </w:r>
          </w:p>
          <w:tbl>
            <w:tblPr>
              <w:tblStyle w:val="26"/>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9"/>
              <w:gridCol w:w="1601"/>
              <w:gridCol w:w="1406"/>
              <w:gridCol w:w="1406"/>
              <w:gridCol w:w="1133"/>
              <w:gridCol w:w="1202"/>
              <w:gridCol w:w="950"/>
            </w:tblGrid>
            <w:tr w14:paraId="11DC78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2" w:type="pct"/>
                  <w:tcBorders>
                    <w:tl2br w:val="nil"/>
                    <w:tr2bl w:val="nil"/>
                  </w:tcBorders>
                  <w:noWrap w:val="0"/>
                  <w:vAlign w:val="center"/>
                </w:tcPr>
                <w:p w14:paraId="6A2A8E4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auto"/>
                      <w:sz w:val="21"/>
                      <w:szCs w:val="21"/>
                    </w:rPr>
                  </w:pPr>
                  <w:r>
                    <w:rPr>
                      <w:rFonts w:hint="eastAsia"/>
                      <w:b/>
                      <w:bCs/>
                      <w:color w:val="auto"/>
                      <w:sz w:val="21"/>
                      <w:szCs w:val="21"/>
                    </w:rPr>
                    <w:t>序号</w:t>
                  </w:r>
                </w:p>
              </w:tc>
              <w:tc>
                <w:tcPr>
                  <w:tcW w:w="962" w:type="pct"/>
                  <w:tcBorders>
                    <w:tl2br w:val="nil"/>
                    <w:tr2bl w:val="nil"/>
                  </w:tcBorders>
                  <w:noWrap w:val="0"/>
                  <w:vAlign w:val="center"/>
                </w:tcPr>
                <w:p w14:paraId="4F0B09F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auto"/>
                      <w:sz w:val="21"/>
                      <w:szCs w:val="21"/>
                    </w:rPr>
                  </w:pPr>
                  <w:r>
                    <w:rPr>
                      <w:b/>
                      <w:bCs/>
                      <w:color w:val="auto"/>
                      <w:sz w:val="21"/>
                      <w:szCs w:val="21"/>
                    </w:rPr>
                    <w:t>名称</w:t>
                  </w:r>
                </w:p>
              </w:tc>
              <w:tc>
                <w:tcPr>
                  <w:tcW w:w="845" w:type="pct"/>
                  <w:tcBorders>
                    <w:tl2br w:val="nil"/>
                    <w:tr2bl w:val="nil"/>
                  </w:tcBorders>
                  <w:noWrap w:val="0"/>
                  <w:vAlign w:val="center"/>
                </w:tcPr>
                <w:p w14:paraId="222ACF0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b/>
                      <w:bCs/>
                      <w:color w:val="auto"/>
                      <w:sz w:val="21"/>
                      <w:szCs w:val="21"/>
                      <w:lang w:val="en-US" w:eastAsia="zh-CN"/>
                    </w:rPr>
                  </w:pPr>
                  <w:r>
                    <w:rPr>
                      <w:rFonts w:hint="eastAsia"/>
                      <w:b/>
                      <w:bCs/>
                      <w:color w:val="auto"/>
                      <w:sz w:val="21"/>
                      <w:szCs w:val="21"/>
                      <w:lang w:val="en-US" w:eastAsia="zh-CN"/>
                    </w:rPr>
                    <w:t>形态</w:t>
                  </w:r>
                </w:p>
              </w:tc>
              <w:tc>
                <w:tcPr>
                  <w:tcW w:w="845" w:type="pct"/>
                  <w:tcBorders>
                    <w:tl2br w:val="nil"/>
                    <w:tr2bl w:val="nil"/>
                  </w:tcBorders>
                  <w:noWrap w:val="0"/>
                  <w:vAlign w:val="center"/>
                </w:tcPr>
                <w:p w14:paraId="6AFD254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eastAsia="宋体"/>
                      <w:b/>
                      <w:bCs/>
                      <w:color w:val="auto"/>
                      <w:sz w:val="21"/>
                      <w:szCs w:val="21"/>
                      <w:lang w:eastAsia="zh-CN"/>
                    </w:rPr>
                  </w:pPr>
                  <w:r>
                    <w:rPr>
                      <w:rFonts w:hint="eastAsia"/>
                      <w:b/>
                      <w:bCs/>
                      <w:color w:val="auto"/>
                      <w:sz w:val="21"/>
                      <w:szCs w:val="21"/>
                      <w:lang w:val="en-US" w:eastAsia="zh-CN"/>
                    </w:rPr>
                    <w:t>单位</w:t>
                  </w:r>
                </w:p>
              </w:tc>
              <w:tc>
                <w:tcPr>
                  <w:tcW w:w="681" w:type="pct"/>
                  <w:tcBorders>
                    <w:tl2br w:val="nil"/>
                    <w:tr2bl w:val="nil"/>
                  </w:tcBorders>
                  <w:noWrap w:val="0"/>
                  <w:vAlign w:val="center"/>
                </w:tcPr>
                <w:p w14:paraId="30853C0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auto"/>
                      <w:sz w:val="21"/>
                      <w:szCs w:val="21"/>
                    </w:rPr>
                  </w:pPr>
                  <w:r>
                    <w:rPr>
                      <w:b/>
                      <w:bCs/>
                      <w:color w:val="auto"/>
                      <w:sz w:val="21"/>
                      <w:szCs w:val="21"/>
                    </w:rPr>
                    <w:t>年用量</w:t>
                  </w:r>
                </w:p>
              </w:tc>
              <w:tc>
                <w:tcPr>
                  <w:tcW w:w="722" w:type="pct"/>
                  <w:tcBorders>
                    <w:tl2br w:val="nil"/>
                    <w:tr2bl w:val="nil"/>
                  </w:tcBorders>
                  <w:noWrap w:val="0"/>
                  <w:vAlign w:val="center"/>
                </w:tcPr>
                <w:p w14:paraId="6063108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auto"/>
                      <w:sz w:val="21"/>
                      <w:szCs w:val="21"/>
                    </w:rPr>
                  </w:pPr>
                  <w:r>
                    <w:rPr>
                      <w:b/>
                      <w:bCs/>
                      <w:color w:val="auto"/>
                      <w:sz w:val="21"/>
                      <w:szCs w:val="21"/>
                    </w:rPr>
                    <w:t>最大储存量</w:t>
                  </w:r>
                </w:p>
              </w:tc>
              <w:tc>
                <w:tcPr>
                  <w:tcW w:w="570" w:type="pct"/>
                  <w:tcBorders>
                    <w:tl2br w:val="nil"/>
                    <w:tr2bl w:val="nil"/>
                  </w:tcBorders>
                  <w:noWrap w:val="0"/>
                  <w:vAlign w:val="center"/>
                </w:tcPr>
                <w:p w14:paraId="6019578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eastAsia="宋体"/>
                      <w:b/>
                      <w:bCs/>
                      <w:color w:val="auto"/>
                      <w:sz w:val="21"/>
                      <w:szCs w:val="21"/>
                      <w:lang w:eastAsia="zh-CN"/>
                    </w:rPr>
                  </w:pPr>
                  <w:r>
                    <w:rPr>
                      <w:rFonts w:hint="eastAsia"/>
                      <w:b/>
                      <w:bCs/>
                      <w:color w:val="auto"/>
                      <w:sz w:val="21"/>
                      <w:szCs w:val="21"/>
                      <w:lang w:val="en-US" w:eastAsia="zh-CN"/>
                    </w:rPr>
                    <w:t>备注</w:t>
                  </w:r>
                </w:p>
              </w:tc>
            </w:tr>
            <w:tr w14:paraId="0EF1AB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2" w:type="pct"/>
                  <w:tcBorders>
                    <w:tl2br w:val="nil"/>
                    <w:tr2bl w:val="nil"/>
                  </w:tcBorders>
                  <w:noWrap w:val="0"/>
                  <w:vAlign w:val="center"/>
                </w:tcPr>
                <w:p w14:paraId="1359D4C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r>
                    <w:rPr>
                      <w:rFonts w:hint="eastAsia"/>
                      <w:color w:val="auto"/>
                      <w:sz w:val="21"/>
                      <w:szCs w:val="21"/>
                    </w:rPr>
                    <w:t>1</w:t>
                  </w:r>
                </w:p>
              </w:tc>
              <w:tc>
                <w:tcPr>
                  <w:tcW w:w="962" w:type="pct"/>
                  <w:tcBorders>
                    <w:tl2br w:val="nil"/>
                    <w:tr2bl w:val="nil"/>
                  </w:tcBorders>
                  <w:noWrap w:val="0"/>
                  <w:vAlign w:val="center"/>
                </w:tcPr>
                <w:p w14:paraId="294C5FD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宋体" w:eastAsia="宋体"/>
                      <w:color w:val="auto"/>
                      <w:kern w:val="2"/>
                      <w:sz w:val="21"/>
                      <w:szCs w:val="21"/>
                      <w:lang w:val="en-US" w:eastAsia="zh-CN" w:bidi="ar-SA"/>
                    </w:rPr>
                  </w:pPr>
                  <w:r>
                    <w:rPr>
                      <w:rFonts w:hint="eastAsia" w:ascii="宋体"/>
                      <w:color w:val="auto"/>
                      <w:szCs w:val="21"/>
                      <w:lang w:val="en-US" w:eastAsia="zh-CN"/>
                    </w:rPr>
                    <w:t>质子交换膜</w:t>
                  </w:r>
                </w:p>
              </w:tc>
              <w:tc>
                <w:tcPr>
                  <w:tcW w:w="845" w:type="pct"/>
                  <w:tcBorders>
                    <w:tl2br w:val="nil"/>
                    <w:tr2bl w:val="nil"/>
                  </w:tcBorders>
                  <w:noWrap w:val="0"/>
                  <w:vAlign w:val="center"/>
                </w:tcPr>
                <w:p w14:paraId="136E0B4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olor w:val="auto"/>
                      <w:szCs w:val="21"/>
                      <w:lang w:val="en-US" w:eastAsia="zh-CN"/>
                    </w:rPr>
                  </w:pPr>
                  <w:r>
                    <w:rPr>
                      <w:rFonts w:hint="eastAsia"/>
                      <w:color w:val="auto"/>
                      <w:szCs w:val="21"/>
                      <w:lang w:val="en-US" w:eastAsia="zh-CN"/>
                    </w:rPr>
                    <w:t>固态</w:t>
                  </w:r>
                </w:p>
              </w:tc>
              <w:tc>
                <w:tcPr>
                  <w:tcW w:w="845" w:type="pct"/>
                  <w:tcBorders>
                    <w:tl2br w:val="nil"/>
                    <w:tr2bl w:val="nil"/>
                  </w:tcBorders>
                  <w:noWrap w:val="0"/>
                  <w:vAlign w:val="center"/>
                </w:tcPr>
                <w:p w14:paraId="0334595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r>
                    <w:rPr>
                      <w:rFonts w:hint="eastAsia"/>
                      <w:color w:val="auto"/>
                      <w:szCs w:val="21"/>
                      <w:lang w:val="en-US" w:eastAsia="zh-CN"/>
                    </w:rPr>
                    <w:t>平方米</w:t>
                  </w:r>
                </w:p>
              </w:tc>
              <w:tc>
                <w:tcPr>
                  <w:tcW w:w="681" w:type="pct"/>
                  <w:tcBorders>
                    <w:tl2br w:val="nil"/>
                    <w:tr2bl w:val="nil"/>
                  </w:tcBorders>
                  <w:noWrap w:val="0"/>
                  <w:vAlign w:val="center"/>
                </w:tcPr>
                <w:p w14:paraId="4E5D9CF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r>
                    <w:rPr>
                      <w:rFonts w:hint="eastAsia"/>
                      <w:color w:val="auto"/>
                      <w:szCs w:val="21"/>
                      <w:lang w:val="en-US" w:eastAsia="zh-CN"/>
                    </w:rPr>
                    <w:t>1767</w:t>
                  </w:r>
                </w:p>
              </w:tc>
              <w:tc>
                <w:tcPr>
                  <w:tcW w:w="722" w:type="pct"/>
                  <w:tcBorders>
                    <w:tl2br w:val="nil"/>
                    <w:tr2bl w:val="nil"/>
                  </w:tcBorders>
                  <w:noWrap w:val="0"/>
                  <w:vAlign w:val="center"/>
                </w:tcPr>
                <w:p w14:paraId="4C262EE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r>
                    <w:rPr>
                      <w:rFonts w:hint="eastAsia"/>
                      <w:color w:val="auto"/>
                      <w:szCs w:val="21"/>
                      <w:lang w:val="en-US" w:eastAsia="zh-CN"/>
                    </w:rPr>
                    <w:t>200</w:t>
                  </w:r>
                </w:p>
              </w:tc>
              <w:tc>
                <w:tcPr>
                  <w:tcW w:w="570" w:type="pct"/>
                  <w:vMerge w:val="restart"/>
                  <w:tcBorders>
                    <w:tl2br w:val="nil"/>
                    <w:tr2bl w:val="nil"/>
                  </w:tcBorders>
                  <w:noWrap w:val="0"/>
                  <w:vAlign w:val="center"/>
                </w:tcPr>
                <w:p w14:paraId="2290586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制作膜电极</w:t>
                  </w:r>
                </w:p>
              </w:tc>
            </w:tr>
            <w:tr w14:paraId="0765B7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2" w:type="pct"/>
                  <w:tcBorders>
                    <w:tl2br w:val="nil"/>
                    <w:tr2bl w:val="nil"/>
                  </w:tcBorders>
                  <w:noWrap w:val="0"/>
                  <w:vAlign w:val="center"/>
                </w:tcPr>
                <w:p w14:paraId="24DA03C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r>
                    <w:rPr>
                      <w:rFonts w:hint="eastAsia"/>
                      <w:color w:val="auto"/>
                      <w:sz w:val="21"/>
                      <w:szCs w:val="21"/>
                    </w:rPr>
                    <w:t>2</w:t>
                  </w:r>
                </w:p>
              </w:tc>
              <w:tc>
                <w:tcPr>
                  <w:tcW w:w="962" w:type="pct"/>
                  <w:tcBorders>
                    <w:tl2br w:val="nil"/>
                    <w:tr2bl w:val="nil"/>
                  </w:tcBorders>
                  <w:noWrap w:val="0"/>
                  <w:vAlign w:val="center"/>
                </w:tcPr>
                <w:p w14:paraId="5F31360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eastAsia="宋体"/>
                      <w:color w:val="auto"/>
                      <w:kern w:val="2"/>
                      <w:sz w:val="21"/>
                      <w:szCs w:val="21"/>
                      <w:lang w:val="en-US" w:eastAsia="zh-CN" w:bidi="ar-SA"/>
                    </w:rPr>
                  </w:pPr>
                  <w:r>
                    <w:rPr>
                      <w:rFonts w:hint="eastAsia" w:ascii="宋体"/>
                      <w:color w:val="auto"/>
                      <w:szCs w:val="21"/>
                      <w:lang w:val="en-US" w:eastAsia="zh-CN"/>
                    </w:rPr>
                    <w:t>催化剂</w:t>
                  </w:r>
                </w:p>
              </w:tc>
              <w:tc>
                <w:tcPr>
                  <w:tcW w:w="845" w:type="pct"/>
                  <w:tcBorders>
                    <w:tl2br w:val="nil"/>
                    <w:tr2bl w:val="nil"/>
                  </w:tcBorders>
                  <w:noWrap w:val="0"/>
                  <w:vAlign w:val="center"/>
                </w:tcPr>
                <w:p w14:paraId="6079240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olor w:val="auto"/>
                      <w:szCs w:val="21"/>
                      <w:lang w:val="en-US" w:eastAsia="zh-CN"/>
                    </w:rPr>
                  </w:pPr>
                  <w:r>
                    <w:rPr>
                      <w:rFonts w:hint="eastAsia"/>
                      <w:color w:val="auto"/>
                      <w:szCs w:val="21"/>
                      <w:lang w:val="en-US" w:eastAsia="zh-CN"/>
                    </w:rPr>
                    <w:t>固态</w:t>
                  </w:r>
                </w:p>
              </w:tc>
              <w:tc>
                <w:tcPr>
                  <w:tcW w:w="845" w:type="pct"/>
                  <w:tcBorders>
                    <w:tl2br w:val="nil"/>
                    <w:tr2bl w:val="nil"/>
                  </w:tcBorders>
                  <w:noWrap w:val="0"/>
                  <w:vAlign w:val="center"/>
                </w:tcPr>
                <w:p w14:paraId="7311280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r>
                    <w:rPr>
                      <w:rFonts w:hint="eastAsia"/>
                      <w:color w:val="auto"/>
                      <w:szCs w:val="21"/>
                      <w:lang w:val="en-US" w:eastAsia="zh-CN"/>
                    </w:rPr>
                    <w:t>千克</w:t>
                  </w:r>
                </w:p>
              </w:tc>
              <w:tc>
                <w:tcPr>
                  <w:tcW w:w="681" w:type="pct"/>
                  <w:tcBorders>
                    <w:tl2br w:val="nil"/>
                    <w:tr2bl w:val="nil"/>
                  </w:tcBorders>
                  <w:noWrap w:val="0"/>
                  <w:vAlign w:val="center"/>
                </w:tcPr>
                <w:p w14:paraId="0BB4BE5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olor w:val="auto"/>
                      <w:sz w:val="21"/>
                      <w:szCs w:val="21"/>
                      <w:lang w:val="en-US"/>
                    </w:rPr>
                  </w:pPr>
                  <w:r>
                    <w:rPr>
                      <w:rFonts w:hint="eastAsia"/>
                      <w:color w:val="auto"/>
                      <w:szCs w:val="21"/>
                      <w:lang w:val="en-US" w:eastAsia="zh-CN"/>
                    </w:rPr>
                    <w:t>715</w:t>
                  </w:r>
                </w:p>
              </w:tc>
              <w:tc>
                <w:tcPr>
                  <w:tcW w:w="722" w:type="pct"/>
                  <w:tcBorders>
                    <w:tl2br w:val="nil"/>
                    <w:tr2bl w:val="nil"/>
                  </w:tcBorders>
                  <w:noWrap w:val="0"/>
                  <w:vAlign w:val="center"/>
                </w:tcPr>
                <w:p w14:paraId="48B7CD1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olor w:val="auto"/>
                      <w:sz w:val="21"/>
                      <w:szCs w:val="21"/>
                      <w:lang w:val="en-US"/>
                    </w:rPr>
                  </w:pPr>
                  <w:r>
                    <w:rPr>
                      <w:rFonts w:hint="eastAsia"/>
                      <w:color w:val="auto"/>
                      <w:szCs w:val="21"/>
                      <w:lang w:val="en-US" w:eastAsia="zh-CN"/>
                    </w:rPr>
                    <w:t>100</w:t>
                  </w:r>
                </w:p>
              </w:tc>
              <w:tc>
                <w:tcPr>
                  <w:tcW w:w="570" w:type="pct"/>
                  <w:vMerge w:val="continue"/>
                  <w:tcBorders>
                    <w:tl2br w:val="nil"/>
                    <w:tr2bl w:val="nil"/>
                  </w:tcBorders>
                  <w:noWrap w:val="0"/>
                  <w:vAlign w:val="center"/>
                </w:tcPr>
                <w:p w14:paraId="0032CF7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r>
            <w:tr w14:paraId="0A84A7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2" w:type="pct"/>
                  <w:tcBorders>
                    <w:tl2br w:val="nil"/>
                    <w:tr2bl w:val="nil"/>
                  </w:tcBorders>
                  <w:noWrap w:val="0"/>
                  <w:vAlign w:val="center"/>
                </w:tcPr>
                <w:p w14:paraId="0813A9D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r>
                    <w:rPr>
                      <w:rFonts w:hint="eastAsia"/>
                      <w:color w:val="auto"/>
                      <w:sz w:val="21"/>
                      <w:szCs w:val="21"/>
                    </w:rPr>
                    <w:t>3</w:t>
                  </w:r>
                </w:p>
              </w:tc>
              <w:tc>
                <w:tcPr>
                  <w:tcW w:w="962" w:type="pct"/>
                  <w:tcBorders>
                    <w:tl2br w:val="nil"/>
                    <w:tr2bl w:val="nil"/>
                  </w:tcBorders>
                  <w:noWrap w:val="0"/>
                  <w:vAlign w:val="center"/>
                </w:tcPr>
                <w:p w14:paraId="6B2C44E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eastAsia="宋体"/>
                      <w:color w:val="auto"/>
                      <w:kern w:val="2"/>
                      <w:sz w:val="21"/>
                      <w:szCs w:val="21"/>
                      <w:lang w:val="en-US" w:eastAsia="zh-CN" w:bidi="ar-SA"/>
                    </w:rPr>
                  </w:pPr>
                  <w:r>
                    <w:rPr>
                      <w:rFonts w:hint="eastAsia" w:ascii="宋体"/>
                      <w:color w:val="auto"/>
                      <w:szCs w:val="21"/>
                      <w:lang w:val="en-US" w:eastAsia="zh-CN"/>
                    </w:rPr>
                    <w:t>气体扩散层</w:t>
                  </w:r>
                </w:p>
              </w:tc>
              <w:tc>
                <w:tcPr>
                  <w:tcW w:w="845" w:type="pct"/>
                  <w:tcBorders>
                    <w:tl2br w:val="nil"/>
                    <w:tr2bl w:val="nil"/>
                  </w:tcBorders>
                  <w:noWrap w:val="0"/>
                  <w:vAlign w:val="center"/>
                </w:tcPr>
                <w:p w14:paraId="3B5AB74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olor w:val="auto"/>
                      <w:szCs w:val="21"/>
                      <w:lang w:val="en-US" w:eastAsia="zh-CN"/>
                    </w:rPr>
                  </w:pPr>
                  <w:r>
                    <w:rPr>
                      <w:rFonts w:hint="eastAsia"/>
                      <w:color w:val="auto"/>
                      <w:szCs w:val="21"/>
                      <w:lang w:val="en-US" w:eastAsia="zh-CN"/>
                    </w:rPr>
                    <w:t>固态</w:t>
                  </w:r>
                </w:p>
              </w:tc>
              <w:tc>
                <w:tcPr>
                  <w:tcW w:w="845" w:type="pct"/>
                  <w:tcBorders>
                    <w:tl2br w:val="nil"/>
                    <w:tr2bl w:val="nil"/>
                  </w:tcBorders>
                  <w:noWrap w:val="0"/>
                  <w:vAlign w:val="center"/>
                </w:tcPr>
                <w:p w14:paraId="6A28BE5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r>
                    <w:rPr>
                      <w:rFonts w:hint="eastAsia"/>
                      <w:color w:val="auto"/>
                      <w:szCs w:val="21"/>
                      <w:lang w:val="en-US" w:eastAsia="zh-CN"/>
                    </w:rPr>
                    <w:t>千克</w:t>
                  </w:r>
                </w:p>
              </w:tc>
              <w:tc>
                <w:tcPr>
                  <w:tcW w:w="681" w:type="pct"/>
                  <w:tcBorders>
                    <w:tl2br w:val="nil"/>
                    <w:tr2bl w:val="nil"/>
                  </w:tcBorders>
                  <w:noWrap w:val="0"/>
                  <w:vAlign w:val="center"/>
                </w:tcPr>
                <w:p w14:paraId="0C79BDB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r>
                    <w:rPr>
                      <w:rFonts w:hint="eastAsia"/>
                      <w:color w:val="auto"/>
                      <w:szCs w:val="21"/>
                      <w:lang w:val="en-US" w:eastAsia="zh-CN"/>
                    </w:rPr>
                    <w:t>707</w:t>
                  </w:r>
                </w:p>
              </w:tc>
              <w:tc>
                <w:tcPr>
                  <w:tcW w:w="722" w:type="pct"/>
                  <w:tcBorders>
                    <w:tl2br w:val="nil"/>
                    <w:tr2bl w:val="nil"/>
                  </w:tcBorders>
                  <w:noWrap w:val="0"/>
                  <w:vAlign w:val="center"/>
                </w:tcPr>
                <w:p w14:paraId="4D1D655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r>
                    <w:rPr>
                      <w:rFonts w:hint="eastAsia"/>
                      <w:color w:val="auto"/>
                      <w:szCs w:val="21"/>
                      <w:lang w:val="en-US" w:eastAsia="zh-CN"/>
                    </w:rPr>
                    <w:t>90</w:t>
                  </w:r>
                </w:p>
              </w:tc>
              <w:tc>
                <w:tcPr>
                  <w:tcW w:w="570" w:type="pct"/>
                  <w:vMerge w:val="continue"/>
                  <w:tcBorders>
                    <w:tl2br w:val="nil"/>
                    <w:tr2bl w:val="nil"/>
                  </w:tcBorders>
                  <w:noWrap w:val="0"/>
                  <w:vAlign w:val="center"/>
                </w:tcPr>
                <w:p w14:paraId="1F4EFD7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r>
            <w:tr w14:paraId="519A92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2" w:type="pct"/>
                  <w:tcBorders>
                    <w:tl2br w:val="nil"/>
                    <w:tr2bl w:val="nil"/>
                  </w:tcBorders>
                  <w:noWrap w:val="0"/>
                  <w:vAlign w:val="center"/>
                </w:tcPr>
                <w:p w14:paraId="1675F76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r>
                    <w:rPr>
                      <w:rFonts w:hint="eastAsia"/>
                      <w:color w:val="auto"/>
                      <w:sz w:val="21"/>
                      <w:szCs w:val="21"/>
                    </w:rPr>
                    <w:t>4</w:t>
                  </w:r>
                </w:p>
              </w:tc>
              <w:tc>
                <w:tcPr>
                  <w:tcW w:w="962" w:type="pct"/>
                  <w:tcBorders>
                    <w:tl2br w:val="nil"/>
                    <w:tr2bl w:val="nil"/>
                  </w:tcBorders>
                  <w:noWrap w:val="0"/>
                  <w:vAlign w:val="center"/>
                </w:tcPr>
                <w:p w14:paraId="23F5C0F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全氟磺酸树脂</w:t>
                  </w:r>
                </w:p>
              </w:tc>
              <w:tc>
                <w:tcPr>
                  <w:tcW w:w="845" w:type="pct"/>
                  <w:tcBorders>
                    <w:tl2br w:val="nil"/>
                    <w:tr2bl w:val="nil"/>
                  </w:tcBorders>
                  <w:noWrap w:val="0"/>
                  <w:vAlign w:val="center"/>
                </w:tcPr>
                <w:p w14:paraId="701FB6A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olor w:val="auto"/>
                      <w:lang w:val="en-US" w:eastAsia="zh-CN"/>
                    </w:rPr>
                  </w:pPr>
                  <w:r>
                    <w:rPr>
                      <w:rFonts w:hint="eastAsia"/>
                      <w:color w:val="auto"/>
                      <w:lang w:val="en-US" w:eastAsia="zh-CN"/>
                    </w:rPr>
                    <w:t>固态</w:t>
                  </w:r>
                </w:p>
              </w:tc>
              <w:tc>
                <w:tcPr>
                  <w:tcW w:w="845" w:type="pct"/>
                  <w:tcBorders>
                    <w:tl2br w:val="nil"/>
                    <w:tr2bl w:val="nil"/>
                  </w:tcBorders>
                  <w:noWrap w:val="0"/>
                  <w:vAlign w:val="center"/>
                </w:tcPr>
                <w:p w14:paraId="0B474FB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r>
                    <w:rPr>
                      <w:rFonts w:hint="eastAsia"/>
                      <w:color w:val="auto"/>
                      <w:lang w:val="en-US" w:eastAsia="zh-CN"/>
                    </w:rPr>
                    <w:t>吨</w:t>
                  </w:r>
                </w:p>
              </w:tc>
              <w:tc>
                <w:tcPr>
                  <w:tcW w:w="681" w:type="pct"/>
                  <w:tcBorders>
                    <w:tl2br w:val="nil"/>
                    <w:tr2bl w:val="nil"/>
                  </w:tcBorders>
                  <w:noWrap w:val="0"/>
                  <w:vAlign w:val="center"/>
                </w:tcPr>
                <w:p w14:paraId="329E89F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olor w:val="auto"/>
                      <w:sz w:val="21"/>
                      <w:szCs w:val="21"/>
                      <w:lang w:val="en-US"/>
                    </w:rPr>
                  </w:pPr>
                  <w:r>
                    <w:rPr>
                      <w:rFonts w:hint="eastAsia"/>
                      <w:color w:val="auto"/>
                      <w:szCs w:val="21"/>
                      <w:lang w:val="en-US" w:eastAsia="zh-CN"/>
                    </w:rPr>
                    <w:t>1.43</w:t>
                  </w:r>
                </w:p>
              </w:tc>
              <w:tc>
                <w:tcPr>
                  <w:tcW w:w="722" w:type="pct"/>
                  <w:tcBorders>
                    <w:tl2br w:val="nil"/>
                    <w:tr2bl w:val="nil"/>
                  </w:tcBorders>
                  <w:noWrap w:val="0"/>
                  <w:vAlign w:val="center"/>
                </w:tcPr>
                <w:p w14:paraId="59545F1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r>
                    <w:rPr>
                      <w:rFonts w:hint="eastAsia"/>
                      <w:color w:val="auto"/>
                      <w:szCs w:val="21"/>
                      <w:lang w:val="en-US" w:eastAsia="zh-CN"/>
                    </w:rPr>
                    <w:t>0.3</w:t>
                  </w:r>
                </w:p>
              </w:tc>
              <w:tc>
                <w:tcPr>
                  <w:tcW w:w="570" w:type="pct"/>
                  <w:vMerge w:val="continue"/>
                  <w:tcBorders>
                    <w:tl2br w:val="nil"/>
                    <w:tr2bl w:val="nil"/>
                  </w:tcBorders>
                  <w:noWrap w:val="0"/>
                  <w:vAlign w:val="center"/>
                </w:tcPr>
                <w:p w14:paraId="103F851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r>
            <w:tr w14:paraId="2F8FAF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2" w:type="pct"/>
                  <w:tcBorders>
                    <w:tl2br w:val="nil"/>
                    <w:tr2bl w:val="nil"/>
                  </w:tcBorders>
                  <w:noWrap w:val="0"/>
                  <w:vAlign w:val="center"/>
                </w:tcPr>
                <w:p w14:paraId="162EC1E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r>
                    <w:rPr>
                      <w:rFonts w:hint="eastAsia"/>
                      <w:color w:val="auto"/>
                      <w:sz w:val="21"/>
                      <w:szCs w:val="21"/>
                    </w:rPr>
                    <w:t>5</w:t>
                  </w:r>
                </w:p>
              </w:tc>
              <w:tc>
                <w:tcPr>
                  <w:tcW w:w="962" w:type="pct"/>
                  <w:tcBorders>
                    <w:tl2br w:val="nil"/>
                    <w:tr2bl w:val="nil"/>
                  </w:tcBorders>
                  <w:noWrap w:val="0"/>
                  <w:vAlign w:val="center"/>
                </w:tcPr>
                <w:p w14:paraId="6BC40D7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kern w:val="2"/>
                      <w:sz w:val="21"/>
                      <w:szCs w:val="21"/>
                      <w:lang w:val="en-US" w:eastAsia="zh-CN" w:bidi="ar-SA"/>
                    </w:rPr>
                  </w:pPr>
                  <w:r>
                    <w:rPr>
                      <w:rFonts w:hint="eastAsia"/>
                      <w:color w:val="auto"/>
                      <w:szCs w:val="21"/>
                      <w:lang w:val="en-US" w:eastAsia="zh-CN"/>
                    </w:rPr>
                    <w:t>边框</w:t>
                  </w:r>
                </w:p>
              </w:tc>
              <w:tc>
                <w:tcPr>
                  <w:tcW w:w="845" w:type="pct"/>
                  <w:tcBorders>
                    <w:tl2br w:val="nil"/>
                    <w:tr2bl w:val="nil"/>
                  </w:tcBorders>
                  <w:noWrap w:val="0"/>
                  <w:vAlign w:val="center"/>
                </w:tcPr>
                <w:p w14:paraId="19105DF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olor w:val="auto"/>
                      <w:szCs w:val="21"/>
                      <w:lang w:val="en-US" w:eastAsia="zh-CN"/>
                    </w:rPr>
                  </w:pPr>
                  <w:r>
                    <w:rPr>
                      <w:rFonts w:hint="eastAsia"/>
                      <w:color w:val="auto"/>
                      <w:szCs w:val="21"/>
                      <w:lang w:val="en-US" w:eastAsia="zh-CN"/>
                    </w:rPr>
                    <w:t>固态</w:t>
                  </w:r>
                </w:p>
              </w:tc>
              <w:tc>
                <w:tcPr>
                  <w:tcW w:w="845" w:type="pct"/>
                  <w:tcBorders>
                    <w:tl2br w:val="nil"/>
                    <w:tr2bl w:val="nil"/>
                  </w:tcBorders>
                  <w:noWrap w:val="0"/>
                  <w:vAlign w:val="center"/>
                </w:tcPr>
                <w:p w14:paraId="1204B51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r>
                    <w:rPr>
                      <w:rFonts w:hint="eastAsia"/>
                      <w:color w:val="auto"/>
                      <w:szCs w:val="21"/>
                      <w:lang w:val="en-US" w:eastAsia="zh-CN"/>
                    </w:rPr>
                    <w:t>千克</w:t>
                  </w:r>
                </w:p>
              </w:tc>
              <w:tc>
                <w:tcPr>
                  <w:tcW w:w="681" w:type="pct"/>
                  <w:tcBorders>
                    <w:tl2br w:val="nil"/>
                    <w:tr2bl w:val="nil"/>
                  </w:tcBorders>
                  <w:noWrap w:val="0"/>
                  <w:vAlign w:val="center"/>
                </w:tcPr>
                <w:p w14:paraId="6BF51C2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r>
                    <w:rPr>
                      <w:rFonts w:hint="eastAsia"/>
                      <w:color w:val="auto"/>
                      <w:szCs w:val="21"/>
                      <w:lang w:val="en-US" w:eastAsia="zh-CN"/>
                    </w:rPr>
                    <w:t>180</w:t>
                  </w:r>
                </w:p>
              </w:tc>
              <w:tc>
                <w:tcPr>
                  <w:tcW w:w="722" w:type="pct"/>
                  <w:tcBorders>
                    <w:tl2br w:val="nil"/>
                    <w:tr2bl w:val="nil"/>
                  </w:tcBorders>
                  <w:noWrap w:val="0"/>
                  <w:vAlign w:val="center"/>
                </w:tcPr>
                <w:p w14:paraId="7AF9C15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r>
                    <w:rPr>
                      <w:rFonts w:hint="eastAsia"/>
                      <w:color w:val="auto"/>
                      <w:szCs w:val="21"/>
                      <w:lang w:val="en-US" w:eastAsia="zh-CN"/>
                    </w:rPr>
                    <w:t>30</w:t>
                  </w:r>
                </w:p>
              </w:tc>
              <w:tc>
                <w:tcPr>
                  <w:tcW w:w="570" w:type="pct"/>
                  <w:vMerge w:val="continue"/>
                  <w:tcBorders>
                    <w:tl2br w:val="nil"/>
                    <w:tr2bl w:val="nil"/>
                  </w:tcBorders>
                  <w:noWrap w:val="0"/>
                  <w:vAlign w:val="center"/>
                </w:tcPr>
                <w:p w14:paraId="60F383A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r>
            <w:tr w14:paraId="3F17B1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2" w:type="pct"/>
                  <w:tcBorders>
                    <w:tl2br w:val="nil"/>
                    <w:tr2bl w:val="nil"/>
                  </w:tcBorders>
                  <w:noWrap w:val="0"/>
                  <w:vAlign w:val="center"/>
                </w:tcPr>
                <w:p w14:paraId="5D8789C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olor w:val="auto"/>
                      <w:kern w:val="2"/>
                      <w:sz w:val="21"/>
                      <w:szCs w:val="21"/>
                      <w:lang w:val="en-US" w:eastAsia="zh-CN" w:bidi="ar-SA"/>
                    </w:rPr>
                  </w:pPr>
                  <w:r>
                    <w:rPr>
                      <w:rFonts w:hint="eastAsia"/>
                      <w:color w:val="auto"/>
                      <w:sz w:val="21"/>
                      <w:szCs w:val="21"/>
                    </w:rPr>
                    <w:t>6</w:t>
                  </w:r>
                </w:p>
              </w:tc>
              <w:tc>
                <w:tcPr>
                  <w:tcW w:w="962" w:type="pct"/>
                  <w:tcBorders>
                    <w:tl2br w:val="nil"/>
                    <w:tr2bl w:val="nil"/>
                  </w:tcBorders>
                  <w:noWrap w:val="0"/>
                  <w:vAlign w:val="center"/>
                </w:tcPr>
                <w:p w14:paraId="0E8FC19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olor w:val="auto"/>
                      <w:sz w:val="21"/>
                      <w:szCs w:val="21"/>
                      <w:lang w:val="en-US" w:eastAsia="zh-CN"/>
                    </w:rPr>
                  </w:pPr>
                  <w:r>
                    <w:rPr>
                      <w:rFonts w:hint="eastAsia"/>
                      <w:color w:val="auto"/>
                      <w:szCs w:val="21"/>
                      <w:lang w:val="en-US" w:eastAsia="zh-CN"/>
                    </w:rPr>
                    <w:t>催化剂溶剂</w:t>
                  </w:r>
                </w:p>
              </w:tc>
              <w:tc>
                <w:tcPr>
                  <w:tcW w:w="845" w:type="pct"/>
                  <w:tcBorders>
                    <w:tl2br w:val="nil"/>
                    <w:tr2bl w:val="nil"/>
                  </w:tcBorders>
                  <w:noWrap w:val="0"/>
                  <w:vAlign w:val="center"/>
                </w:tcPr>
                <w:p w14:paraId="77D6C69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olor w:val="auto"/>
                      <w:szCs w:val="21"/>
                      <w:lang w:val="en-US" w:eastAsia="zh-CN"/>
                    </w:rPr>
                  </w:pPr>
                  <w:r>
                    <w:rPr>
                      <w:rFonts w:hint="eastAsia"/>
                      <w:color w:val="auto"/>
                      <w:szCs w:val="21"/>
                      <w:lang w:val="en-US" w:eastAsia="zh-CN"/>
                    </w:rPr>
                    <w:t>液态</w:t>
                  </w:r>
                </w:p>
              </w:tc>
              <w:tc>
                <w:tcPr>
                  <w:tcW w:w="845" w:type="pct"/>
                  <w:tcBorders>
                    <w:tl2br w:val="nil"/>
                    <w:tr2bl w:val="nil"/>
                  </w:tcBorders>
                  <w:noWrap w:val="0"/>
                  <w:vAlign w:val="center"/>
                </w:tcPr>
                <w:p w14:paraId="33633A4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olor w:val="auto"/>
                      <w:sz w:val="21"/>
                      <w:szCs w:val="21"/>
                      <w:lang w:val="en-US" w:eastAsia="zh-CN"/>
                    </w:rPr>
                  </w:pPr>
                  <w:r>
                    <w:rPr>
                      <w:rFonts w:hint="eastAsia"/>
                      <w:color w:val="auto"/>
                      <w:szCs w:val="21"/>
                      <w:lang w:val="en-US" w:eastAsia="zh-CN"/>
                    </w:rPr>
                    <w:t>吨</w:t>
                  </w:r>
                </w:p>
              </w:tc>
              <w:tc>
                <w:tcPr>
                  <w:tcW w:w="681" w:type="pct"/>
                  <w:tcBorders>
                    <w:tl2br w:val="nil"/>
                    <w:tr2bl w:val="nil"/>
                  </w:tcBorders>
                  <w:noWrap w:val="0"/>
                  <w:vAlign w:val="center"/>
                </w:tcPr>
                <w:p w14:paraId="49BB7CA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olor w:val="auto"/>
                      <w:sz w:val="21"/>
                      <w:szCs w:val="21"/>
                      <w:lang w:val="en-US" w:eastAsia="zh-CN"/>
                    </w:rPr>
                  </w:pPr>
                  <w:r>
                    <w:rPr>
                      <w:rFonts w:hint="eastAsia"/>
                      <w:color w:val="auto"/>
                      <w:szCs w:val="21"/>
                      <w:lang w:val="en-US" w:eastAsia="zh-CN"/>
                    </w:rPr>
                    <w:t>5</w:t>
                  </w:r>
                </w:p>
              </w:tc>
              <w:tc>
                <w:tcPr>
                  <w:tcW w:w="722" w:type="pct"/>
                  <w:tcBorders>
                    <w:tl2br w:val="nil"/>
                    <w:tr2bl w:val="nil"/>
                  </w:tcBorders>
                  <w:noWrap w:val="0"/>
                  <w:vAlign w:val="center"/>
                </w:tcPr>
                <w:p w14:paraId="6278E39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olor w:val="auto"/>
                      <w:sz w:val="21"/>
                      <w:szCs w:val="21"/>
                      <w:lang w:val="en-US" w:eastAsia="zh-CN"/>
                    </w:rPr>
                  </w:pPr>
                  <w:r>
                    <w:rPr>
                      <w:rFonts w:hint="eastAsia"/>
                      <w:color w:val="auto"/>
                      <w:szCs w:val="21"/>
                      <w:lang w:val="en-US" w:eastAsia="zh-CN"/>
                    </w:rPr>
                    <w:t>0.8</w:t>
                  </w:r>
                </w:p>
              </w:tc>
              <w:tc>
                <w:tcPr>
                  <w:tcW w:w="570" w:type="pct"/>
                  <w:vMerge w:val="continue"/>
                  <w:tcBorders>
                    <w:tl2br w:val="nil"/>
                    <w:tr2bl w:val="nil"/>
                  </w:tcBorders>
                  <w:noWrap w:val="0"/>
                  <w:vAlign w:val="center"/>
                </w:tcPr>
                <w:p w14:paraId="2E202CB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r>
            <w:tr w14:paraId="3E8DDB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2" w:type="pct"/>
                  <w:tcBorders>
                    <w:tl2br w:val="nil"/>
                    <w:tr2bl w:val="nil"/>
                  </w:tcBorders>
                  <w:noWrap w:val="0"/>
                  <w:vAlign w:val="center"/>
                </w:tcPr>
                <w:p w14:paraId="0BDAA04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eastAsia="宋体"/>
                      <w:color w:val="auto"/>
                      <w:kern w:val="2"/>
                      <w:sz w:val="21"/>
                      <w:szCs w:val="21"/>
                      <w:lang w:val="en-US" w:eastAsia="zh-CN" w:bidi="ar-SA"/>
                    </w:rPr>
                  </w:pPr>
                  <w:r>
                    <w:rPr>
                      <w:rFonts w:hint="eastAsia"/>
                      <w:color w:val="auto"/>
                      <w:sz w:val="21"/>
                      <w:szCs w:val="21"/>
                      <w:lang w:val="en-US" w:eastAsia="zh-CN"/>
                    </w:rPr>
                    <w:t>7</w:t>
                  </w:r>
                </w:p>
              </w:tc>
              <w:tc>
                <w:tcPr>
                  <w:tcW w:w="962" w:type="pct"/>
                  <w:tcBorders>
                    <w:tl2br w:val="nil"/>
                    <w:tr2bl w:val="nil"/>
                  </w:tcBorders>
                  <w:noWrap w:val="0"/>
                  <w:vAlign w:val="center"/>
                </w:tcPr>
                <w:p w14:paraId="4910D99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olor w:val="auto"/>
                      <w:sz w:val="21"/>
                      <w:szCs w:val="21"/>
                      <w:lang w:val="en-US" w:eastAsia="zh-CN"/>
                    </w:rPr>
                  </w:pPr>
                  <w:r>
                    <w:rPr>
                      <w:rFonts w:hint="eastAsia"/>
                      <w:color w:val="auto"/>
                      <w:szCs w:val="21"/>
                      <w:lang w:val="en-US" w:eastAsia="zh-CN"/>
                    </w:rPr>
                    <w:t>稀双氧水</w:t>
                  </w:r>
                </w:p>
              </w:tc>
              <w:tc>
                <w:tcPr>
                  <w:tcW w:w="845" w:type="pct"/>
                  <w:tcBorders>
                    <w:tl2br w:val="nil"/>
                    <w:tr2bl w:val="nil"/>
                  </w:tcBorders>
                  <w:noWrap w:val="0"/>
                  <w:vAlign w:val="center"/>
                </w:tcPr>
                <w:p w14:paraId="21DDEC3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olor w:val="auto"/>
                      <w:szCs w:val="21"/>
                      <w:lang w:val="en-US" w:eastAsia="zh-CN"/>
                    </w:rPr>
                  </w:pPr>
                  <w:r>
                    <w:rPr>
                      <w:rFonts w:hint="eastAsia"/>
                      <w:color w:val="auto"/>
                      <w:szCs w:val="21"/>
                      <w:lang w:val="en-US" w:eastAsia="zh-CN"/>
                    </w:rPr>
                    <w:t>液态</w:t>
                  </w:r>
                </w:p>
              </w:tc>
              <w:tc>
                <w:tcPr>
                  <w:tcW w:w="845" w:type="pct"/>
                  <w:tcBorders>
                    <w:tl2br w:val="nil"/>
                    <w:tr2bl w:val="nil"/>
                  </w:tcBorders>
                  <w:noWrap w:val="0"/>
                  <w:vAlign w:val="center"/>
                </w:tcPr>
                <w:p w14:paraId="6D6DAC8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olor w:val="auto"/>
                      <w:sz w:val="21"/>
                      <w:szCs w:val="21"/>
                      <w:lang w:val="en-US" w:eastAsia="zh-CN"/>
                    </w:rPr>
                  </w:pPr>
                  <w:r>
                    <w:rPr>
                      <w:rFonts w:hint="eastAsia"/>
                      <w:color w:val="auto"/>
                      <w:szCs w:val="21"/>
                      <w:lang w:val="en-US" w:eastAsia="zh-CN"/>
                    </w:rPr>
                    <w:t>吨</w:t>
                  </w:r>
                </w:p>
              </w:tc>
              <w:tc>
                <w:tcPr>
                  <w:tcW w:w="681" w:type="pct"/>
                  <w:tcBorders>
                    <w:tl2br w:val="nil"/>
                    <w:tr2bl w:val="nil"/>
                  </w:tcBorders>
                  <w:noWrap w:val="0"/>
                  <w:vAlign w:val="center"/>
                </w:tcPr>
                <w:p w14:paraId="136DADA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olor w:val="auto"/>
                      <w:sz w:val="21"/>
                      <w:szCs w:val="21"/>
                      <w:lang w:val="en-US" w:eastAsia="zh-CN"/>
                    </w:rPr>
                  </w:pPr>
                  <w:r>
                    <w:rPr>
                      <w:rFonts w:hint="eastAsia"/>
                      <w:color w:val="auto"/>
                      <w:szCs w:val="21"/>
                      <w:lang w:val="en-US" w:eastAsia="zh-CN"/>
                    </w:rPr>
                    <w:t>3.64</w:t>
                  </w:r>
                </w:p>
              </w:tc>
              <w:tc>
                <w:tcPr>
                  <w:tcW w:w="722" w:type="pct"/>
                  <w:tcBorders>
                    <w:tl2br w:val="nil"/>
                    <w:tr2bl w:val="nil"/>
                  </w:tcBorders>
                  <w:noWrap w:val="0"/>
                  <w:vAlign w:val="center"/>
                </w:tcPr>
                <w:p w14:paraId="187E125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olor w:val="auto"/>
                      <w:sz w:val="21"/>
                      <w:szCs w:val="21"/>
                      <w:lang w:val="en-US" w:eastAsia="zh-CN"/>
                    </w:rPr>
                  </w:pPr>
                  <w:r>
                    <w:rPr>
                      <w:rFonts w:hint="eastAsia"/>
                      <w:color w:val="auto"/>
                      <w:szCs w:val="21"/>
                      <w:lang w:val="en-US" w:eastAsia="zh-CN"/>
                    </w:rPr>
                    <w:t>0.25</w:t>
                  </w:r>
                </w:p>
              </w:tc>
              <w:tc>
                <w:tcPr>
                  <w:tcW w:w="570" w:type="pct"/>
                  <w:vMerge w:val="continue"/>
                  <w:tcBorders>
                    <w:tl2br w:val="nil"/>
                    <w:tr2bl w:val="nil"/>
                  </w:tcBorders>
                  <w:noWrap w:val="0"/>
                  <w:vAlign w:val="center"/>
                </w:tcPr>
                <w:p w14:paraId="6E6FB18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r>
            <w:tr w14:paraId="253864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2" w:type="pct"/>
                  <w:tcBorders>
                    <w:tl2br w:val="nil"/>
                    <w:tr2bl w:val="nil"/>
                  </w:tcBorders>
                  <w:noWrap w:val="0"/>
                  <w:vAlign w:val="center"/>
                </w:tcPr>
                <w:p w14:paraId="3598F41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eastAsia="宋体"/>
                      <w:color w:val="auto"/>
                      <w:kern w:val="2"/>
                      <w:sz w:val="21"/>
                      <w:szCs w:val="21"/>
                      <w:lang w:val="en-US" w:eastAsia="zh-CN" w:bidi="ar-SA"/>
                    </w:rPr>
                  </w:pPr>
                  <w:r>
                    <w:rPr>
                      <w:rFonts w:hint="eastAsia" w:eastAsia="宋体"/>
                      <w:color w:val="auto"/>
                      <w:kern w:val="2"/>
                      <w:sz w:val="21"/>
                      <w:szCs w:val="21"/>
                      <w:lang w:val="en-US" w:eastAsia="zh-CN" w:bidi="ar-SA"/>
                    </w:rPr>
                    <w:t>8</w:t>
                  </w:r>
                </w:p>
              </w:tc>
              <w:tc>
                <w:tcPr>
                  <w:tcW w:w="962" w:type="pct"/>
                  <w:tcBorders>
                    <w:tl2br w:val="nil"/>
                    <w:tr2bl w:val="nil"/>
                  </w:tcBorders>
                  <w:noWrap w:val="0"/>
                  <w:vAlign w:val="center"/>
                </w:tcPr>
                <w:p w14:paraId="7F025F25">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cs="宋体"/>
                      <w:i w:val="0"/>
                      <w:iCs w:val="0"/>
                      <w:color w:val="auto"/>
                      <w:sz w:val="21"/>
                      <w:szCs w:val="21"/>
                      <w:u w:val="none"/>
                      <w:lang w:val="en-US" w:eastAsia="zh-CN"/>
                    </w:rPr>
                    <w:t>氧化钼</w:t>
                  </w:r>
                </w:p>
              </w:tc>
              <w:tc>
                <w:tcPr>
                  <w:tcW w:w="845" w:type="pct"/>
                  <w:tcBorders>
                    <w:tl2br w:val="nil"/>
                    <w:tr2bl w:val="nil"/>
                  </w:tcBorders>
                  <w:noWrap w:val="0"/>
                  <w:vAlign w:val="center"/>
                </w:tcPr>
                <w:p w14:paraId="6625BD14">
                  <w:pPr>
                    <w:keepNext w:val="0"/>
                    <w:keepLines w:val="0"/>
                    <w:widowControl/>
                    <w:suppressLineNumbers w:val="0"/>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固态</w:t>
                  </w:r>
                </w:p>
              </w:tc>
              <w:tc>
                <w:tcPr>
                  <w:tcW w:w="845" w:type="pct"/>
                  <w:tcBorders>
                    <w:tl2br w:val="nil"/>
                    <w:tr2bl w:val="nil"/>
                  </w:tcBorders>
                  <w:noWrap w:val="0"/>
                  <w:vAlign w:val="center"/>
                </w:tcPr>
                <w:p w14:paraId="3753BF8B">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sz w:val="21"/>
                      <w:szCs w:val="21"/>
                      <w:u w:val="none"/>
                      <w:lang w:val="en-US" w:eastAsia="zh-CN"/>
                    </w:rPr>
                    <w:t>千克</w:t>
                  </w:r>
                </w:p>
              </w:tc>
              <w:tc>
                <w:tcPr>
                  <w:tcW w:w="681" w:type="pct"/>
                  <w:tcBorders>
                    <w:tl2br w:val="nil"/>
                    <w:tr2bl w:val="nil"/>
                  </w:tcBorders>
                  <w:noWrap w:val="0"/>
                  <w:vAlign w:val="center"/>
                </w:tcPr>
                <w:p w14:paraId="0A57804A">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sz w:val="21"/>
                      <w:szCs w:val="21"/>
                      <w:u w:val="none"/>
                      <w:lang w:val="en-US" w:eastAsia="zh-CN"/>
                    </w:rPr>
                    <w:t>2.5</w:t>
                  </w:r>
                </w:p>
              </w:tc>
              <w:tc>
                <w:tcPr>
                  <w:tcW w:w="722" w:type="pct"/>
                  <w:tcBorders>
                    <w:tl2br w:val="nil"/>
                    <w:tr2bl w:val="nil"/>
                  </w:tcBorders>
                  <w:noWrap w:val="0"/>
                  <w:vAlign w:val="center"/>
                </w:tcPr>
                <w:p w14:paraId="477A516E">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sz w:val="21"/>
                      <w:szCs w:val="21"/>
                      <w:u w:val="none"/>
                      <w:lang w:val="en-US" w:eastAsia="zh-CN"/>
                    </w:rPr>
                    <w:t>1</w:t>
                  </w:r>
                </w:p>
              </w:tc>
              <w:tc>
                <w:tcPr>
                  <w:tcW w:w="570" w:type="pct"/>
                  <w:vMerge w:val="restart"/>
                  <w:tcBorders>
                    <w:tl2br w:val="nil"/>
                    <w:tr2bl w:val="nil"/>
                  </w:tcBorders>
                  <w:noWrap w:val="0"/>
                  <w:vAlign w:val="center"/>
                </w:tcPr>
                <w:p w14:paraId="3A73690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r>
                    <w:rPr>
                      <w:rFonts w:hint="eastAsia"/>
                      <w:color w:val="auto"/>
                      <w:sz w:val="21"/>
                      <w:szCs w:val="21"/>
                      <w:lang w:val="en-US" w:eastAsia="zh-CN"/>
                    </w:rPr>
                    <w:t>制作氢气泄漏检测胶带</w:t>
                  </w:r>
                </w:p>
              </w:tc>
            </w:tr>
            <w:tr w14:paraId="7587DB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2" w:type="pct"/>
                  <w:tcBorders>
                    <w:tl2br w:val="nil"/>
                    <w:tr2bl w:val="nil"/>
                  </w:tcBorders>
                  <w:noWrap w:val="0"/>
                  <w:vAlign w:val="center"/>
                </w:tcPr>
                <w:p w14:paraId="52A64CF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eastAsia="宋体"/>
                      <w:color w:val="auto"/>
                      <w:kern w:val="2"/>
                      <w:sz w:val="21"/>
                      <w:szCs w:val="21"/>
                      <w:lang w:val="en-US" w:eastAsia="zh-CN" w:bidi="ar-SA"/>
                    </w:rPr>
                  </w:pPr>
                  <w:r>
                    <w:rPr>
                      <w:rFonts w:hint="eastAsia"/>
                      <w:color w:val="auto"/>
                      <w:sz w:val="21"/>
                      <w:szCs w:val="21"/>
                      <w:lang w:val="en-US" w:eastAsia="zh-CN"/>
                    </w:rPr>
                    <w:t>9</w:t>
                  </w:r>
                </w:p>
              </w:tc>
              <w:tc>
                <w:tcPr>
                  <w:tcW w:w="962" w:type="pct"/>
                  <w:tcBorders>
                    <w:tl2br w:val="nil"/>
                    <w:tr2bl w:val="nil"/>
                  </w:tcBorders>
                  <w:noWrap w:val="0"/>
                  <w:vAlign w:val="center"/>
                </w:tcPr>
                <w:p w14:paraId="1F31D653">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cs="宋体"/>
                      <w:i w:val="0"/>
                      <w:iCs w:val="0"/>
                      <w:color w:val="auto"/>
                      <w:sz w:val="21"/>
                      <w:szCs w:val="21"/>
                      <w:u w:val="none"/>
                      <w:lang w:val="en-US" w:eastAsia="zh-CN"/>
                    </w:rPr>
                    <w:t>钯盐</w:t>
                  </w:r>
                </w:p>
              </w:tc>
              <w:tc>
                <w:tcPr>
                  <w:tcW w:w="845" w:type="pct"/>
                  <w:tcBorders>
                    <w:tl2br w:val="nil"/>
                    <w:tr2bl w:val="nil"/>
                  </w:tcBorders>
                  <w:noWrap w:val="0"/>
                  <w:vAlign w:val="center"/>
                </w:tcPr>
                <w:p w14:paraId="13DE145F">
                  <w:pPr>
                    <w:keepNext w:val="0"/>
                    <w:keepLines w:val="0"/>
                    <w:widowControl/>
                    <w:suppressLineNumbers w:val="0"/>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固态</w:t>
                  </w:r>
                </w:p>
              </w:tc>
              <w:tc>
                <w:tcPr>
                  <w:tcW w:w="845" w:type="pct"/>
                  <w:tcBorders>
                    <w:tl2br w:val="nil"/>
                    <w:tr2bl w:val="nil"/>
                  </w:tcBorders>
                  <w:noWrap w:val="0"/>
                  <w:vAlign w:val="center"/>
                </w:tcPr>
                <w:p w14:paraId="4B560163">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sz w:val="21"/>
                      <w:szCs w:val="21"/>
                      <w:u w:val="none"/>
                      <w:lang w:val="en-US" w:eastAsia="zh-CN"/>
                    </w:rPr>
                    <w:t>克</w:t>
                  </w:r>
                </w:p>
              </w:tc>
              <w:tc>
                <w:tcPr>
                  <w:tcW w:w="681" w:type="pct"/>
                  <w:tcBorders>
                    <w:tl2br w:val="nil"/>
                    <w:tr2bl w:val="nil"/>
                  </w:tcBorders>
                  <w:noWrap w:val="0"/>
                  <w:vAlign w:val="center"/>
                </w:tcPr>
                <w:p w14:paraId="5E4AD229">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sz w:val="21"/>
                      <w:szCs w:val="21"/>
                      <w:u w:val="none"/>
                      <w:lang w:val="en-US" w:eastAsia="zh-CN"/>
                    </w:rPr>
                    <w:t>100</w:t>
                  </w:r>
                </w:p>
              </w:tc>
              <w:tc>
                <w:tcPr>
                  <w:tcW w:w="722" w:type="pct"/>
                  <w:tcBorders>
                    <w:tl2br w:val="nil"/>
                    <w:tr2bl w:val="nil"/>
                  </w:tcBorders>
                  <w:noWrap w:val="0"/>
                  <w:vAlign w:val="center"/>
                </w:tcPr>
                <w:p w14:paraId="3D60A028">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sz w:val="21"/>
                      <w:szCs w:val="21"/>
                      <w:u w:val="none"/>
                      <w:lang w:val="en-US" w:eastAsia="zh-CN"/>
                    </w:rPr>
                    <w:t>10</w:t>
                  </w:r>
                </w:p>
              </w:tc>
              <w:tc>
                <w:tcPr>
                  <w:tcW w:w="570" w:type="pct"/>
                  <w:vMerge w:val="continue"/>
                  <w:tcBorders>
                    <w:tl2br w:val="nil"/>
                    <w:tr2bl w:val="nil"/>
                  </w:tcBorders>
                  <w:noWrap w:val="0"/>
                  <w:vAlign w:val="center"/>
                </w:tcPr>
                <w:p w14:paraId="5AD2EFA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r>
            <w:tr w14:paraId="7A6D6B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2" w:type="pct"/>
                  <w:tcBorders>
                    <w:tl2br w:val="nil"/>
                    <w:tr2bl w:val="nil"/>
                  </w:tcBorders>
                  <w:noWrap w:val="0"/>
                  <w:vAlign w:val="center"/>
                </w:tcPr>
                <w:p w14:paraId="7D0530A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eastAsia="宋体"/>
                      <w:color w:val="auto"/>
                      <w:kern w:val="2"/>
                      <w:sz w:val="21"/>
                      <w:szCs w:val="21"/>
                      <w:lang w:val="en-US" w:eastAsia="zh-CN" w:bidi="ar-SA"/>
                    </w:rPr>
                  </w:pPr>
                  <w:r>
                    <w:rPr>
                      <w:rFonts w:hint="eastAsia"/>
                      <w:color w:val="auto"/>
                      <w:sz w:val="21"/>
                      <w:szCs w:val="21"/>
                      <w:lang w:val="en-US" w:eastAsia="zh-CN"/>
                    </w:rPr>
                    <w:t>10</w:t>
                  </w:r>
                </w:p>
              </w:tc>
              <w:tc>
                <w:tcPr>
                  <w:tcW w:w="962" w:type="pct"/>
                  <w:tcBorders>
                    <w:tl2br w:val="nil"/>
                    <w:tr2bl w:val="nil"/>
                  </w:tcBorders>
                  <w:noWrap w:val="0"/>
                  <w:vAlign w:val="center"/>
                </w:tcPr>
                <w:p w14:paraId="34A1EE1F">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cs="宋体"/>
                      <w:i w:val="0"/>
                      <w:iCs w:val="0"/>
                      <w:color w:val="auto"/>
                      <w:sz w:val="21"/>
                      <w:szCs w:val="21"/>
                      <w:u w:val="none"/>
                      <w:lang w:val="en-US" w:eastAsia="zh-CN"/>
                    </w:rPr>
                    <w:t>甲酸</w:t>
                  </w:r>
                </w:p>
              </w:tc>
              <w:tc>
                <w:tcPr>
                  <w:tcW w:w="845" w:type="pct"/>
                  <w:tcBorders>
                    <w:tl2br w:val="nil"/>
                    <w:tr2bl w:val="nil"/>
                  </w:tcBorders>
                  <w:noWrap w:val="0"/>
                  <w:vAlign w:val="center"/>
                </w:tcPr>
                <w:p w14:paraId="6AF609FD">
                  <w:pPr>
                    <w:keepNext w:val="0"/>
                    <w:keepLines w:val="0"/>
                    <w:widowControl/>
                    <w:suppressLineNumbers w:val="0"/>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液态</w:t>
                  </w:r>
                </w:p>
              </w:tc>
              <w:tc>
                <w:tcPr>
                  <w:tcW w:w="845" w:type="pct"/>
                  <w:tcBorders>
                    <w:tl2br w:val="nil"/>
                    <w:tr2bl w:val="nil"/>
                  </w:tcBorders>
                  <w:noWrap w:val="0"/>
                  <w:vAlign w:val="center"/>
                </w:tcPr>
                <w:p w14:paraId="4D91FA22">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sz w:val="21"/>
                      <w:szCs w:val="21"/>
                      <w:u w:val="none"/>
                      <w:lang w:val="en-US" w:eastAsia="zh-CN"/>
                    </w:rPr>
                    <w:t>毫升</w:t>
                  </w:r>
                </w:p>
              </w:tc>
              <w:tc>
                <w:tcPr>
                  <w:tcW w:w="681" w:type="pct"/>
                  <w:tcBorders>
                    <w:tl2br w:val="nil"/>
                    <w:tr2bl w:val="nil"/>
                  </w:tcBorders>
                  <w:noWrap w:val="0"/>
                  <w:vAlign w:val="center"/>
                </w:tcPr>
                <w:p w14:paraId="56D6C39D">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sz w:val="21"/>
                      <w:szCs w:val="21"/>
                      <w:u w:val="none"/>
                      <w:lang w:val="en-US" w:eastAsia="zh-CN"/>
                    </w:rPr>
                    <w:t>500</w:t>
                  </w:r>
                </w:p>
              </w:tc>
              <w:tc>
                <w:tcPr>
                  <w:tcW w:w="722" w:type="pct"/>
                  <w:tcBorders>
                    <w:tl2br w:val="nil"/>
                    <w:tr2bl w:val="nil"/>
                  </w:tcBorders>
                  <w:noWrap w:val="0"/>
                  <w:vAlign w:val="center"/>
                </w:tcPr>
                <w:p w14:paraId="05B62DBC">
                  <w:pPr>
                    <w:keepNext w:val="0"/>
                    <w:keepLines w:val="0"/>
                    <w:widowControl/>
                    <w:suppressLineNumbers w:val="0"/>
                    <w:jc w:val="center"/>
                    <w:textAlignment w:val="top"/>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sz w:val="21"/>
                      <w:szCs w:val="21"/>
                      <w:u w:val="none"/>
                      <w:lang w:val="en-US" w:eastAsia="zh-CN"/>
                    </w:rPr>
                    <w:t>500</w:t>
                  </w:r>
                </w:p>
              </w:tc>
              <w:tc>
                <w:tcPr>
                  <w:tcW w:w="570" w:type="pct"/>
                  <w:vMerge w:val="continue"/>
                  <w:tcBorders>
                    <w:tl2br w:val="nil"/>
                    <w:tr2bl w:val="nil"/>
                  </w:tcBorders>
                  <w:noWrap w:val="0"/>
                  <w:vAlign w:val="center"/>
                </w:tcPr>
                <w:p w14:paraId="76F8B7E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r>
            <w:tr w14:paraId="30AC3E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2" w:type="pct"/>
                  <w:tcBorders>
                    <w:tl2br w:val="nil"/>
                    <w:tr2bl w:val="nil"/>
                  </w:tcBorders>
                  <w:noWrap w:val="0"/>
                  <w:vAlign w:val="center"/>
                </w:tcPr>
                <w:p w14:paraId="74E1FFE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eastAsia="宋体"/>
                      <w:color w:val="auto"/>
                      <w:kern w:val="2"/>
                      <w:sz w:val="21"/>
                      <w:szCs w:val="21"/>
                      <w:lang w:val="en-US" w:eastAsia="zh-CN" w:bidi="ar-SA"/>
                    </w:rPr>
                  </w:pPr>
                  <w:r>
                    <w:rPr>
                      <w:rFonts w:hint="eastAsia"/>
                      <w:color w:val="auto"/>
                      <w:sz w:val="21"/>
                      <w:szCs w:val="21"/>
                      <w:lang w:val="en-US" w:eastAsia="zh-CN"/>
                    </w:rPr>
                    <w:t>11</w:t>
                  </w:r>
                </w:p>
              </w:tc>
              <w:tc>
                <w:tcPr>
                  <w:tcW w:w="962" w:type="pct"/>
                  <w:tcBorders>
                    <w:tl2br w:val="nil"/>
                    <w:tr2bl w:val="nil"/>
                  </w:tcBorders>
                  <w:noWrap w:val="0"/>
                  <w:vAlign w:val="center"/>
                </w:tcPr>
                <w:p w14:paraId="3DFABC46">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甲醇</w:t>
                  </w:r>
                </w:p>
              </w:tc>
              <w:tc>
                <w:tcPr>
                  <w:tcW w:w="845" w:type="pct"/>
                  <w:tcBorders>
                    <w:tl2br w:val="nil"/>
                    <w:tr2bl w:val="nil"/>
                  </w:tcBorders>
                  <w:noWrap w:val="0"/>
                  <w:vAlign w:val="center"/>
                </w:tcPr>
                <w:p w14:paraId="1C4C4FB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液态</w:t>
                  </w:r>
                </w:p>
              </w:tc>
              <w:tc>
                <w:tcPr>
                  <w:tcW w:w="845" w:type="pct"/>
                  <w:tcBorders>
                    <w:tl2br w:val="nil"/>
                    <w:tr2bl w:val="nil"/>
                  </w:tcBorders>
                  <w:noWrap w:val="0"/>
                  <w:vAlign w:val="center"/>
                </w:tcPr>
                <w:p w14:paraId="3FA90D1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升</w:t>
                  </w:r>
                </w:p>
              </w:tc>
              <w:tc>
                <w:tcPr>
                  <w:tcW w:w="681" w:type="pct"/>
                  <w:tcBorders>
                    <w:tl2br w:val="nil"/>
                    <w:tr2bl w:val="nil"/>
                  </w:tcBorders>
                  <w:noWrap w:val="0"/>
                  <w:vAlign w:val="center"/>
                </w:tcPr>
                <w:p w14:paraId="7EAD8C87">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sz w:val="21"/>
                      <w:szCs w:val="21"/>
                      <w:u w:val="none"/>
                      <w:lang w:val="en-US" w:eastAsia="zh-CN"/>
                    </w:rPr>
                    <w:t>200</w:t>
                  </w:r>
                </w:p>
              </w:tc>
              <w:tc>
                <w:tcPr>
                  <w:tcW w:w="722" w:type="pct"/>
                  <w:tcBorders>
                    <w:tl2br w:val="nil"/>
                    <w:tr2bl w:val="nil"/>
                  </w:tcBorders>
                  <w:noWrap w:val="0"/>
                  <w:vAlign w:val="center"/>
                </w:tcPr>
                <w:p w14:paraId="4AF253B0">
                  <w:pPr>
                    <w:keepNext w:val="0"/>
                    <w:keepLines w:val="0"/>
                    <w:widowControl/>
                    <w:suppressLineNumbers w:val="0"/>
                    <w:jc w:val="center"/>
                    <w:textAlignment w:val="top"/>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sz w:val="21"/>
                      <w:szCs w:val="21"/>
                      <w:u w:val="none"/>
                      <w:lang w:val="en-US" w:eastAsia="zh-CN"/>
                    </w:rPr>
                    <w:t>50</w:t>
                  </w:r>
                </w:p>
              </w:tc>
              <w:tc>
                <w:tcPr>
                  <w:tcW w:w="570" w:type="pct"/>
                  <w:vMerge w:val="continue"/>
                  <w:tcBorders>
                    <w:tl2br w:val="nil"/>
                    <w:tr2bl w:val="nil"/>
                  </w:tcBorders>
                  <w:noWrap w:val="0"/>
                  <w:vAlign w:val="center"/>
                </w:tcPr>
                <w:p w14:paraId="3BFD7C2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r>
            <w:tr w14:paraId="5C995C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2" w:type="pct"/>
                  <w:tcBorders>
                    <w:tl2br w:val="nil"/>
                    <w:tr2bl w:val="nil"/>
                  </w:tcBorders>
                  <w:noWrap w:val="0"/>
                  <w:vAlign w:val="center"/>
                </w:tcPr>
                <w:p w14:paraId="02A685B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eastAsia="宋体"/>
                      <w:color w:val="auto"/>
                      <w:kern w:val="2"/>
                      <w:sz w:val="21"/>
                      <w:szCs w:val="21"/>
                      <w:lang w:val="en-US" w:eastAsia="zh-CN" w:bidi="ar-SA"/>
                    </w:rPr>
                  </w:pPr>
                  <w:r>
                    <w:rPr>
                      <w:rFonts w:hint="eastAsia"/>
                      <w:color w:val="auto"/>
                      <w:sz w:val="21"/>
                      <w:szCs w:val="21"/>
                      <w:lang w:val="en-US" w:eastAsia="zh-CN"/>
                    </w:rPr>
                    <w:t>12</w:t>
                  </w:r>
                </w:p>
              </w:tc>
              <w:tc>
                <w:tcPr>
                  <w:tcW w:w="962" w:type="pct"/>
                  <w:tcBorders>
                    <w:tl2br w:val="nil"/>
                    <w:tr2bl w:val="nil"/>
                  </w:tcBorders>
                  <w:noWrap w:val="0"/>
                  <w:vAlign w:val="center"/>
                </w:tcPr>
                <w:p w14:paraId="044B8A3A">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cs="宋体"/>
                      <w:i w:val="0"/>
                      <w:iCs w:val="0"/>
                      <w:color w:val="auto"/>
                      <w:sz w:val="21"/>
                      <w:szCs w:val="21"/>
                      <w:u w:val="none"/>
                      <w:lang w:val="en-US" w:eastAsia="zh-CN"/>
                    </w:rPr>
                    <w:t>双氧水</w:t>
                  </w:r>
                </w:p>
              </w:tc>
              <w:tc>
                <w:tcPr>
                  <w:tcW w:w="845" w:type="pct"/>
                  <w:tcBorders>
                    <w:tl2br w:val="nil"/>
                    <w:tr2bl w:val="nil"/>
                  </w:tcBorders>
                  <w:noWrap w:val="0"/>
                  <w:vAlign w:val="center"/>
                </w:tcPr>
                <w:p w14:paraId="78287117">
                  <w:pPr>
                    <w:keepNext w:val="0"/>
                    <w:keepLines w:val="0"/>
                    <w:widowControl/>
                    <w:suppressLineNumbers w:val="0"/>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液态</w:t>
                  </w:r>
                </w:p>
              </w:tc>
              <w:tc>
                <w:tcPr>
                  <w:tcW w:w="845" w:type="pct"/>
                  <w:tcBorders>
                    <w:tl2br w:val="nil"/>
                    <w:tr2bl w:val="nil"/>
                  </w:tcBorders>
                  <w:noWrap w:val="0"/>
                  <w:vAlign w:val="center"/>
                </w:tcPr>
                <w:p w14:paraId="7AD1DD85">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sz w:val="21"/>
                      <w:szCs w:val="21"/>
                      <w:u w:val="none"/>
                      <w:lang w:val="en-US" w:eastAsia="zh-CN"/>
                    </w:rPr>
                    <w:t>升</w:t>
                  </w:r>
                </w:p>
              </w:tc>
              <w:tc>
                <w:tcPr>
                  <w:tcW w:w="681" w:type="pct"/>
                  <w:tcBorders>
                    <w:tl2br w:val="nil"/>
                    <w:tr2bl w:val="nil"/>
                  </w:tcBorders>
                  <w:noWrap w:val="0"/>
                  <w:vAlign w:val="center"/>
                </w:tcPr>
                <w:p w14:paraId="35AA29C9">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sz w:val="21"/>
                      <w:szCs w:val="21"/>
                      <w:u w:val="none"/>
                      <w:lang w:val="en-US" w:eastAsia="zh-CN"/>
                    </w:rPr>
                    <w:t>2.5</w:t>
                  </w:r>
                </w:p>
              </w:tc>
              <w:tc>
                <w:tcPr>
                  <w:tcW w:w="722" w:type="pct"/>
                  <w:tcBorders>
                    <w:tl2br w:val="nil"/>
                    <w:tr2bl w:val="nil"/>
                  </w:tcBorders>
                  <w:noWrap w:val="0"/>
                  <w:vAlign w:val="center"/>
                </w:tcPr>
                <w:p w14:paraId="25EDD525">
                  <w:pPr>
                    <w:keepNext w:val="0"/>
                    <w:keepLines w:val="0"/>
                    <w:widowControl/>
                    <w:suppressLineNumbers w:val="0"/>
                    <w:jc w:val="center"/>
                    <w:textAlignment w:val="top"/>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sz w:val="21"/>
                      <w:szCs w:val="21"/>
                      <w:u w:val="none"/>
                      <w:lang w:val="en-US" w:eastAsia="zh-CN"/>
                    </w:rPr>
                    <w:t>1</w:t>
                  </w:r>
                </w:p>
              </w:tc>
              <w:tc>
                <w:tcPr>
                  <w:tcW w:w="570" w:type="pct"/>
                  <w:vMerge w:val="continue"/>
                  <w:tcBorders>
                    <w:tl2br w:val="nil"/>
                    <w:tr2bl w:val="nil"/>
                  </w:tcBorders>
                  <w:noWrap w:val="0"/>
                  <w:vAlign w:val="center"/>
                </w:tcPr>
                <w:p w14:paraId="59A9E42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r>
            <w:tr w14:paraId="75C711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trPr>
              <w:tc>
                <w:tcPr>
                  <w:tcW w:w="372" w:type="pct"/>
                  <w:tcBorders>
                    <w:tl2br w:val="nil"/>
                    <w:tr2bl w:val="nil"/>
                  </w:tcBorders>
                  <w:noWrap w:val="0"/>
                  <w:vAlign w:val="center"/>
                </w:tcPr>
                <w:p w14:paraId="571119A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eastAsia="宋体"/>
                      <w:color w:val="auto"/>
                      <w:kern w:val="2"/>
                      <w:sz w:val="21"/>
                      <w:szCs w:val="21"/>
                      <w:lang w:val="en-US" w:eastAsia="zh-CN" w:bidi="ar-SA"/>
                    </w:rPr>
                  </w:pPr>
                  <w:r>
                    <w:rPr>
                      <w:rFonts w:hint="eastAsia"/>
                      <w:color w:val="auto"/>
                      <w:sz w:val="21"/>
                      <w:szCs w:val="21"/>
                      <w:lang w:val="en-US" w:eastAsia="zh-CN"/>
                    </w:rPr>
                    <w:t>13</w:t>
                  </w:r>
                </w:p>
              </w:tc>
              <w:tc>
                <w:tcPr>
                  <w:tcW w:w="962" w:type="pct"/>
                  <w:tcBorders>
                    <w:tl2br w:val="nil"/>
                    <w:tr2bl w:val="nil"/>
                  </w:tcBorders>
                  <w:noWrap w:val="0"/>
                  <w:vAlign w:val="center"/>
                </w:tcPr>
                <w:p w14:paraId="6B6843F9">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Style w:val="63"/>
                      <w:rFonts w:eastAsia="宋体"/>
                      <w:color w:val="auto"/>
                      <w:lang w:val="en-US" w:eastAsia="zh-CN" w:bidi="ar"/>
                    </w:rPr>
                    <w:t>PET</w:t>
                  </w:r>
                  <w:r>
                    <w:rPr>
                      <w:rStyle w:val="64"/>
                      <w:rFonts w:hint="eastAsia"/>
                      <w:color w:val="auto"/>
                      <w:lang w:val="en-US" w:eastAsia="zh-CN" w:bidi="ar"/>
                    </w:rPr>
                    <w:t>膜</w:t>
                  </w:r>
                </w:p>
              </w:tc>
              <w:tc>
                <w:tcPr>
                  <w:tcW w:w="845" w:type="pct"/>
                  <w:tcBorders>
                    <w:tl2br w:val="nil"/>
                    <w:tr2bl w:val="nil"/>
                  </w:tcBorders>
                  <w:noWrap w:val="0"/>
                  <w:vAlign w:val="center"/>
                </w:tcPr>
                <w:p w14:paraId="22DE7DBF">
                  <w:pPr>
                    <w:keepNext w:val="0"/>
                    <w:keepLines w:val="0"/>
                    <w:widowControl/>
                    <w:suppressLineNumbers w:val="0"/>
                    <w:jc w:val="center"/>
                    <w:textAlignment w:val="top"/>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固态</w:t>
                  </w:r>
                </w:p>
              </w:tc>
              <w:tc>
                <w:tcPr>
                  <w:tcW w:w="845" w:type="pct"/>
                  <w:tcBorders>
                    <w:tl2br w:val="nil"/>
                    <w:tr2bl w:val="nil"/>
                  </w:tcBorders>
                  <w:noWrap w:val="0"/>
                  <w:vAlign w:val="center"/>
                </w:tcPr>
                <w:p w14:paraId="06736CD6">
                  <w:pPr>
                    <w:keepNext w:val="0"/>
                    <w:keepLines w:val="0"/>
                    <w:widowControl/>
                    <w:suppressLineNumbers w:val="0"/>
                    <w:jc w:val="center"/>
                    <w:textAlignment w:val="top"/>
                    <w:rPr>
                      <w:rFonts w:hint="eastAsia" w:ascii="Times New Roman" w:hAnsi="Times New Roman" w:eastAsia="宋体" w:cs="Times New Roman"/>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米</w:t>
                  </w:r>
                </w:p>
              </w:tc>
              <w:tc>
                <w:tcPr>
                  <w:tcW w:w="681" w:type="pct"/>
                  <w:tcBorders>
                    <w:tl2br w:val="nil"/>
                    <w:tr2bl w:val="nil"/>
                  </w:tcBorders>
                  <w:noWrap w:val="0"/>
                  <w:vAlign w:val="center"/>
                </w:tcPr>
                <w:p w14:paraId="6768796D">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6000</w:t>
                  </w:r>
                </w:p>
              </w:tc>
              <w:tc>
                <w:tcPr>
                  <w:tcW w:w="722" w:type="pct"/>
                  <w:tcBorders>
                    <w:tl2br w:val="nil"/>
                    <w:tr2bl w:val="nil"/>
                  </w:tcBorders>
                  <w:noWrap w:val="0"/>
                  <w:vAlign w:val="center"/>
                </w:tcPr>
                <w:p w14:paraId="35117515">
                  <w:pPr>
                    <w:keepNext w:val="0"/>
                    <w:keepLines w:val="0"/>
                    <w:widowControl/>
                    <w:suppressLineNumbers w:val="0"/>
                    <w:jc w:val="center"/>
                    <w:textAlignment w:val="top"/>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6000</w:t>
                  </w:r>
                </w:p>
              </w:tc>
              <w:tc>
                <w:tcPr>
                  <w:tcW w:w="570" w:type="pct"/>
                  <w:vMerge w:val="continue"/>
                  <w:tcBorders>
                    <w:tl2br w:val="nil"/>
                    <w:tr2bl w:val="nil"/>
                  </w:tcBorders>
                  <w:noWrap w:val="0"/>
                  <w:vAlign w:val="center"/>
                </w:tcPr>
                <w:p w14:paraId="2717905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r>
            <w:tr w14:paraId="4BF16F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2" w:type="pct"/>
                  <w:tcBorders>
                    <w:tl2br w:val="nil"/>
                    <w:tr2bl w:val="nil"/>
                  </w:tcBorders>
                  <w:noWrap w:val="0"/>
                  <w:vAlign w:val="center"/>
                </w:tcPr>
                <w:p w14:paraId="037C145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eastAsia="宋体"/>
                      <w:color w:val="auto"/>
                      <w:kern w:val="2"/>
                      <w:sz w:val="21"/>
                      <w:szCs w:val="21"/>
                      <w:lang w:val="en-US" w:eastAsia="zh-CN" w:bidi="ar-SA"/>
                    </w:rPr>
                  </w:pPr>
                  <w:r>
                    <w:rPr>
                      <w:rFonts w:hint="eastAsia"/>
                      <w:color w:val="auto"/>
                      <w:sz w:val="21"/>
                      <w:szCs w:val="21"/>
                      <w:lang w:val="en-US" w:eastAsia="zh-CN"/>
                    </w:rPr>
                    <w:t>14</w:t>
                  </w:r>
                </w:p>
              </w:tc>
              <w:tc>
                <w:tcPr>
                  <w:tcW w:w="962" w:type="pct"/>
                  <w:tcBorders>
                    <w:tl2br w:val="nil"/>
                    <w:tr2bl w:val="nil"/>
                  </w:tcBorders>
                  <w:noWrap w:val="0"/>
                  <w:vAlign w:val="center"/>
                </w:tcPr>
                <w:p w14:paraId="68204ED5">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cs="宋体"/>
                      <w:i w:val="0"/>
                      <w:iCs w:val="0"/>
                      <w:color w:val="auto"/>
                      <w:kern w:val="0"/>
                      <w:sz w:val="21"/>
                      <w:szCs w:val="21"/>
                      <w:u w:val="none"/>
                      <w:lang w:val="en-US" w:eastAsia="zh-CN" w:bidi="ar"/>
                    </w:rPr>
                    <w:t>有机硅压敏</w:t>
                  </w:r>
                  <w:r>
                    <w:rPr>
                      <w:rFonts w:hint="eastAsia" w:ascii="宋体" w:hAnsi="宋体" w:eastAsia="宋体" w:cs="宋体"/>
                      <w:i w:val="0"/>
                      <w:iCs w:val="0"/>
                      <w:color w:val="auto"/>
                      <w:kern w:val="0"/>
                      <w:sz w:val="21"/>
                      <w:szCs w:val="21"/>
                      <w:u w:val="none"/>
                      <w:lang w:val="en-US" w:eastAsia="zh-CN" w:bidi="ar"/>
                    </w:rPr>
                    <w:t>胶</w:t>
                  </w:r>
                </w:p>
              </w:tc>
              <w:tc>
                <w:tcPr>
                  <w:tcW w:w="845" w:type="pct"/>
                  <w:tcBorders>
                    <w:tl2br w:val="nil"/>
                    <w:tr2bl w:val="nil"/>
                  </w:tcBorders>
                  <w:noWrap w:val="0"/>
                  <w:vAlign w:val="center"/>
                </w:tcPr>
                <w:p w14:paraId="5942B92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液态</w:t>
                  </w:r>
                </w:p>
              </w:tc>
              <w:tc>
                <w:tcPr>
                  <w:tcW w:w="845" w:type="pct"/>
                  <w:tcBorders>
                    <w:tl2br w:val="nil"/>
                    <w:tr2bl w:val="nil"/>
                  </w:tcBorders>
                  <w:noWrap w:val="0"/>
                  <w:vAlign w:val="center"/>
                </w:tcPr>
                <w:p w14:paraId="31F60962">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千克</w:t>
                  </w:r>
                </w:p>
              </w:tc>
              <w:tc>
                <w:tcPr>
                  <w:tcW w:w="681" w:type="pct"/>
                  <w:tcBorders>
                    <w:tl2br w:val="nil"/>
                    <w:tr2bl w:val="nil"/>
                  </w:tcBorders>
                  <w:noWrap w:val="0"/>
                  <w:vAlign w:val="center"/>
                </w:tcPr>
                <w:p w14:paraId="655E4E04">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722" w:type="pct"/>
                  <w:tcBorders>
                    <w:tl2br w:val="nil"/>
                    <w:tr2bl w:val="nil"/>
                  </w:tcBorders>
                  <w:noWrap w:val="0"/>
                  <w:vAlign w:val="center"/>
                </w:tcPr>
                <w:p w14:paraId="3EE84FDE">
                  <w:pPr>
                    <w:keepNext w:val="0"/>
                    <w:keepLines w:val="0"/>
                    <w:widowControl/>
                    <w:suppressLineNumbers w:val="0"/>
                    <w:jc w:val="center"/>
                    <w:textAlignment w:val="top"/>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50</w:t>
                  </w:r>
                </w:p>
              </w:tc>
              <w:tc>
                <w:tcPr>
                  <w:tcW w:w="570" w:type="pct"/>
                  <w:vMerge w:val="continue"/>
                  <w:tcBorders>
                    <w:tl2br w:val="nil"/>
                    <w:tr2bl w:val="nil"/>
                  </w:tcBorders>
                  <w:noWrap w:val="0"/>
                  <w:vAlign w:val="center"/>
                </w:tcPr>
                <w:p w14:paraId="5E8C82B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r>
            <w:tr w14:paraId="4637C6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2" w:type="pct"/>
                  <w:tcBorders>
                    <w:tl2br w:val="nil"/>
                    <w:tr2bl w:val="nil"/>
                  </w:tcBorders>
                  <w:noWrap w:val="0"/>
                  <w:vAlign w:val="center"/>
                </w:tcPr>
                <w:p w14:paraId="00D1DF1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eastAsia="宋体"/>
                      <w:color w:val="auto"/>
                      <w:kern w:val="2"/>
                      <w:sz w:val="21"/>
                      <w:szCs w:val="21"/>
                      <w:lang w:val="en-US" w:eastAsia="zh-CN" w:bidi="ar-SA"/>
                    </w:rPr>
                  </w:pPr>
                  <w:r>
                    <w:rPr>
                      <w:rFonts w:hint="eastAsia"/>
                      <w:color w:val="auto"/>
                      <w:sz w:val="21"/>
                      <w:szCs w:val="21"/>
                      <w:lang w:val="en-US" w:eastAsia="zh-CN"/>
                    </w:rPr>
                    <w:t>15</w:t>
                  </w:r>
                </w:p>
              </w:tc>
              <w:tc>
                <w:tcPr>
                  <w:tcW w:w="962" w:type="pct"/>
                  <w:tcBorders>
                    <w:tl2br w:val="nil"/>
                    <w:tr2bl w:val="nil"/>
                  </w:tcBorders>
                  <w:noWrap w:val="0"/>
                  <w:vAlign w:val="center"/>
                </w:tcPr>
                <w:p w14:paraId="3E189659">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离型膜</w:t>
                  </w:r>
                </w:p>
              </w:tc>
              <w:tc>
                <w:tcPr>
                  <w:tcW w:w="845" w:type="pct"/>
                  <w:tcBorders>
                    <w:tl2br w:val="nil"/>
                    <w:tr2bl w:val="nil"/>
                  </w:tcBorders>
                  <w:noWrap w:val="0"/>
                  <w:vAlign w:val="center"/>
                </w:tcPr>
                <w:p w14:paraId="295897D8">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固态</w:t>
                  </w:r>
                </w:p>
              </w:tc>
              <w:tc>
                <w:tcPr>
                  <w:tcW w:w="845" w:type="pct"/>
                  <w:tcBorders>
                    <w:tl2br w:val="nil"/>
                    <w:tr2bl w:val="nil"/>
                  </w:tcBorders>
                  <w:noWrap w:val="0"/>
                  <w:vAlign w:val="center"/>
                </w:tcPr>
                <w:p w14:paraId="03BD9D2B">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681" w:type="pct"/>
                  <w:tcBorders>
                    <w:tl2br w:val="nil"/>
                    <w:tr2bl w:val="nil"/>
                  </w:tcBorders>
                  <w:noWrap w:val="0"/>
                  <w:vAlign w:val="center"/>
                </w:tcPr>
                <w:p w14:paraId="560C8E2B">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0"/>
                      <w:sz w:val="21"/>
                      <w:szCs w:val="21"/>
                      <w:u w:val="none"/>
                      <w:lang w:val="en-US" w:eastAsia="zh-CN" w:bidi="ar"/>
                    </w:rPr>
                    <w:t>6</w:t>
                  </w:r>
                  <w:r>
                    <w:rPr>
                      <w:rFonts w:hint="default" w:ascii="Times New Roman" w:hAnsi="Times New Roman" w:eastAsia="宋体" w:cs="Times New Roman"/>
                      <w:i w:val="0"/>
                      <w:iCs w:val="0"/>
                      <w:color w:val="auto"/>
                      <w:kern w:val="0"/>
                      <w:sz w:val="21"/>
                      <w:szCs w:val="21"/>
                      <w:u w:val="none"/>
                      <w:lang w:val="en-US" w:eastAsia="zh-CN" w:bidi="ar"/>
                    </w:rPr>
                    <w:t>000</w:t>
                  </w:r>
                </w:p>
              </w:tc>
              <w:tc>
                <w:tcPr>
                  <w:tcW w:w="722" w:type="pct"/>
                  <w:tcBorders>
                    <w:tl2br w:val="nil"/>
                    <w:tr2bl w:val="nil"/>
                  </w:tcBorders>
                  <w:noWrap w:val="0"/>
                  <w:vAlign w:val="center"/>
                </w:tcPr>
                <w:p w14:paraId="42ED08D9">
                  <w:pPr>
                    <w:keepNext w:val="0"/>
                    <w:keepLines w:val="0"/>
                    <w:widowControl/>
                    <w:suppressLineNumbers w:val="0"/>
                    <w:jc w:val="center"/>
                    <w:textAlignment w:val="top"/>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3000</w:t>
                  </w:r>
                </w:p>
              </w:tc>
              <w:tc>
                <w:tcPr>
                  <w:tcW w:w="570" w:type="pct"/>
                  <w:vMerge w:val="continue"/>
                  <w:tcBorders>
                    <w:tl2br w:val="nil"/>
                    <w:tr2bl w:val="nil"/>
                  </w:tcBorders>
                  <w:noWrap w:val="0"/>
                  <w:vAlign w:val="center"/>
                </w:tcPr>
                <w:p w14:paraId="11A9948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r>
            <w:tr w14:paraId="551E2B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2" w:type="pct"/>
                  <w:tcBorders>
                    <w:tl2br w:val="nil"/>
                    <w:tr2bl w:val="nil"/>
                  </w:tcBorders>
                  <w:noWrap w:val="0"/>
                  <w:vAlign w:val="center"/>
                </w:tcPr>
                <w:p w14:paraId="5DDA0D7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eastAsia="宋体"/>
                      <w:color w:val="auto"/>
                      <w:kern w:val="2"/>
                      <w:sz w:val="21"/>
                      <w:szCs w:val="21"/>
                      <w:lang w:val="en-US" w:eastAsia="zh-CN" w:bidi="ar-SA"/>
                    </w:rPr>
                  </w:pPr>
                  <w:r>
                    <w:rPr>
                      <w:rFonts w:hint="eastAsia"/>
                      <w:color w:val="auto"/>
                      <w:sz w:val="21"/>
                      <w:szCs w:val="21"/>
                      <w:lang w:val="en-US" w:eastAsia="zh-CN"/>
                    </w:rPr>
                    <w:t>16</w:t>
                  </w:r>
                </w:p>
              </w:tc>
              <w:tc>
                <w:tcPr>
                  <w:tcW w:w="962" w:type="pct"/>
                  <w:tcBorders>
                    <w:tl2br w:val="nil"/>
                    <w:tr2bl w:val="nil"/>
                  </w:tcBorders>
                  <w:noWrap w:val="0"/>
                  <w:vAlign w:val="center"/>
                </w:tcPr>
                <w:p w14:paraId="501E99A2">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包装盒</w:t>
                  </w:r>
                </w:p>
              </w:tc>
              <w:tc>
                <w:tcPr>
                  <w:tcW w:w="845" w:type="pct"/>
                  <w:tcBorders>
                    <w:tl2br w:val="nil"/>
                    <w:tr2bl w:val="nil"/>
                  </w:tcBorders>
                  <w:noWrap w:val="0"/>
                  <w:vAlign w:val="center"/>
                </w:tcPr>
                <w:p w14:paraId="54FEE941">
                  <w:pPr>
                    <w:keepNext w:val="0"/>
                    <w:keepLines w:val="0"/>
                    <w:widowControl/>
                    <w:suppressLineNumbers w:val="0"/>
                    <w:jc w:val="center"/>
                    <w:textAlignment w:val="top"/>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固态</w:t>
                  </w:r>
                </w:p>
              </w:tc>
              <w:tc>
                <w:tcPr>
                  <w:tcW w:w="845" w:type="pct"/>
                  <w:tcBorders>
                    <w:tl2br w:val="nil"/>
                    <w:tr2bl w:val="nil"/>
                  </w:tcBorders>
                  <w:noWrap w:val="0"/>
                  <w:vAlign w:val="center"/>
                </w:tcPr>
                <w:p w14:paraId="30824246">
                  <w:pPr>
                    <w:keepNext w:val="0"/>
                    <w:keepLines w:val="0"/>
                    <w:widowControl/>
                    <w:suppressLineNumbers w:val="0"/>
                    <w:jc w:val="center"/>
                    <w:textAlignment w:val="top"/>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681" w:type="pct"/>
                  <w:tcBorders>
                    <w:tl2br w:val="nil"/>
                    <w:tr2bl w:val="nil"/>
                  </w:tcBorders>
                  <w:noWrap w:val="0"/>
                  <w:vAlign w:val="center"/>
                </w:tcPr>
                <w:p w14:paraId="7FE2FE09">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0"/>
                      <w:sz w:val="21"/>
                      <w:szCs w:val="21"/>
                      <w:u w:val="none"/>
                      <w:lang w:val="en-US" w:eastAsia="zh-CN" w:bidi="ar"/>
                    </w:rPr>
                    <w:t>6</w:t>
                  </w:r>
                  <w:r>
                    <w:rPr>
                      <w:rFonts w:hint="default" w:ascii="Times New Roman" w:hAnsi="Times New Roman" w:eastAsia="宋体" w:cs="Times New Roman"/>
                      <w:i w:val="0"/>
                      <w:iCs w:val="0"/>
                      <w:color w:val="auto"/>
                      <w:kern w:val="0"/>
                      <w:sz w:val="21"/>
                      <w:szCs w:val="21"/>
                      <w:u w:val="none"/>
                      <w:lang w:val="en-US" w:eastAsia="zh-CN" w:bidi="ar"/>
                    </w:rPr>
                    <w:t>000</w:t>
                  </w:r>
                </w:p>
              </w:tc>
              <w:tc>
                <w:tcPr>
                  <w:tcW w:w="722" w:type="pct"/>
                  <w:tcBorders>
                    <w:tl2br w:val="nil"/>
                    <w:tr2bl w:val="nil"/>
                  </w:tcBorders>
                  <w:noWrap w:val="0"/>
                  <w:vAlign w:val="center"/>
                </w:tcPr>
                <w:p w14:paraId="1DE32309">
                  <w:pPr>
                    <w:keepNext w:val="0"/>
                    <w:keepLines w:val="0"/>
                    <w:widowControl/>
                    <w:suppressLineNumbers w:val="0"/>
                    <w:jc w:val="center"/>
                    <w:textAlignment w:val="top"/>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3000</w:t>
                  </w:r>
                </w:p>
              </w:tc>
              <w:tc>
                <w:tcPr>
                  <w:tcW w:w="570" w:type="pct"/>
                  <w:vMerge w:val="continue"/>
                  <w:tcBorders>
                    <w:tl2br w:val="nil"/>
                    <w:tr2bl w:val="nil"/>
                  </w:tcBorders>
                  <w:noWrap w:val="0"/>
                  <w:vAlign w:val="center"/>
                </w:tcPr>
                <w:p w14:paraId="0103A73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r>
            <w:tr w14:paraId="16399B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trPr>
              <w:tc>
                <w:tcPr>
                  <w:tcW w:w="372" w:type="pct"/>
                  <w:tcBorders>
                    <w:tl2br w:val="nil"/>
                    <w:tr2bl w:val="nil"/>
                  </w:tcBorders>
                  <w:noWrap w:val="0"/>
                  <w:vAlign w:val="center"/>
                </w:tcPr>
                <w:p w14:paraId="3CAF271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eastAsia="宋体"/>
                      <w:color w:val="auto"/>
                      <w:kern w:val="2"/>
                      <w:sz w:val="21"/>
                      <w:szCs w:val="21"/>
                      <w:lang w:val="en-US" w:eastAsia="zh-CN" w:bidi="ar-SA"/>
                    </w:rPr>
                  </w:pPr>
                  <w:r>
                    <w:rPr>
                      <w:rFonts w:hint="eastAsia"/>
                      <w:color w:val="auto"/>
                      <w:sz w:val="21"/>
                      <w:szCs w:val="21"/>
                      <w:lang w:val="en-US" w:eastAsia="zh-CN"/>
                    </w:rPr>
                    <w:t>17</w:t>
                  </w:r>
                </w:p>
              </w:tc>
              <w:tc>
                <w:tcPr>
                  <w:tcW w:w="962" w:type="pct"/>
                  <w:tcBorders>
                    <w:tl2br w:val="nil"/>
                    <w:tr2bl w:val="nil"/>
                  </w:tcBorders>
                  <w:noWrap w:val="0"/>
                  <w:vAlign w:val="center"/>
                </w:tcPr>
                <w:p w14:paraId="27184EA9">
                  <w:pPr>
                    <w:jc w:val="center"/>
                    <w:rPr>
                      <w:rFonts w:hint="eastAsia" w:ascii="宋体" w:hAnsi="宋体" w:eastAsia="宋体" w:cs="宋体"/>
                      <w:i w:val="0"/>
                      <w:iCs w:val="0"/>
                      <w:color w:val="auto"/>
                      <w:kern w:val="2"/>
                      <w:sz w:val="21"/>
                      <w:szCs w:val="21"/>
                      <w:u w:val="none"/>
                      <w:lang w:val="en-US" w:eastAsia="zh-CN" w:bidi="ar-SA"/>
                    </w:rPr>
                  </w:pPr>
                  <w:r>
                    <w:rPr>
                      <w:rFonts w:hint="eastAsia" w:cs="Times New Roman"/>
                      <w:i w:val="0"/>
                      <w:iCs w:val="0"/>
                      <w:color w:val="auto"/>
                      <w:sz w:val="21"/>
                      <w:szCs w:val="21"/>
                      <w:u w:val="none"/>
                      <w:lang w:val="en-US" w:eastAsia="zh-CN"/>
                    </w:rPr>
                    <w:t>氢气</w:t>
                  </w:r>
                </w:p>
              </w:tc>
              <w:tc>
                <w:tcPr>
                  <w:tcW w:w="845" w:type="pct"/>
                  <w:tcBorders>
                    <w:tl2br w:val="nil"/>
                    <w:tr2bl w:val="nil"/>
                  </w:tcBorders>
                  <w:noWrap w:val="0"/>
                  <w:vAlign w:val="center"/>
                </w:tcPr>
                <w:p w14:paraId="23AA51A0">
                  <w:pPr>
                    <w:jc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气态（5L氢气钢瓶储存）</w:t>
                  </w:r>
                </w:p>
              </w:tc>
              <w:tc>
                <w:tcPr>
                  <w:tcW w:w="845" w:type="pct"/>
                  <w:tcBorders>
                    <w:tl2br w:val="nil"/>
                    <w:tr2bl w:val="nil"/>
                  </w:tcBorders>
                  <w:noWrap w:val="0"/>
                  <w:vAlign w:val="center"/>
                </w:tcPr>
                <w:p w14:paraId="388E5229">
                  <w:pPr>
                    <w:jc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sz w:val="21"/>
                      <w:szCs w:val="21"/>
                      <w:u w:val="none"/>
                      <w:lang w:val="en-US" w:eastAsia="zh-CN"/>
                    </w:rPr>
                    <w:t>升</w:t>
                  </w:r>
                </w:p>
              </w:tc>
              <w:tc>
                <w:tcPr>
                  <w:tcW w:w="681" w:type="pct"/>
                  <w:tcBorders>
                    <w:tl2br w:val="nil"/>
                    <w:tr2bl w:val="nil"/>
                  </w:tcBorders>
                  <w:noWrap w:val="0"/>
                  <w:vAlign w:val="center"/>
                </w:tcPr>
                <w:p w14:paraId="5B37C728">
                  <w:pPr>
                    <w:jc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sz w:val="21"/>
                      <w:szCs w:val="21"/>
                      <w:u w:val="none"/>
                      <w:lang w:val="en-US" w:eastAsia="zh-CN"/>
                    </w:rPr>
                    <w:t>5</w:t>
                  </w:r>
                </w:p>
              </w:tc>
              <w:tc>
                <w:tcPr>
                  <w:tcW w:w="722" w:type="pct"/>
                  <w:tcBorders>
                    <w:tl2br w:val="nil"/>
                    <w:tr2bl w:val="nil"/>
                  </w:tcBorders>
                  <w:noWrap w:val="0"/>
                  <w:vAlign w:val="center"/>
                </w:tcPr>
                <w:p w14:paraId="6EBF58AF">
                  <w:pPr>
                    <w:jc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sz w:val="21"/>
                      <w:szCs w:val="21"/>
                      <w:u w:val="none"/>
                      <w:lang w:val="en-US" w:eastAsia="zh-CN"/>
                    </w:rPr>
                    <w:t>5</w:t>
                  </w:r>
                </w:p>
              </w:tc>
              <w:tc>
                <w:tcPr>
                  <w:tcW w:w="570" w:type="pct"/>
                  <w:vMerge w:val="continue"/>
                  <w:tcBorders>
                    <w:tl2br w:val="nil"/>
                    <w:tr2bl w:val="nil"/>
                  </w:tcBorders>
                  <w:noWrap w:val="0"/>
                  <w:vAlign w:val="center"/>
                </w:tcPr>
                <w:p w14:paraId="26185FF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r>
          </w:tbl>
          <w:p w14:paraId="49FC4CDC">
            <w:pPr>
              <w:numPr>
                <w:ilvl w:val="0"/>
                <w:numId w:val="0"/>
              </w:numPr>
              <w:adjustRightInd w:val="0"/>
              <w:snapToGrid w:val="0"/>
              <w:spacing w:line="240" w:lineRule="auto"/>
              <w:jc w:val="center"/>
              <w:rPr>
                <w:rFonts w:hint="default" w:ascii="Times New Roman" w:hAnsi="Times New Roman" w:cs="Times New Roman"/>
                <w:b/>
                <w:bCs w:val="0"/>
                <w:color w:val="auto"/>
                <w:sz w:val="21"/>
                <w:szCs w:val="21"/>
                <w:lang w:val="en-US" w:eastAsia="zh-CN"/>
              </w:rPr>
            </w:pPr>
            <w:r>
              <w:rPr>
                <w:rFonts w:hint="default" w:ascii="Times New Roman" w:hAnsi="Times New Roman" w:cs="Times New Roman"/>
                <w:b/>
                <w:bCs w:val="0"/>
                <w:color w:val="auto"/>
                <w:sz w:val="24"/>
                <w:szCs w:val="24"/>
                <w:lang w:val="en-US" w:eastAsia="zh-CN"/>
              </w:rPr>
              <w:t>表2-5</w:t>
            </w:r>
            <w:r>
              <w:rPr>
                <w:rFonts w:hint="eastAsia" w:ascii="Times New Roman" w:hAnsi="Times New Roman" w:cs="Times New Roman"/>
                <w:b/>
                <w:bCs w:val="0"/>
                <w:color w:val="auto"/>
                <w:sz w:val="24"/>
                <w:szCs w:val="24"/>
                <w:lang w:val="en-US" w:eastAsia="zh-CN"/>
              </w:rPr>
              <w:t xml:space="preserve">  </w:t>
            </w:r>
            <w:r>
              <w:rPr>
                <w:rFonts w:hint="default" w:ascii="Times New Roman" w:hAnsi="Times New Roman" w:cs="Times New Roman"/>
                <w:b/>
                <w:bCs w:val="0"/>
                <w:color w:val="auto"/>
                <w:sz w:val="24"/>
                <w:szCs w:val="24"/>
                <w:lang w:val="en-US" w:eastAsia="zh-CN"/>
              </w:rPr>
              <w:t>主要原辅料理化性质一览表</w:t>
            </w:r>
          </w:p>
          <w:tbl>
            <w:tblPr>
              <w:tblStyle w:val="26"/>
              <w:tblW w:w="498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3"/>
              <w:gridCol w:w="857"/>
              <w:gridCol w:w="6972"/>
            </w:tblGrid>
            <w:tr w14:paraId="21BA28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9" w:hRule="atLeast"/>
                <w:jc w:val="center"/>
              </w:trPr>
              <w:tc>
                <w:tcPr>
                  <w:tcW w:w="285" w:type="pct"/>
                  <w:tcBorders>
                    <w:tl2br w:val="nil"/>
                    <w:tr2bl w:val="nil"/>
                  </w:tcBorders>
                  <w:noWrap w:val="0"/>
                  <w:vAlign w:val="center"/>
                </w:tcPr>
                <w:p w14:paraId="57734A28">
                  <w:pPr>
                    <w:pStyle w:val="56"/>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64"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516" w:type="pct"/>
                  <w:tcBorders>
                    <w:tl2br w:val="nil"/>
                    <w:tr2bl w:val="nil"/>
                  </w:tcBorders>
                  <w:noWrap w:val="0"/>
                  <w:vAlign w:val="center"/>
                </w:tcPr>
                <w:p w14:paraId="7F24731F">
                  <w:pPr>
                    <w:pStyle w:val="56"/>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64"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物质</w:t>
                  </w:r>
                </w:p>
                <w:p w14:paraId="11BC001B">
                  <w:pPr>
                    <w:pStyle w:val="56"/>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64"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4198" w:type="pct"/>
                  <w:tcBorders>
                    <w:tl2br w:val="nil"/>
                    <w:tr2bl w:val="nil"/>
                  </w:tcBorders>
                  <w:noWrap w:val="0"/>
                  <w:vAlign w:val="center"/>
                </w:tcPr>
                <w:p w14:paraId="244E6190">
                  <w:pPr>
                    <w:pStyle w:val="56"/>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64"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理化性质</w:t>
                  </w:r>
                </w:p>
              </w:tc>
            </w:tr>
            <w:tr w14:paraId="0DE12D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85" w:type="pct"/>
                  <w:tcBorders>
                    <w:tl2br w:val="nil"/>
                    <w:tr2bl w:val="nil"/>
                  </w:tcBorders>
                  <w:noWrap w:val="0"/>
                  <w:vAlign w:val="center"/>
                </w:tcPr>
                <w:p w14:paraId="37A6A224">
                  <w:pPr>
                    <w:pStyle w:val="56"/>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64"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w:t>
                  </w:r>
                </w:p>
              </w:tc>
              <w:tc>
                <w:tcPr>
                  <w:tcW w:w="516" w:type="pct"/>
                  <w:tcBorders>
                    <w:tl2br w:val="nil"/>
                    <w:tr2bl w:val="nil"/>
                  </w:tcBorders>
                  <w:noWrap w:val="0"/>
                  <w:vAlign w:val="center"/>
                </w:tcPr>
                <w:p w14:paraId="4820C002">
                  <w:pPr>
                    <w:keepNext w:val="0"/>
                    <w:keepLines w:val="0"/>
                    <w:pageBreakBefore w:val="0"/>
                    <w:kinsoku/>
                    <w:wordWrap/>
                    <w:overflowPunct/>
                    <w:autoSpaceDE/>
                    <w:autoSpaceDN/>
                    <w:bidi w:val="0"/>
                    <w:adjustRightInd w:val="0"/>
                    <w:snapToGrid w:val="0"/>
                    <w:spacing w:beforeAutospacing="0" w:afterAutospacing="0" w:line="264"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cs="Times New Roman"/>
                      <w:color w:val="auto"/>
                      <w:highlight w:val="none"/>
                    </w:rPr>
                    <w:t>全氟磺酸树脂</w:t>
                  </w:r>
                </w:p>
              </w:tc>
              <w:tc>
                <w:tcPr>
                  <w:tcW w:w="4198" w:type="pct"/>
                  <w:tcBorders>
                    <w:tl2br w:val="nil"/>
                    <w:tr2bl w:val="nil"/>
                  </w:tcBorders>
                  <w:noWrap w:val="0"/>
                  <w:vAlign w:val="center"/>
                </w:tcPr>
                <w:p w14:paraId="7F5474B4">
                  <w:pPr>
                    <w:rPr>
                      <w:rFonts w:hint="eastAsia" w:ascii="Times New Roman" w:hAnsi="Times New Roman" w:eastAsia="宋体" w:cs="Times New Roman"/>
                      <w:b/>
                      <w:bCs/>
                      <w:color w:val="auto"/>
                      <w:sz w:val="21"/>
                      <w:szCs w:val="21"/>
                      <w:highlight w:val="none"/>
                      <w:lang w:eastAsia="zh-CN"/>
                    </w:rPr>
                  </w:pPr>
                  <w:r>
                    <w:rPr>
                      <w:rFonts w:hint="default" w:ascii="Times New Roman" w:hAnsi="Times New Roman" w:cs="Times New Roman"/>
                      <w:color w:val="auto"/>
                      <w:highlight w:val="none"/>
                      <w:lang w:val="en-US" w:eastAsia="zh-CN"/>
                    </w:rPr>
                    <w:t>液态</w:t>
                  </w:r>
                  <w:r>
                    <w:rPr>
                      <w:rFonts w:hint="default" w:ascii="Times New Roman" w:hAnsi="Times New Roman" w:cs="Times New Roman"/>
                      <w:color w:val="auto"/>
                      <w:highlight w:val="none"/>
                    </w:rPr>
                    <w:t>，主要成分为全氟磺酸树脂，</w:t>
                  </w:r>
                  <w:r>
                    <w:rPr>
                      <w:rFonts w:hint="default" w:ascii="Times New Roman" w:hAnsi="Times New Roman" w:cs="Times New Roman"/>
                      <w:color w:val="auto"/>
                      <w:highlight w:val="none"/>
                      <w:lang w:val="en-US" w:eastAsia="zh-CN"/>
                    </w:rPr>
                    <w:t>密度为2.1g/mL，</w:t>
                  </w:r>
                  <w:r>
                    <w:rPr>
                      <w:rFonts w:hint="default" w:ascii="Times New Roman" w:hAnsi="Times New Roman" w:cs="Times New Roman"/>
                      <w:color w:val="auto"/>
                      <w:highlight w:val="none"/>
                    </w:rPr>
                    <w:t>具有良好的热稳定性，在200℃左右的温度下长期保持稳定，其热分解温度一般在3</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0℃以上。</w:t>
                  </w:r>
                </w:p>
              </w:tc>
            </w:tr>
            <w:tr w14:paraId="0A39FC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85" w:type="pct"/>
                  <w:tcBorders>
                    <w:tl2br w:val="nil"/>
                    <w:tr2bl w:val="nil"/>
                  </w:tcBorders>
                  <w:noWrap w:val="0"/>
                  <w:vAlign w:val="center"/>
                </w:tcPr>
                <w:p w14:paraId="0FB9E213">
                  <w:pPr>
                    <w:pStyle w:val="56"/>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64"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2</w:t>
                  </w:r>
                </w:p>
              </w:tc>
              <w:tc>
                <w:tcPr>
                  <w:tcW w:w="516" w:type="pct"/>
                  <w:tcBorders>
                    <w:tl2br w:val="nil"/>
                    <w:tr2bl w:val="nil"/>
                  </w:tcBorders>
                  <w:noWrap w:val="0"/>
                  <w:vAlign w:val="center"/>
                </w:tcPr>
                <w:p w14:paraId="1ECD177B">
                  <w:pPr>
                    <w:keepNext w:val="0"/>
                    <w:keepLines w:val="0"/>
                    <w:pageBreakBefore w:val="0"/>
                    <w:widowControl/>
                    <w:suppressLineNumbers w:val="0"/>
                    <w:kinsoku/>
                    <w:wordWrap/>
                    <w:overflowPunct/>
                    <w:autoSpaceDE/>
                    <w:autoSpaceDN/>
                    <w:bidi w:val="0"/>
                    <w:spacing w:beforeAutospacing="0" w:afterAutospacing="0" w:line="264" w:lineRule="auto"/>
                    <w:jc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膜电极催化剂溶剂</w:t>
                  </w:r>
                </w:p>
              </w:tc>
              <w:tc>
                <w:tcPr>
                  <w:tcW w:w="4198" w:type="pct"/>
                  <w:tcBorders>
                    <w:tl2br w:val="nil"/>
                    <w:tr2bl w:val="nil"/>
                  </w:tcBorders>
                  <w:noWrap w:val="0"/>
                  <w:vAlign w:val="center"/>
                </w:tcPr>
                <w:p w14:paraId="0C99EA7D">
                  <w:pPr>
                    <w:keepNext w:val="0"/>
                    <w:keepLines w:val="0"/>
                    <w:pageBreakBefore w:val="0"/>
                    <w:widowControl/>
                    <w:suppressLineNumbers w:val="0"/>
                    <w:kinsoku/>
                    <w:wordWrap/>
                    <w:overflowPunct/>
                    <w:autoSpaceDE/>
                    <w:autoSpaceDN/>
                    <w:bidi w:val="0"/>
                    <w:spacing w:beforeAutospacing="0" w:afterAutospacing="0" w:line="264" w:lineRule="auto"/>
                    <w:jc w:val="both"/>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主要包含N-甲基吡络烷酮、乙二醇二甲醚、去离子水、异丙醇。</w:t>
                  </w:r>
                </w:p>
              </w:tc>
            </w:tr>
            <w:tr w14:paraId="598263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85" w:type="pct"/>
                  <w:tcBorders>
                    <w:tl2br w:val="nil"/>
                    <w:tr2bl w:val="nil"/>
                  </w:tcBorders>
                  <w:noWrap w:val="0"/>
                  <w:vAlign w:val="center"/>
                </w:tcPr>
                <w:p w14:paraId="3EA9EEAC">
                  <w:pPr>
                    <w:pStyle w:val="56"/>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64" w:lineRule="auto"/>
                    <w:jc w:val="center"/>
                    <w:rPr>
                      <w:rFonts w:hint="default" w:ascii="Times New Roman" w:hAnsi="Times New Roman" w:eastAsia="宋体" w:cs="Times New Roman"/>
                      <w:b w:val="0"/>
                      <w:bCs w:val="0"/>
                      <w:snapToGrid w:val="0"/>
                      <w:color w:val="auto"/>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3</w:t>
                  </w:r>
                </w:p>
              </w:tc>
              <w:tc>
                <w:tcPr>
                  <w:tcW w:w="516" w:type="pct"/>
                  <w:tcBorders>
                    <w:tl2br w:val="nil"/>
                    <w:tr2bl w:val="nil"/>
                  </w:tcBorders>
                  <w:noWrap w:val="0"/>
                  <w:vAlign w:val="center"/>
                </w:tcPr>
                <w:p w14:paraId="6D709531">
                  <w:pPr>
                    <w:keepNext w:val="0"/>
                    <w:keepLines w:val="0"/>
                    <w:pageBreakBefore w:val="0"/>
                    <w:kinsoku/>
                    <w:wordWrap/>
                    <w:overflowPunct/>
                    <w:autoSpaceDE/>
                    <w:autoSpaceDN/>
                    <w:bidi w:val="0"/>
                    <w:adjustRightInd w:val="0"/>
                    <w:snapToGrid w:val="0"/>
                    <w:spacing w:beforeAutospacing="0" w:afterAutospacing="0" w:line="264" w:lineRule="auto"/>
                    <w:jc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双氧水</w:t>
                  </w:r>
                </w:p>
              </w:tc>
              <w:tc>
                <w:tcPr>
                  <w:tcW w:w="4198" w:type="pct"/>
                  <w:tcBorders>
                    <w:tl2br w:val="nil"/>
                    <w:tr2bl w:val="nil"/>
                  </w:tcBorders>
                  <w:noWrap w:val="0"/>
                  <w:vAlign w:val="center"/>
                </w:tcPr>
                <w:p w14:paraId="1813EBAF">
                  <w:pP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为无色、有轻微刺激性气味且透明的液体，在暗处较稳定，受热、光照或遇到某些杂质易分解为</w:t>
                  </w:r>
                  <w:r>
                    <w:rPr>
                      <w:rFonts w:hint="default" w:ascii="Times New Roman" w:hAnsi="Times New Roman" w:cs="Times New Roman"/>
                      <w:b w:val="0"/>
                      <w:bCs w:val="0"/>
                      <w:color w:val="auto"/>
                      <w:sz w:val="21"/>
                      <w:szCs w:val="21"/>
                      <w:highlight w:val="none"/>
                      <w:lang w:val="en-US" w:eastAsia="zh-CN"/>
                    </w:rPr>
                    <w:fldChar w:fldCharType="begin"/>
                  </w:r>
                  <w:r>
                    <w:rPr>
                      <w:rFonts w:hint="default" w:ascii="Times New Roman" w:hAnsi="Times New Roman" w:cs="Times New Roman"/>
                      <w:b w:val="0"/>
                      <w:bCs w:val="0"/>
                      <w:color w:val="auto"/>
                      <w:sz w:val="21"/>
                      <w:szCs w:val="21"/>
                      <w:highlight w:val="none"/>
                      <w:lang w:val="en-US" w:eastAsia="zh-CN"/>
                    </w:rPr>
                    <w:instrText xml:space="preserve"> HYPERLINK "https://baike.baidu.com/item/%E6%B0%A7%E6%B0%94/64782?fromModule=lemma_inlink" \t "https://baike.baidu.com/item/%E8%BF%87%E6%B0%A7%E5%8C%96%E6%B0%A2/_blank" </w:instrText>
                  </w:r>
                  <w:r>
                    <w:rPr>
                      <w:rFonts w:hint="default" w:ascii="Times New Roman" w:hAnsi="Times New Roman" w:cs="Times New Roman"/>
                      <w:b w:val="0"/>
                      <w:bCs w:val="0"/>
                      <w:color w:val="auto"/>
                      <w:sz w:val="21"/>
                      <w:szCs w:val="21"/>
                      <w:highlight w:val="none"/>
                      <w:lang w:val="en-US" w:eastAsia="zh-CN"/>
                    </w:rPr>
                    <w:fldChar w:fldCharType="separate"/>
                  </w:r>
                  <w:r>
                    <w:rPr>
                      <w:rFonts w:hint="default" w:ascii="Times New Roman" w:hAnsi="Times New Roman" w:cs="Times New Roman"/>
                      <w:b w:val="0"/>
                      <w:bCs w:val="0"/>
                      <w:color w:val="auto"/>
                      <w:sz w:val="21"/>
                      <w:szCs w:val="21"/>
                      <w:highlight w:val="none"/>
                      <w:lang w:val="en-US" w:eastAsia="zh-CN"/>
                    </w:rPr>
                    <w:t>氧气</w:t>
                  </w:r>
                  <w:r>
                    <w:rPr>
                      <w:rFonts w:hint="default" w:ascii="Times New Roman" w:hAnsi="Times New Roman" w:cs="Times New Roman"/>
                      <w:b w:val="0"/>
                      <w:bCs w:val="0"/>
                      <w:color w:val="auto"/>
                      <w:sz w:val="21"/>
                      <w:szCs w:val="21"/>
                      <w:highlight w:val="none"/>
                      <w:lang w:val="en-US" w:eastAsia="zh-CN"/>
                    </w:rPr>
                    <w:fldChar w:fldCharType="end"/>
                  </w:r>
                  <w:r>
                    <w:rPr>
                      <w:rFonts w:hint="default" w:ascii="Times New Roman" w:hAnsi="Times New Roman" w:cs="Times New Roman"/>
                      <w:b w:val="0"/>
                      <w:bCs w:val="0"/>
                      <w:color w:val="auto"/>
                      <w:sz w:val="21"/>
                      <w:szCs w:val="21"/>
                      <w:highlight w:val="none"/>
                      <w:lang w:val="en-US" w:eastAsia="zh-CN"/>
                    </w:rPr>
                    <w:t>和水，能以任意比例与水互溶。</w:t>
                  </w:r>
                </w:p>
              </w:tc>
            </w:tr>
            <w:tr w14:paraId="482EE5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85" w:type="pct"/>
                  <w:tcBorders>
                    <w:tl2br w:val="nil"/>
                    <w:tr2bl w:val="nil"/>
                  </w:tcBorders>
                  <w:noWrap w:val="0"/>
                  <w:vAlign w:val="center"/>
                </w:tcPr>
                <w:p w14:paraId="1E51CD6A">
                  <w:pPr>
                    <w:pStyle w:val="56"/>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64" w:lineRule="auto"/>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4</w:t>
                  </w:r>
                </w:p>
              </w:tc>
              <w:tc>
                <w:tcPr>
                  <w:tcW w:w="516" w:type="pct"/>
                  <w:tcBorders>
                    <w:tl2br w:val="nil"/>
                    <w:tr2bl w:val="nil"/>
                  </w:tcBorders>
                  <w:noWrap w:val="0"/>
                  <w:vAlign w:val="center"/>
                </w:tcPr>
                <w:p w14:paraId="2C385975">
                  <w:pPr>
                    <w:keepNext w:val="0"/>
                    <w:keepLines w:val="0"/>
                    <w:pageBreakBefore w:val="0"/>
                    <w:widowControl/>
                    <w:suppressLineNumbers w:val="0"/>
                    <w:kinsoku/>
                    <w:wordWrap/>
                    <w:overflowPunct/>
                    <w:autoSpaceDE/>
                    <w:autoSpaceDN/>
                    <w:bidi w:val="0"/>
                    <w:spacing w:beforeAutospacing="0" w:afterAutospacing="0" w:line="264" w:lineRule="auto"/>
                    <w:jc w:val="center"/>
                    <w:rPr>
                      <w:rFonts w:hint="eastAsia" w:ascii="Times New Roman" w:hAnsi="Times New Roman" w:eastAsia="宋体" w:cs="Times New Roman"/>
                      <w:b w:val="0"/>
                      <w:bCs w:val="0"/>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氧化钼</w:t>
                  </w:r>
                </w:p>
              </w:tc>
              <w:tc>
                <w:tcPr>
                  <w:tcW w:w="4198" w:type="pct"/>
                  <w:tcBorders>
                    <w:tl2br w:val="nil"/>
                    <w:tr2bl w:val="nil"/>
                  </w:tcBorders>
                  <w:noWrap w:val="0"/>
                  <w:vAlign w:val="center"/>
                </w:tcPr>
                <w:p w14:paraId="5A0A5103">
                  <w:pPr>
                    <w:keepNext w:val="0"/>
                    <w:keepLines w:val="0"/>
                    <w:pageBreakBefore w:val="0"/>
                    <w:widowControl/>
                    <w:suppressLineNumbers w:val="0"/>
                    <w:kinsoku/>
                    <w:wordWrap/>
                    <w:overflowPunct/>
                    <w:autoSpaceDE/>
                    <w:autoSpaceDN/>
                    <w:bidi w:val="0"/>
                    <w:spacing w:beforeAutospacing="0" w:afterAutospacing="0" w:line="264" w:lineRule="auto"/>
                    <w:jc w:val="both"/>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一种无机化合物，化学式为MoO</w:t>
                  </w:r>
                  <w:r>
                    <w:rPr>
                      <w:rFonts w:hint="default" w:ascii="Times New Roman" w:hAnsi="Times New Roman" w:eastAsia="宋体" w:cs="Times New Roman"/>
                      <w:b w:val="0"/>
                      <w:bCs w:val="0"/>
                      <w:color w:val="auto"/>
                      <w:kern w:val="0"/>
                      <w:sz w:val="21"/>
                      <w:szCs w:val="21"/>
                      <w:vertAlign w:val="subscript"/>
                      <w:lang w:val="en-US" w:eastAsia="zh-CN" w:bidi="ar"/>
                    </w:rPr>
                    <w:t>3</w:t>
                  </w:r>
                  <w:r>
                    <w:rPr>
                      <w:rFonts w:hint="default" w:ascii="Times New Roman" w:hAnsi="Times New Roman" w:eastAsia="宋体" w:cs="Times New Roman"/>
                      <w:b w:val="0"/>
                      <w:bCs w:val="0"/>
                      <w:color w:val="auto"/>
                      <w:kern w:val="0"/>
                      <w:sz w:val="21"/>
                      <w:szCs w:val="21"/>
                      <w:lang w:val="en-US" w:eastAsia="zh-CN" w:bidi="ar"/>
                    </w:rPr>
                    <w:t>，主要用于测定蛋白质、酚、砷、铅、铋等，也可用作五氧化二磷、三氧化砷、双氧水、酚和醇类的还原剂，还可用于制备钼盐、钼合金。</w:t>
                  </w:r>
                </w:p>
              </w:tc>
            </w:tr>
            <w:tr w14:paraId="302218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85" w:type="pct"/>
                  <w:tcBorders>
                    <w:tl2br w:val="nil"/>
                    <w:tr2bl w:val="nil"/>
                  </w:tcBorders>
                  <w:noWrap w:val="0"/>
                  <w:vAlign w:val="center"/>
                </w:tcPr>
                <w:p w14:paraId="55D19270">
                  <w:pPr>
                    <w:pStyle w:val="56"/>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64" w:lineRule="auto"/>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5</w:t>
                  </w:r>
                </w:p>
              </w:tc>
              <w:tc>
                <w:tcPr>
                  <w:tcW w:w="516" w:type="pct"/>
                  <w:tcBorders>
                    <w:tl2br w:val="nil"/>
                    <w:tr2bl w:val="nil"/>
                  </w:tcBorders>
                  <w:noWrap w:val="0"/>
                  <w:vAlign w:val="center"/>
                </w:tcPr>
                <w:p w14:paraId="3F666A5D">
                  <w:pPr>
                    <w:keepNext w:val="0"/>
                    <w:keepLines w:val="0"/>
                    <w:pageBreakBefore w:val="0"/>
                    <w:kinsoku/>
                    <w:wordWrap/>
                    <w:overflowPunct/>
                    <w:topLinePunct w:val="0"/>
                    <w:autoSpaceDE/>
                    <w:autoSpaceDN/>
                    <w:bidi w:val="0"/>
                    <w:adjustRightInd w:val="0"/>
                    <w:snapToGrid w:val="0"/>
                    <w:spacing w:beforeAutospacing="0" w:afterAutospacing="0" w:line="264" w:lineRule="auto"/>
                    <w:jc w:val="center"/>
                    <w:rPr>
                      <w:rFonts w:hint="eastAsia" w:ascii="Times New Roman" w:hAnsi="Times New Roman" w:eastAsia="宋体" w:cs="Times New Roman"/>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钯盐</w:t>
                  </w:r>
                </w:p>
              </w:tc>
              <w:tc>
                <w:tcPr>
                  <w:tcW w:w="4198" w:type="pct"/>
                  <w:tcBorders>
                    <w:tl2br w:val="nil"/>
                    <w:tr2bl w:val="nil"/>
                  </w:tcBorders>
                  <w:noWrap w:val="0"/>
                  <w:vAlign w:val="center"/>
                </w:tcPr>
                <w:p w14:paraId="0489E97B">
                  <w:pPr>
                    <w:keepNext w:val="0"/>
                    <w:keepLines w:val="0"/>
                    <w:pageBreakBefore w:val="0"/>
                    <w:widowControl/>
                    <w:numPr>
                      <w:ilvl w:val="0"/>
                      <w:numId w:val="0"/>
                    </w:numPr>
                    <w:suppressLineNumbers w:val="0"/>
                    <w:pBdr>
                      <w:left w:val="none" w:color="auto" w:sz="0" w:space="0"/>
                    </w:pBdr>
                    <w:kinsoku/>
                    <w:wordWrap/>
                    <w:overflowPunct/>
                    <w:autoSpaceDE/>
                    <w:autoSpaceDN/>
                    <w:bidi w:val="0"/>
                    <w:spacing w:beforeAutospacing="0" w:afterAutospacing="0" w:line="264" w:lineRule="auto"/>
                    <w:ind w:left="-60" w:leftChars="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i w:val="0"/>
                      <w:iCs w:val="0"/>
                      <w:caps w:val="0"/>
                      <w:color w:val="auto"/>
                      <w:spacing w:val="0"/>
                      <w:sz w:val="21"/>
                      <w:szCs w:val="21"/>
                      <w:shd w:val="clear" w:color="auto" w:fill="FFFFFF"/>
                      <w:lang w:val="en-US" w:eastAsia="zh-CN"/>
                    </w:rPr>
                    <w:t>全称为</w:t>
                  </w:r>
                  <w:r>
                    <w:rPr>
                      <w:rFonts w:hint="default" w:ascii="Times New Roman" w:hAnsi="Times New Roman" w:eastAsia="宋体" w:cs="Times New Roman"/>
                      <w:i w:val="0"/>
                      <w:iCs w:val="0"/>
                      <w:caps w:val="0"/>
                      <w:color w:val="auto"/>
                      <w:spacing w:val="0"/>
                      <w:sz w:val="21"/>
                      <w:szCs w:val="21"/>
                      <w:shd w:val="clear" w:color="auto" w:fill="FFFFFF"/>
                    </w:rPr>
                    <w:t>二(乙酰丙酮)钯(II)（Pd(acac)₂）</w:t>
                  </w:r>
                  <w:r>
                    <w:rPr>
                      <w:rFonts w:hint="eastAsia" w:ascii="Times New Roman" w:hAnsi="Times New Roman" w:eastAsia="宋体" w:cs="Times New Roman"/>
                      <w:i w:val="0"/>
                      <w:iCs w:val="0"/>
                      <w:caps w:val="0"/>
                      <w:color w:val="auto"/>
                      <w:spacing w:val="0"/>
                      <w:sz w:val="21"/>
                      <w:szCs w:val="21"/>
                      <w:shd w:val="clear" w:color="auto" w:fill="FFFFFF"/>
                      <w:lang w:eastAsia="zh-CN"/>
                    </w:rPr>
                    <w:t>，</w:t>
                  </w:r>
                  <w:r>
                    <w:rPr>
                      <w:rFonts w:hint="default" w:ascii="Times New Roman" w:hAnsi="Times New Roman" w:eastAsia="宋体" w:cs="Times New Roman"/>
                      <w:i w:val="0"/>
                      <w:iCs w:val="0"/>
                      <w:caps w:val="0"/>
                      <w:color w:val="auto"/>
                      <w:spacing w:val="0"/>
                      <w:sz w:val="21"/>
                      <w:szCs w:val="21"/>
                      <w:shd w:val="clear" w:color="auto" w:fill="FFFFFF"/>
                    </w:rPr>
                    <w:t>是一种橙黄色至黄色结晶性固体，分子式为C₁₀H₁₄O₄Pd，熔点约205°C（分解）。它难溶于水，但可溶于有机溶剂如苯、氯仿、丙酮等。该化合物中钯原子与两个乙酰丙酮基团通过氧原子螯合形成稳定的平面正方形配位结构。热稳定性较差，加热至分解温度时释放钯金属。化学性质上，它是一种常用的钯催化剂前体，在交叉偶联反应（如Suzuki、Heck反应）、氢化反应及C-H键活化中表现出高催化活性，对空气和湿度相对稳定，但需避光保存。</w:t>
                  </w:r>
                </w:p>
              </w:tc>
            </w:tr>
            <w:tr w14:paraId="3428A5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85" w:type="pct"/>
                  <w:tcBorders>
                    <w:tl2br w:val="nil"/>
                    <w:tr2bl w:val="nil"/>
                  </w:tcBorders>
                  <w:noWrap w:val="0"/>
                  <w:vAlign w:val="center"/>
                </w:tcPr>
                <w:p w14:paraId="100EBB8E">
                  <w:pPr>
                    <w:pStyle w:val="56"/>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64" w:lineRule="auto"/>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6</w:t>
                  </w:r>
                </w:p>
              </w:tc>
              <w:tc>
                <w:tcPr>
                  <w:tcW w:w="516" w:type="pct"/>
                  <w:tcBorders>
                    <w:tl2br w:val="nil"/>
                    <w:tr2bl w:val="nil"/>
                  </w:tcBorders>
                  <w:noWrap w:val="0"/>
                  <w:vAlign w:val="center"/>
                </w:tcPr>
                <w:p w14:paraId="63DB28A8">
                  <w:pPr>
                    <w:keepNext w:val="0"/>
                    <w:keepLines w:val="0"/>
                    <w:pageBreakBefore w:val="0"/>
                    <w:kinsoku/>
                    <w:wordWrap/>
                    <w:overflowPunct/>
                    <w:topLinePunct w:val="0"/>
                    <w:autoSpaceDE/>
                    <w:autoSpaceDN/>
                    <w:bidi w:val="0"/>
                    <w:adjustRightInd w:val="0"/>
                    <w:snapToGrid w:val="0"/>
                    <w:spacing w:beforeAutospacing="0" w:afterAutospacing="0" w:line="264" w:lineRule="auto"/>
                    <w:jc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甲酸</w:t>
                  </w:r>
                </w:p>
              </w:tc>
              <w:tc>
                <w:tcPr>
                  <w:tcW w:w="4198" w:type="pct"/>
                  <w:tcBorders>
                    <w:tl2br w:val="nil"/>
                    <w:tr2bl w:val="nil"/>
                  </w:tcBorders>
                  <w:noWrap w:val="0"/>
                  <w:vAlign w:val="center"/>
                </w:tcPr>
                <w:p w14:paraId="35FE3E54">
                  <w:pPr>
                    <w:keepNext w:val="0"/>
                    <w:keepLines w:val="0"/>
                    <w:pageBreakBefore w:val="0"/>
                    <w:widowControl/>
                    <w:numPr>
                      <w:ilvl w:val="0"/>
                      <w:numId w:val="0"/>
                    </w:numPr>
                    <w:suppressLineNumbers w:val="0"/>
                    <w:pBdr>
                      <w:left w:val="none" w:color="auto" w:sz="0" w:space="0"/>
                    </w:pBdr>
                    <w:kinsoku/>
                    <w:wordWrap/>
                    <w:overflowPunct/>
                    <w:autoSpaceDE/>
                    <w:autoSpaceDN/>
                    <w:bidi w:val="0"/>
                    <w:spacing w:beforeAutospacing="0" w:afterAutospacing="0" w:line="264" w:lineRule="auto"/>
                    <w:ind w:left="-60" w:leftChars="0" w:firstLine="0" w:firstLineChars="0"/>
                    <w:jc w:val="both"/>
                    <w:rPr>
                      <w:rFonts w:hint="eastAsia" w:ascii="Times New Roman" w:hAnsi="Times New Roman" w:eastAsia="宋体" w:cs="Times New Roman"/>
                      <w:i w:val="0"/>
                      <w:iCs w:val="0"/>
                      <w:caps w:val="0"/>
                      <w:color w:val="auto"/>
                      <w:spacing w:val="0"/>
                      <w:sz w:val="21"/>
                      <w:szCs w:val="21"/>
                      <w:shd w:val="clear" w:color="auto" w:fill="FFFFFF"/>
                      <w:lang w:val="en-US" w:eastAsia="zh-CN"/>
                    </w:rPr>
                  </w:pPr>
                  <w:r>
                    <w:rPr>
                      <w:rFonts w:hint="eastAsia" w:ascii="Times New Roman" w:hAnsi="Times New Roman" w:eastAsia="宋体" w:cs="Times New Roman"/>
                      <w:i w:val="0"/>
                      <w:iCs w:val="0"/>
                      <w:caps w:val="0"/>
                      <w:color w:val="auto"/>
                      <w:spacing w:val="0"/>
                      <w:sz w:val="21"/>
                      <w:szCs w:val="21"/>
                      <w:shd w:val="clear" w:color="auto" w:fill="FFFFFF"/>
                      <w:lang w:val="en-US" w:eastAsia="zh-CN"/>
                    </w:rPr>
                    <w:t>化学式为HCOOH或CH</w:t>
                  </w:r>
                  <w:r>
                    <w:rPr>
                      <w:rFonts w:hint="eastAsia" w:ascii="Times New Roman" w:hAnsi="Times New Roman" w:eastAsia="宋体" w:cs="Times New Roman"/>
                      <w:i w:val="0"/>
                      <w:iCs w:val="0"/>
                      <w:caps w:val="0"/>
                      <w:color w:val="auto"/>
                      <w:spacing w:val="0"/>
                      <w:sz w:val="21"/>
                      <w:szCs w:val="21"/>
                      <w:shd w:val="clear" w:color="auto" w:fill="FFFFFF"/>
                      <w:vertAlign w:val="subscript"/>
                      <w:lang w:val="en-US" w:eastAsia="zh-CN"/>
                    </w:rPr>
                    <w:t>2</w:t>
                  </w:r>
                  <w:r>
                    <w:rPr>
                      <w:rFonts w:hint="eastAsia" w:ascii="Times New Roman" w:hAnsi="Times New Roman" w:eastAsia="宋体" w:cs="Times New Roman"/>
                      <w:i w:val="0"/>
                      <w:iCs w:val="0"/>
                      <w:caps w:val="0"/>
                      <w:color w:val="auto"/>
                      <w:spacing w:val="0"/>
                      <w:sz w:val="21"/>
                      <w:szCs w:val="21"/>
                      <w:shd w:val="clear" w:color="auto" w:fill="FFFFFF"/>
                      <w:lang w:val="en-US" w:eastAsia="zh-CN"/>
                    </w:rPr>
                    <w:t>O</w:t>
                  </w:r>
                  <w:r>
                    <w:rPr>
                      <w:rFonts w:hint="eastAsia" w:ascii="Times New Roman" w:hAnsi="Times New Roman" w:eastAsia="宋体" w:cs="Times New Roman"/>
                      <w:i w:val="0"/>
                      <w:iCs w:val="0"/>
                      <w:caps w:val="0"/>
                      <w:color w:val="auto"/>
                      <w:spacing w:val="0"/>
                      <w:sz w:val="21"/>
                      <w:szCs w:val="21"/>
                      <w:shd w:val="clear" w:color="auto" w:fill="FFFFFF"/>
                      <w:vertAlign w:val="subscript"/>
                      <w:lang w:val="en-US" w:eastAsia="zh-CN"/>
                    </w:rPr>
                    <w:t>2</w:t>
                  </w:r>
                  <w:r>
                    <w:rPr>
                      <w:rFonts w:hint="eastAsia" w:ascii="Times New Roman" w:hAnsi="Times New Roman" w:eastAsia="宋体" w:cs="Times New Roman"/>
                      <w:i w:val="0"/>
                      <w:iCs w:val="0"/>
                      <w:caps w:val="0"/>
                      <w:color w:val="auto"/>
                      <w:spacing w:val="0"/>
                      <w:sz w:val="21"/>
                      <w:szCs w:val="21"/>
                      <w:shd w:val="clear" w:color="auto" w:fill="FFFFFF"/>
                      <w:lang w:val="en-US" w:eastAsia="zh-CN"/>
                    </w:rPr>
                    <w:t>，弱电解质、最简单的</w:t>
                  </w:r>
                  <w:r>
                    <w:rPr>
                      <w:rFonts w:hint="eastAsia" w:ascii="Times New Roman" w:hAnsi="Times New Roman" w:eastAsia="宋体" w:cs="Times New Roman"/>
                      <w:i w:val="0"/>
                      <w:iCs w:val="0"/>
                      <w:caps w:val="0"/>
                      <w:color w:val="auto"/>
                      <w:spacing w:val="0"/>
                      <w:sz w:val="21"/>
                      <w:szCs w:val="21"/>
                      <w:shd w:val="clear" w:color="auto" w:fill="FFFFFF"/>
                      <w:lang w:val="en-US" w:eastAsia="zh-CN"/>
                    </w:rPr>
                    <w:fldChar w:fldCharType="begin"/>
                  </w:r>
                  <w:r>
                    <w:rPr>
                      <w:rFonts w:hint="eastAsia" w:ascii="Times New Roman" w:hAnsi="Times New Roman" w:eastAsia="宋体" w:cs="Times New Roman"/>
                      <w:i w:val="0"/>
                      <w:iCs w:val="0"/>
                      <w:caps w:val="0"/>
                      <w:color w:val="auto"/>
                      <w:spacing w:val="0"/>
                      <w:sz w:val="21"/>
                      <w:szCs w:val="21"/>
                      <w:shd w:val="clear" w:color="auto" w:fill="FFFFFF"/>
                      <w:lang w:val="en-US" w:eastAsia="zh-CN"/>
                    </w:rPr>
                    <w:instrText xml:space="preserve"> HYPERLINK "https://baike.baidu.com/item/%E8%84%82%E8%82%AA%E9%85%B8/478673?fromModule=lemma_inlink" \t "https://baike.baidu.com/item/%E7%94%B2%E9%85%B8/_blank" </w:instrText>
                  </w:r>
                  <w:r>
                    <w:rPr>
                      <w:rFonts w:hint="eastAsia" w:ascii="Times New Roman" w:hAnsi="Times New Roman" w:eastAsia="宋体" w:cs="Times New Roman"/>
                      <w:i w:val="0"/>
                      <w:iCs w:val="0"/>
                      <w:caps w:val="0"/>
                      <w:color w:val="auto"/>
                      <w:spacing w:val="0"/>
                      <w:sz w:val="21"/>
                      <w:szCs w:val="21"/>
                      <w:shd w:val="clear" w:color="auto" w:fill="FFFFFF"/>
                      <w:lang w:val="en-US" w:eastAsia="zh-CN"/>
                    </w:rPr>
                    <w:fldChar w:fldCharType="separate"/>
                  </w:r>
                  <w:r>
                    <w:rPr>
                      <w:rFonts w:hint="eastAsia" w:ascii="Times New Roman" w:hAnsi="Times New Roman" w:eastAsia="宋体" w:cs="Times New Roman"/>
                      <w:i w:val="0"/>
                      <w:iCs w:val="0"/>
                      <w:caps w:val="0"/>
                      <w:color w:val="auto"/>
                      <w:spacing w:val="0"/>
                      <w:sz w:val="21"/>
                      <w:szCs w:val="21"/>
                      <w:shd w:val="clear" w:color="auto" w:fill="FFFFFF"/>
                      <w:lang w:val="en-US" w:eastAsia="zh-CN"/>
                    </w:rPr>
                    <w:t>脂肪酸</w:t>
                  </w:r>
                  <w:r>
                    <w:rPr>
                      <w:rFonts w:hint="eastAsia" w:ascii="Times New Roman" w:hAnsi="Times New Roman" w:eastAsia="宋体" w:cs="Times New Roman"/>
                      <w:i w:val="0"/>
                      <w:iCs w:val="0"/>
                      <w:caps w:val="0"/>
                      <w:color w:val="auto"/>
                      <w:spacing w:val="0"/>
                      <w:sz w:val="21"/>
                      <w:szCs w:val="21"/>
                      <w:shd w:val="clear" w:color="auto" w:fill="FFFFFF"/>
                      <w:lang w:val="en-US" w:eastAsia="zh-CN"/>
                    </w:rPr>
                    <w:fldChar w:fldCharType="end"/>
                  </w:r>
                  <w:r>
                    <w:rPr>
                      <w:rFonts w:hint="eastAsia" w:ascii="Times New Roman" w:hAnsi="Times New Roman" w:eastAsia="宋体" w:cs="Times New Roman"/>
                      <w:i w:val="0"/>
                      <w:iCs w:val="0"/>
                      <w:caps w:val="0"/>
                      <w:color w:val="auto"/>
                      <w:spacing w:val="0"/>
                      <w:sz w:val="21"/>
                      <w:szCs w:val="21"/>
                      <w:shd w:val="clear" w:color="auto" w:fill="FFFFFF"/>
                      <w:lang w:val="en-US" w:eastAsia="zh-CN"/>
                    </w:rPr>
                    <w:t>，为无色透明、有强烈刺激性气味的发烟液体，</w:t>
                  </w:r>
                  <w:r>
                    <w:rPr>
                      <w:rFonts w:hint="default" w:ascii="Times New Roman" w:hAnsi="Times New Roman" w:eastAsia="宋体" w:cs="Times New Roman"/>
                      <w:i w:val="0"/>
                      <w:iCs w:val="0"/>
                      <w:caps w:val="0"/>
                      <w:color w:val="auto"/>
                      <w:spacing w:val="0"/>
                      <w:sz w:val="21"/>
                      <w:szCs w:val="21"/>
                      <w:shd w:val="clear" w:color="auto" w:fill="FFFFFF"/>
                    </w:rPr>
                    <w:t>沸点</w:t>
                  </w:r>
                  <w:r>
                    <w:rPr>
                      <w:rFonts w:hint="eastAsia" w:ascii="Times New Roman" w:hAnsi="Times New Roman" w:eastAsia="宋体" w:cs="Times New Roman"/>
                      <w:i w:val="0"/>
                      <w:iCs w:val="0"/>
                      <w:caps w:val="0"/>
                      <w:color w:val="auto"/>
                      <w:spacing w:val="0"/>
                      <w:sz w:val="21"/>
                      <w:szCs w:val="21"/>
                      <w:shd w:val="clear" w:color="auto" w:fill="FFFFFF"/>
                      <w:lang w:val="en-US" w:eastAsia="zh-CN"/>
                    </w:rPr>
                    <w:t>100.6</w:t>
                  </w:r>
                  <w:r>
                    <w:rPr>
                      <w:rFonts w:hint="default" w:ascii="Times New Roman" w:hAnsi="Times New Roman" w:eastAsia="宋体" w:cs="Times New Roman"/>
                      <w:i w:val="0"/>
                      <w:iCs w:val="0"/>
                      <w:caps w:val="0"/>
                      <w:color w:val="auto"/>
                      <w:spacing w:val="0"/>
                      <w:sz w:val="21"/>
                      <w:szCs w:val="21"/>
                      <w:shd w:val="clear" w:color="auto" w:fill="FFFFFF"/>
                    </w:rPr>
                    <w:t>°C，熔点</w:t>
                  </w:r>
                  <w:r>
                    <w:rPr>
                      <w:rFonts w:hint="eastAsia" w:ascii="Times New Roman" w:hAnsi="Times New Roman" w:eastAsia="宋体" w:cs="Times New Roman"/>
                      <w:i w:val="0"/>
                      <w:iCs w:val="0"/>
                      <w:caps w:val="0"/>
                      <w:color w:val="auto"/>
                      <w:spacing w:val="0"/>
                      <w:sz w:val="21"/>
                      <w:szCs w:val="21"/>
                      <w:shd w:val="clear" w:color="auto" w:fill="FFFFFF"/>
                      <w:lang w:val="en-US" w:eastAsia="zh-CN"/>
                    </w:rPr>
                    <w:t>8.4</w:t>
                  </w:r>
                  <w:r>
                    <w:rPr>
                      <w:rFonts w:hint="default" w:ascii="Times New Roman" w:hAnsi="Times New Roman" w:eastAsia="宋体" w:cs="Times New Roman"/>
                      <w:i w:val="0"/>
                      <w:iCs w:val="0"/>
                      <w:caps w:val="0"/>
                      <w:color w:val="auto"/>
                      <w:spacing w:val="0"/>
                      <w:sz w:val="21"/>
                      <w:szCs w:val="21"/>
                      <w:shd w:val="clear" w:color="auto" w:fill="FFFFFF"/>
                    </w:rPr>
                    <w:t>°C，密度约为</w:t>
                  </w:r>
                  <w:r>
                    <w:rPr>
                      <w:rFonts w:hint="eastAsia" w:ascii="Times New Roman" w:hAnsi="Times New Roman" w:eastAsia="宋体" w:cs="Times New Roman"/>
                      <w:i w:val="0"/>
                      <w:iCs w:val="0"/>
                      <w:caps w:val="0"/>
                      <w:color w:val="auto"/>
                      <w:spacing w:val="0"/>
                      <w:sz w:val="21"/>
                      <w:szCs w:val="21"/>
                      <w:shd w:val="clear" w:color="auto" w:fill="FFFFFF"/>
                      <w:lang w:val="en-US" w:eastAsia="zh-CN"/>
                    </w:rPr>
                    <w:t>1.22</w:t>
                  </w:r>
                  <w:r>
                    <w:rPr>
                      <w:rFonts w:hint="default" w:ascii="Times New Roman" w:hAnsi="Times New Roman" w:eastAsia="宋体" w:cs="Times New Roman"/>
                      <w:i w:val="0"/>
                      <w:iCs w:val="0"/>
                      <w:caps w:val="0"/>
                      <w:color w:val="auto"/>
                      <w:spacing w:val="0"/>
                      <w:sz w:val="21"/>
                      <w:szCs w:val="21"/>
                      <w:shd w:val="clear" w:color="auto" w:fill="FFFFFF"/>
                    </w:rPr>
                    <w:t>g/cm³。易溶于水、乙醇、乙醚、苯等有机溶剂</w:t>
                  </w:r>
                  <w:r>
                    <w:rPr>
                      <w:rFonts w:hint="eastAsia" w:ascii="Times New Roman" w:hAnsi="Times New Roman" w:eastAsia="宋体" w:cs="Times New Roman"/>
                      <w:i w:val="0"/>
                      <w:iCs w:val="0"/>
                      <w:caps w:val="0"/>
                      <w:color w:val="auto"/>
                      <w:spacing w:val="0"/>
                      <w:sz w:val="21"/>
                      <w:szCs w:val="21"/>
                      <w:shd w:val="clear" w:color="auto" w:fill="FFFFFF"/>
                      <w:lang w:eastAsia="zh-CN"/>
                    </w:rPr>
                    <w:t>。</w:t>
                  </w:r>
                </w:p>
              </w:tc>
            </w:tr>
            <w:tr w14:paraId="54B8A7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85" w:type="pct"/>
                  <w:tcBorders>
                    <w:tl2br w:val="nil"/>
                    <w:tr2bl w:val="nil"/>
                  </w:tcBorders>
                  <w:noWrap w:val="0"/>
                  <w:vAlign w:val="center"/>
                </w:tcPr>
                <w:p w14:paraId="68BE8377">
                  <w:pPr>
                    <w:pStyle w:val="56"/>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64" w:lineRule="auto"/>
                    <w:jc w:val="center"/>
                    <w:rPr>
                      <w:rFonts w:hint="default" w:ascii="Times New Roman" w:hAnsi="Times New Roman" w:eastAsia="宋体" w:cs="Times New Roman"/>
                      <w:b w:val="0"/>
                      <w:bCs w:val="0"/>
                      <w:snapToGrid w:val="0"/>
                      <w:color w:val="auto"/>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7</w:t>
                  </w:r>
                </w:p>
              </w:tc>
              <w:tc>
                <w:tcPr>
                  <w:tcW w:w="516" w:type="pct"/>
                  <w:tcBorders>
                    <w:tl2br w:val="nil"/>
                    <w:tr2bl w:val="nil"/>
                  </w:tcBorders>
                  <w:noWrap w:val="0"/>
                  <w:vAlign w:val="center"/>
                </w:tcPr>
                <w:p w14:paraId="23C7C296">
                  <w:pPr>
                    <w:pStyle w:val="56"/>
                    <w:keepNext w:val="0"/>
                    <w:keepLines w:val="0"/>
                    <w:pageBreakBefore w:val="0"/>
                    <w:widowControl w:val="0"/>
                    <w:kinsoku/>
                    <w:wordWrap/>
                    <w:overflowPunct/>
                    <w:autoSpaceDE/>
                    <w:autoSpaceDN/>
                    <w:bidi w:val="0"/>
                    <w:adjustRightInd w:val="0"/>
                    <w:snapToGrid w:val="0"/>
                    <w:spacing w:before="0" w:beforeLines="0" w:beforeAutospacing="0" w:after="0" w:afterLines="0" w:afterAutospacing="0" w:line="264" w:lineRule="auto"/>
                    <w:jc w:val="center"/>
                    <w:rPr>
                      <w:rFonts w:hint="default" w:ascii="Times New Roman" w:hAnsi="Times New Roman" w:eastAsia="宋体" w:cs="Times New Roman"/>
                      <w:b w:val="0"/>
                      <w:bCs w:val="0"/>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甲醇</w:t>
                  </w:r>
                </w:p>
              </w:tc>
              <w:tc>
                <w:tcPr>
                  <w:tcW w:w="4198" w:type="pct"/>
                  <w:tcBorders>
                    <w:tl2br w:val="nil"/>
                    <w:tr2bl w:val="nil"/>
                  </w:tcBorders>
                  <w:noWrap w:val="0"/>
                  <w:vAlign w:val="center"/>
                </w:tcPr>
                <w:p w14:paraId="3933E139">
                  <w:pPr>
                    <w:pStyle w:val="56"/>
                    <w:keepNext w:val="0"/>
                    <w:keepLines w:val="0"/>
                    <w:pageBreakBefore w:val="0"/>
                    <w:widowControl w:val="0"/>
                    <w:kinsoku/>
                    <w:wordWrap/>
                    <w:overflowPunct/>
                    <w:autoSpaceDE/>
                    <w:autoSpaceDN/>
                    <w:bidi w:val="0"/>
                    <w:adjustRightInd w:val="0"/>
                    <w:snapToGrid w:val="0"/>
                    <w:spacing w:before="0" w:beforeLines="0" w:beforeAutospacing="0" w:after="0" w:afterLines="0" w:afterAutospacing="0" w:line="264" w:lineRule="auto"/>
                    <w:jc w:val="both"/>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aps w:val="0"/>
                      <w:color w:val="auto"/>
                      <w:spacing w:val="0"/>
                      <w:sz w:val="21"/>
                      <w:szCs w:val="21"/>
                      <w:shd w:val="clear" w:color="auto" w:fill="FFFFFF"/>
                    </w:rPr>
                    <w:t>甲醇（CH₃OH）是一种无色、挥发性液体，具有轻微的乙醇样气味，沸点64.7°C，熔点-97.6°C，密度约为0.79 g/cm³。它可与水、乙醇、乙醚等多数极性溶剂互溶，是一种重要的极性溶剂。甲醇易燃，燃烧时产生淡蓝色火焰，其蒸气与空气混合可形成爆炸性混合物。化学性质上，甲醇可发生氧化、酯化、脱水等反应，例如氧化生成甲醛或甲酸，是化工生产中合成甲醛、乙酸等产品的重要原料。需注意其毒性，误食或长期吸入可能导致视神经损伤甚至死亡。</w:t>
                  </w:r>
                </w:p>
              </w:tc>
            </w:tr>
            <w:tr w14:paraId="406766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85" w:type="pct"/>
                  <w:tcBorders>
                    <w:tl2br w:val="nil"/>
                    <w:tr2bl w:val="nil"/>
                  </w:tcBorders>
                  <w:noWrap w:val="0"/>
                  <w:vAlign w:val="center"/>
                </w:tcPr>
                <w:p w14:paraId="02193D75">
                  <w:pPr>
                    <w:pStyle w:val="56"/>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64" w:lineRule="auto"/>
                    <w:jc w:val="center"/>
                    <w:rPr>
                      <w:rFonts w:hint="default" w:ascii="Times New Roman" w:hAnsi="Times New Roman" w:eastAsia="宋体" w:cs="Times New Roman"/>
                      <w:b w:val="0"/>
                      <w:bCs w:val="0"/>
                      <w:snapToGrid w:val="0"/>
                      <w:color w:val="auto"/>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8</w:t>
                  </w:r>
                </w:p>
              </w:tc>
              <w:tc>
                <w:tcPr>
                  <w:tcW w:w="516" w:type="pct"/>
                  <w:tcBorders>
                    <w:tl2br w:val="nil"/>
                    <w:tr2bl w:val="nil"/>
                  </w:tcBorders>
                  <w:noWrap w:val="0"/>
                  <w:vAlign w:val="center"/>
                </w:tcPr>
                <w:p w14:paraId="5A5EE126">
                  <w:pPr>
                    <w:keepNext w:val="0"/>
                    <w:keepLines w:val="0"/>
                    <w:pageBreakBefore w:val="0"/>
                    <w:kinsoku/>
                    <w:wordWrap/>
                    <w:overflowPunct/>
                    <w:topLinePunct w:val="0"/>
                    <w:autoSpaceDE/>
                    <w:autoSpaceDN/>
                    <w:bidi w:val="0"/>
                    <w:adjustRightInd w:val="0"/>
                    <w:snapToGrid w:val="0"/>
                    <w:spacing w:beforeAutospacing="0" w:afterAutospacing="0" w:line="264" w:lineRule="auto"/>
                    <w:jc w:val="center"/>
                    <w:rPr>
                      <w:rFonts w:hint="default" w:ascii="Times New Roman" w:hAnsi="Times New Roman" w:eastAsia="宋体" w:cs="Times New Roman"/>
                      <w:color w:val="auto"/>
                      <w:kern w:val="2"/>
                      <w:sz w:val="21"/>
                      <w:szCs w:val="21"/>
                      <w:lang w:val="en-US" w:eastAsia="zh-CN" w:bidi="ar-SA"/>
                    </w:rPr>
                  </w:pPr>
                  <w:r>
                    <w:rPr>
                      <w:rFonts w:hint="eastAsia" w:ascii="宋体" w:hAnsi="宋体" w:cs="宋体"/>
                      <w:i w:val="0"/>
                      <w:iCs w:val="0"/>
                      <w:color w:val="auto"/>
                      <w:kern w:val="0"/>
                      <w:sz w:val="21"/>
                      <w:szCs w:val="21"/>
                      <w:u w:val="none"/>
                      <w:lang w:val="en-US" w:eastAsia="zh-CN" w:bidi="ar"/>
                    </w:rPr>
                    <w:t>有机硅压敏</w:t>
                  </w:r>
                  <w:r>
                    <w:rPr>
                      <w:rFonts w:hint="eastAsia" w:ascii="宋体" w:hAnsi="宋体" w:eastAsia="宋体" w:cs="宋体"/>
                      <w:i w:val="0"/>
                      <w:iCs w:val="0"/>
                      <w:color w:val="auto"/>
                      <w:kern w:val="0"/>
                      <w:sz w:val="21"/>
                      <w:szCs w:val="21"/>
                      <w:u w:val="none"/>
                      <w:lang w:val="en-US" w:eastAsia="zh-CN" w:bidi="ar"/>
                    </w:rPr>
                    <w:t>胶</w:t>
                  </w:r>
                </w:p>
              </w:tc>
              <w:tc>
                <w:tcPr>
                  <w:tcW w:w="4198" w:type="pct"/>
                  <w:tcBorders>
                    <w:tl2br w:val="nil"/>
                    <w:tr2bl w:val="nil"/>
                  </w:tcBorders>
                  <w:noWrap w:val="0"/>
                  <w:vAlign w:val="center"/>
                </w:tcPr>
                <w:p w14:paraId="440D5938">
                  <w:pPr>
                    <w:keepNext w:val="0"/>
                    <w:keepLines w:val="0"/>
                    <w:pageBreakBefore w:val="0"/>
                    <w:widowControl/>
                    <w:numPr>
                      <w:ilvl w:val="0"/>
                      <w:numId w:val="0"/>
                    </w:numPr>
                    <w:suppressLineNumbers w:val="0"/>
                    <w:pBdr>
                      <w:left w:val="none" w:color="auto" w:sz="0" w:space="0"/>
                    </w:pBdr>
                    <w:kinsoku/>
                    <w:wordWrap/>
                    <w:overflowPunct/>
                    <w:autoSpaceDE/>
                    <w:autoSpaceDN/>
                    <w:bidi w:val="0"/>
                    <w:spacing w:beforeAutospacing="0" w:afterAutospacing="0" w:line="264" w:lineRule="auto"/>
                    <w:ind w:left="-60" w:leftChars="0"/>
                    <w:jc w:val="both"/>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有机硅压敏胶是以硅橡胶生胶和MQ树脂缩合而成的胶类材料，主要成分为有机硅氧烷，常用</w:t>
                  </w:r>
                  <w:r>
                    <w:rPr>
                      <w:rFonts w:hint="default" w:ascii="Times New Roman" w:hAnsi="Times New Roman" w:eastAsia="宋体" w:cs="Times New Roman"/>
                      <w:b w:val="0"/>
                      <w:bCs w:val="0"/>
                      <w:color w:val="auto"/>
                      <w:sz w:val="21"/>
                      <w:szCs w:val="21"/>
                      <w:highlight w:val="none"/>
                      <w:lang w:val="en-US" w:eastAsia="zh-CN"/>
                    </w:rPr>
                    <w:fldChar w:fldCharType="begin"/>
                  </w:r>
                  <w:r>
                    <w:rPr>
                      <w:rFonts w:hint="default" w:ascii="Times New Roman" w:hAnsi="Times New Roman" w:eastAsia="宋体" w:cs="Times New Roman"/>
                      <w:b w:val="0"/>
                      <w:bCs w:val="0"/>
                      <w:color w:val="auto"/>
                      <w:sz w:val="21"/>
                      <w:szCs w:val="21"/>
                      <w:highlight w:val="none"/>
                      <w:lang w:val="en-US" w:eastAsia="zh-CN"/>
                    </w:rPr>
                    <w:instrText xml:space="preserve"> HYPERLINK "https://baike.baidu.com/item/%E7%94%B2%E8%8B%AF/1920908?fromModule=lemma_inlink" \t "https://baike.baidu.com/item/%E6%9C%89%E6%9C%BA%E7%A1%85%E5%8E%8B%E6%95%8F%E8%83%B6/_blank" </w:instrText>
                  </w:r>
                  <w:r>
                    <w:rPr>
                      <w:rFonts w:hint="default" w:ascii="Times New Roman" w:hAnsi="Times New Roman" w:eastAsia="宋体" w:cs="Times New Roman"/>
                      <w:b w:val="0"/>
                      <w:bCs w:val="0"/>
                      <w:color w:val="auto"/>
                      <w:sz w:val="21"/>
                      <w:szCs w:val="21"/>
                      <w:highlight w:val="none"/>
                      <w:lang w:val="en-US" w:eastAsia="zh-CN"/>
                    </w:rPr>
                    <w:fldChar w:fldCharType="separate"/>
                  </w:r>
                  <w:r>
                    <w:rPr>
                      <w:rFonts w:hint="default" w:ascii="Times New Roman" w:hAnsi="Times New Roman" w:eastAsia="宋体" w:cs="Times New Roman"/>
                      <w:b w:val="0"/>
                      <w:bCs w:val="0"/>
                      <w:color w:val="auto"/>
                      <w:sz w:val="21"/>
                      <w:szCs w:val="21"/>
                      <w:highlight w:val="none"/>
                      <w:lang w:val="en-US" w:eastAsia="zh-CN"/>
                    </w:rPr>
                    <w:t>甲苯</w:t>
                  </w:r>
                  <w:r>
                    <w:rPr>
                      <w:rFonts w:hint="default" w:ascii="Times New Roman" w:hAnsi="Times New Roman" w:eastAsia="宋体" w:cs="Times New Roman"/>
                      <w:b w:val="0"/>
                      <w:bCs w:val="0"/>
                      <w:color w:val="auto"/>
                      <w:sz w:val="21"/>
                      <w:szCs w:val="21"/>
                      <w:highlight w:val="none"/>
                      <w:lang w:val="en-US" w:eastAsia="zh-CN"/>
                    </w:rPr>
                    <w:fldChar w:fldCharType="end"/>
                  </w: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fldChar w:fldCharType="begin"/>
                  </w:r>
                  <w:r>
                    <w:rPr>
                      <w:rFonts w:hint="default" w:ascii="Times New Roman" w:hAnsi="Times New Roman" w:eastAsia="宋体" w:cs="Times New Roman"/>
                      <w:b w:val="0"/>
                      <w:bCs w:val="0"/>
                      <w:color w:val="auto"/>
                      <w:sz w:val="21"/>
                      <w:szCs w:val="21"/>
                      <w:highlight w:val="none"/>
                      <w:lang w:val="en-US" w:eastAsia="zh-CN"/>
                    </w:rPr>
                    <w:instrText xml:space="preserve"> HYPERLINK "https://baike.baidu.com/item/%E4%BA%8C%E7%94%B2%E8%8B%AF/628736?fromModule=lemma_inlink" \t "https://baike.baidu.com/item/%E6%9C%89%E6%9C%BA%E7%A1%85%E5%8E%8B%E6%95%8F%E8%83%B6/_blank" </w:instrText>
                  </w:r>
                  <w:r>
                    <w:rPr>
                      <w:rFonts w:hint="default" w:ascii="Times New Roman" w:hAnsi="Times New Roman" w:eastAsia="宋体" w:cs="Times New Roman"/>
                      <w:b w:val="0"/>
                      <w:bCs w:val="0"/>
                      <w:color w:val="auto"/>
                      <w:sz w:val="21"/>
                      <w:szCs w:val="21"/>
                      <w:highlight w:val="none"/>
                      <w:lang w:val="en-US" w:eastAsia="zh-CN"/>
                    </w:rPr>
                    <w:fldChar w:fldCharType="separate"/>
                  </w:r>
                  <w:r>
                    <w:rPr>
                      <w:rFonts w:hint="default" w:ascii="Times New Roman" w:hAnsi="Times New Roman" w:eastAsia="宋体" w:cs="Times New Roman"/>
                      <w:b w:val="0"/>
                      <w:bCs w:val="0"/>
                      <w:color w:val="auto"/>
                      <w:sz w:val="21"/>
                      <w:szCs w:val="21"/>
                      <w:highlight w:val="none"/>
                      <w:lang w:val="en-US" w:eastAsia="zh-CN"/>
                    </w:rPr>
                    <w:t>二甲苯</w:t>
                  </w:r>
                  <w:r>
                    <w:rPr>
                      <w:rFonts w:hint="default" w:ascii="Times New Roman" w:hAnsi="Times New Roman" w:eastAsia="宋体" w:cs="Times New Roman"/>
                      <w:b w:val="0"/>
                      <w:bCs w:val="0"/>
                      <w:color w:val="auto"/>
                      <w:sz w:val="21"/>
                      <w:szCs w:val="21"/>
                      <w:highlight w:val="none"/>
                      <w:lang w:val="en-US" w:eastAsia="zh-CN"/>
                    </w:rPr>
                    <w:fldChar w:fldCharType="end"/>
                  </w:r>
                  <w:r>
                    <w:rPr>
                      <w:rFonts w:hint="default" w:ascii="Times New Roman" w:hAnsi="Times New Roman" w:eastAsia="宋体" w:cs="Times New Roman"/>
                      <w:b w:val="0"/>
                      <w:bCs w:val="0"/>
                      <w:color w:val="auto"/>
                      <w:sz w:val="21"/>
                      <w:szCs w:val="21"/>
                      <w:highlight w:val="none"/>
                      <w:lang w:val="en-US" w:eastAsia="zh-CN"/>
                    </w:rPr>
                    <w:t>作为溶剂，应用于变压器玻纤胶带、高温绝缘胶带、屏幕保护膜及</w:t>
                  </w:r>
                  <w:r>
                    <w:rPr>
                      <w:rFonts w:hint="default" w:ascii="Times New Roman" w:hAnsi="Times New Roman" w:eastAsia="宋体" w:cs="Times New Roman"/>
                      <w:b w:val="0"/>
                      <w:bCs w:val="0"/>
                      <w:color w:val="auto"/>
                      <w:sz w:val="21"/>
                      <w:szCs w:val="21"/>
                      <w:highlight w:val="none"/>
                      <w:lang w:val="en-US" w:eastAsia="zh-CN"/>
                    </w:rPr>
                    <w:fldChar w:fldCharType="begin"/>
                  </w:r>
                  <w:r>
                    <w:rPr>
                      <w:rFonts w:hint="default" w:ascii="Times New Roman" w:hAnsi="Times New Roman" w:eastAsia="宋体" w:cs="Times New Roman"/>
                      <w:b w:val="0"/>
                      <w:bCs w:val="0"/>
                      <w:color w:val="auto"/>
                      <w:sz w:val="21"/>
                      <w:szCs w:val="21"/>
                      <w:highlight w:val="none"/>
                      <w:lang w:val="en-US" w:eastAsia="zh-CN"/>
                    </w:rPr>
                    <w:instrText xml:space="preserve"> HYPERLINK "https://baike.baidu.com/item/%E8%81%9A%E9%85%B0%E4%BA%9A%E8%83%BA%E8%83%B6%E5%B8%A6/4156393?fromModule=lemma_inlink" \t "https://baike.baidu.com/item/%E6%9C%89%E6%9C%BA%E7%A1%85%E5%8E%8B%E6%95%8F%E8%83%B6/_blank" </w:instrText>
                  </w:r>
                  <w:r>
                    <w:rPr>
                      <w:rFonts w:hint="default" w:ascii="Times New Roman" w:hAnsi="Times New Roman" w:eastAsia="宋体" w:cs="Times New Roman"/>
                      <w:b w:val="0"/>
                      <w:bCs w:val="0"/>
                      <w:color w:val="auto"/>
                      <w:sz w:val="21"/>
                      <w:szCs w:val="21"/>
                      <w:highlight w:val="none"/>
                      <w:lang w:val="en-US" w:eastAsia="zh-CN"/>
                    </w:rPr>
                    <w:fldChar w:fldCharType="separate"/>
                  </w:r>
                  <w:r>
                    <w:rPr>
                      <w:rFonts w:hint="default" w:ascii="Times New Roman" w:hAnsi="Times New Roman" w:eastAsia="宋体" w:cs="Times New Roman"/>
                      <w:b w:val="0"/>
                      <w:bCs w:val="0"/>
                      <w:color w:val="auto"/>
                      <w:sz w:val="21"/>
                      <w:szCs w:val="21"/>
                      <w:highlight w:val="none"/>
                      <w:lang w:val="en-US" w:eastAsia="zh-CN"/>
                    </w:rPr>
                    <w:t>聚酰亚胺胶带</w:t>
                  </w:r>
                  <w:r>
                    <w:rPr>
                      <w:rFonts w:hint="default" w:ascii="Times New Roman" w:hAnsi="Times New Roman" w:eastAsia="宋体" w:cs="Times New Roman"/>
                      <w:b w:val="0"/>
                      <w:bCs w:val="0"/>
                      <w:color w:val="auto"/>
                      <w:sz w:val="21"/>
                      <w:szCs w:val="21"/>
                      <w:highlight w:val="none"/>
                      <w:lang w:val="en-US" w:eastAsia="zh-CN"/>
                    </w:rPr>
                    <w:fldChar w:fldCharType="end"/>
                  </w:r>
                  <w:r>
                    <w:rPr>
                      <w:rFonts w:hint="default" w:ascii="Times New Roman" w:hAnsi="Times New Roman" w:eastAsia="宋体" w:cs="Times New Roman"/>
                      <w:b w:val="0"/>
                      <w:bCs w:val="0"/>
                      <w:color w:val="auto"/>
                      <w:sz w:val="21"/>
                      <w:szCs w:val="21"/>
                      <w:highlight w:val="none"/>
                      <w:lang w:val="en-US" w:eastAsia="zh-CN"/>
                    </w:rPr>
                    <w:t>等领域。</w:t>
                  </w:r>
                  <w:r>
                    <w:rPr>
                      <w:rFonts w:hint="eastAsia" w:ascii="Times New Roman" w:hAnsi="Times New Roman" w:eastAsia="宋体" w:cs="Times New Roman"/>
                      <w:b w:val="0"/>
                      <w:bCs w:val="0"/>
                      <w:color w:val="auto"/>
                      <w:sz w:val="21"/>
                      <w:szCs w:val="21"/>
                      <w:highlight w:val="none"/>
                      <w:lang w:val="en-US" w:eastAsia="zh-CN"/>
                    </w:rPr>
                    <w:t>本项目使用的有机硅压敏胶密度为</w:t>
                  </w:r>
                  <w:r>
                    <w:rPr>
                      <w:rFonts w:hint="eastAsia" w:cs="Times New Roman"/>
                      <w:b w:val="0"/>
                      <w:bCs w:val="0"/>
                      <w:color w:val="auto"/>
                      <w:sz w:val="21"/>
                      <w:szCs w:val="21"/>
                      <w:highlight w:val="none"/>
                      <w:lang w:val="en-US" w:eastAsia="zh-CN"/>
                    </w:rPr>
                    <w:t>1.02</w:t>
                  </w:r>
                  <w:r>
                    <w:rPr>
                      <w:rFonts w:hint="eastAsia" w:ascii="Times New Roman" w:hAnsi="Times New Roman" w:eastAsia="宋体" w:cs="Times New Roman"/>
                      <w:b w:val="0"/>
                      <w:bCs w:val="0"/>
                      <w:color w:val="auto"/>
                      <w:sz w:val="21"/>
                      <w:szCs w:val="21"/>
                      <w:highlight w:val="none"/>
                      <w:lang w:val="en-US" w:eastAsia="zh-CN"/>
                    </w:rPr>
                    <w:t xml:space="preserve"> g/mL，使用甲苯作为溶剂，占比为40%。</w:t>
                  </w:r>
                </w:p>
              </w:tc>
            </w:tr>
            <w:tr w14:paraId="7768F5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85" w:type="pct"/>
                  <w:tcBorders>
                    <w:tl2br w:val="nil"/>
                    <w:tr2bl w:val="nil"/>
                  </w:tcBorders>
                  <w:noWrap w:val="0"/>
                  <w:vAlign w:val="center"/>
                </w:tcPr>
                <w:p w14:paraId="00DDFA0D">
                  <w:pPr>
                    <w:pStyle w:val="56"/>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64" w:lineRule="auto"/>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9</w:t>
                  </w:r>
                </w:p>
              </w:tc>
              <w:tc>
                <w:tcPr>
                  <w:tcW w:w="516" w:type="pct"/>
                  <w:tcBorders>
                    <w:tl2br w:val="nil"/>
                    <w:tr2bl w:val="nil"/>
                  </w:tcBorders>
                  <w:noWrap w:val="0"/>
                  <w:vAlign w:val="center"/>
                </w:tcPr>
                <w:p w14:paraId="282AAC4A">
                  <w:pPr>
                    <w:keepNext w:val="0"/>
                    <w:keepLines w:val="0"/>
                    <w:pageBreakBefore w:val="0"/>
                    <w:kinsoku/>
                    <w:wordWrap/>
                    <w:overflowPunct/>
                    <w:topLinePunct w:val="0"/>
                    <w:autoSpaceDE/>
                    <w:autoSpaceDN/>
                    <w:bidi w:val="0"/>
                    <w:adjustRightInd w:val="0"/>
                    <w:snapToGrid w:val="0"/>
                    <w:spacing w:beforeAutospacing="0" w:afterAutospacing="0" w:line="264" w:lineRule="auto"/>
                    <w:jc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催化剂</w:t>
                  </w:r>
                </w:p>
              </w:tc>
              <w:tc>
                <w:tcPr>
                  <w:tcW w:w="4198" w:type="pct"/>
                  <w:tcBorders>
                    <w:tl2br w:val="nil"/>
                    <w:tr2bl w:val="nil"/>
                  </w:tcBorders>
                  <w:noWrap w:val="0"/>
                  <w:vAlign w:val="center"/>
                </w:tcPr>
                <w:p w14:paraId="117DAC10">
                  <w:pPr>
                    <w:keepNext w:val="0"/>
                    <w:keepLines w:val="0"/>
                    <w:pageBreakBefore w:val="0"/>
                    <w:widowControl/>
                    <w:numPr>
                      <w:ilvl w:val="0"/>
                      <w:numId w:val="0"/>
                    </w:numPr>
                    <w:suppressLineNumbers w:val="0"/>
                    <w:pBdr>
                      <w:left w:val="none" w:color="auto" w:sz="0" w:space="0"/>
                    </w:pBdr>
                    <w:kinsoku/>
                    <w:wordWrap/>
                    <w:overflowPunct/>
                    <w:autoSpaceDE/>
                    <w:autoSpaceDN/>
                    <w:bidi w:val="0"/>
                    <w:spacing w:beforeAutospacing="0" w:afterAutospacing="0" w:line="264" w:lineRule="auto"/>
                    <w:ind w:left="-60" w:leftChars="0"/>
                    <w:jc w:val="both"/>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主要由Pt/C催化剂与全氟磺酸离子聚合物混合而成，催化层是膜电极的关键组成部分，负责电化学反应中的催化作用。催化剂的活性位点主要是Pt纳米颗粒，它们与气体接触并催化氢气和氧气的反应，同时与碳载体共同传递电子，而离聚物则负责氢离子的传递。膜电极的性能在很大程度上取决于催化剂的类型、厚度及其与界面的相互作用。</w:t>
                  </w:r>
                </w:p>
              </w:tc>
            </w:tr>
            <w:tr w14:paraId="36D030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85" w:type="pct"/>
                  <w:tcBorders>
                    <w:tl2br w:val="nil"/>
                    <w:tr2bl w:val="nil"/>
                  </w:tcBorders>
                  <w:noWrap w:val="0"/>
                  <w:vAlign w:val="center"/>
                </w:tcPr>
                <w:p w14:paraId="551C88FB">
                  <w:pPr>
                    <w:pStyle w:val="56"/>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64" w:lineRule="auto"/>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10</w:t>
                  </w:r>
                </w:p>
              </w:tc>
              <w:tc>
                <w:tcPr>
                  <w:tcW w:w="516" w:type="pct"/>
                  <w:tcBorders>
                    <w:tl2br w:val="nil"/>
                    <w:tr2bl w:val="nil"/>
                  </w:tcBorders>
                  <w:noWrap w:val="0"/>
                  <w:vAlign w:val="center"/>
                </w:tcPr>
                <w:p w14:paraId="7A867608">
                  <w:pPr>
                    <w:keepNext w:val="0"/>
                    <w:keepLines w:val="0"/>
                    <w:pageBreakBefore w:val="0"/>
                    <w:kinsoku/>
                    <w:wordWrap/>
                    <w:overflowPunct/>
                    <w:topLinePunct w:val="0"/>
                    <w:autoSpaceDE/>
                    <w:autoSpaceDN/>
                    <w:bidi w:val="0"/>
                    <w:adjustRightInd w:val="0"/>
                    <w:snapToGrid w:val="0"/>
                    <w:spacing w:beforeAutospacing="0" w:afterAutospacing="0" w:line="264" w:lineRule="auto"/>
                    <w:jc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质子交换膜</w:t>
                  </w:r>
                </w:p>
              </w:tc>
              <w:tc>
                <w:tcPr>
                  <w:tcW w:w="4198" w:type="pct"/>
                  <w:tcBorders>
                    <w:tl2br w:val="nil"/>
                    <w:tr2bl w:val="nil"/>
                  </w:tcBorders>
                  <w:noWrap w:val="0"/>
                  <w:vAlign w:val="center"/>
                </w:tcPr>
                <w:p w14:paraId="7FC0C378">
                  <w:pPr>
                    <w:keepNext w:val="0"/>
                    <w:keepLines w:val="0"/>
                    <w:pageBreakBefore w:val="0"/>
                    <w:widowControl/>
                    <w:numPr>
                      <w:ilvl w:val="0"/>
                      <w:numId w:val="0"/>
                    </w:numPr>
                    <w:suppressLineNumbers w:val="0"/>
                    <w:pBdr>
                      <w:left w:val="none" w:color="auto" w:sz="0" w:space="0"/>
                    </w:pBdr>
                    <w:kinsoku/>
                    <w:wordWrap/>
                    <w:overflowPunct/>
                    <w:autoSpaceDE/>
                    <w:autoSpaceDN/>
                    <w:bidi w:val="0"/>
                    <w:spacing w:beforeAutospacing="0" w:afterAutospacing="0" w:line="264" w:lineRule="auto"/>
                    <w:ind w:left="-60" w:leftChars="0"/>
                    <w:jc w:val="both"/>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highlight w:val="none"/>
                      <w:lang w:val="en-US" w:eastAsia="zh-CN"/>
                    </w:rPr>
                    <w:t>质子交换膜是燃料电池关键材料，其作用是在反应时，只让阳极失去电子的氢离子（质子）透过到达阴极，但阻止电子、氢分子、水分子等通过，需要其具有以下几个特性：电导率高（高选择性地离子导电而非电子导电）；化学稳定性好（耐酸碱和抗氧化还原能力）；热稳定性好；良好的机械性能（如强度和柔韧性）；反应气体的透气率低、水的电渗系数小；可加工性好、价格适当。质子交换膜主要成分为全氟磺酸树脂，在200℃左右的温度下长期保持稳定，其热分解温度一般在350℃以上，本项目所用质子交换膜为外购。</w:t>
                  </w:r>
                </w:p>
              </w:tc>
            </w:tr>
            <w:tr w14:paraId="3C8A8B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85" w:type="pct"/>
                  <w:tcBorders>
                    <w:tl2br w:val="nil"/>
                    <w:tr2bl w:val="nil"/>
                  </w:tcBorders>
                  <w:noWrap w:val="0"/>
                  <w:vAlign w:val="center"/>
                </w:tcPr>
                <w:p w14:paraId="1D6D000C">
                  <w:pPr>
                    <w:pStyle w:val="56"/>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64" w:lineRule="auto"/>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11</w:t>
                  </w:r>
                </w:p>
              </w:tc>
              <w:tc>
                <w:tcPr>
                  <w:tcW w:w="516" w:type="pct"/>
                  <w:tcBorders>
                    <w:tl2br w:val="nil"/>
                    <w:tr2bl w:val="nil"/>
                  </w:tcBorders>
                  <w:noWrap w:val="0"/>
                  <w:vAlign w:val="center"/>
                </w:tcPr>
                <w:p w14:paraId="373EF7BC">
                  <w:pPr>
                    <w:keepNext w:val="0"/>
                    <w:keepLines w:val="0"/>
                    <w:pageBreakBefore w:val="0"/>
                    <w:kinsoku/>
                    <w:wordWrap/>
                    <w:overflowPunct/>
                    <w:topLinePunct w:val="0"/>
                    <w:autoSpaceDE/>
                    <w:autoSpaceDN/>
                    <w:bidi w:val="0"/>
                    <w:adjustRightInd w:val="0"/>
                    <w:snapToGrid w:val="0"/>
                    <w:spacing w:beforeAutospacing="0" w:afterAutospacing="0" w:line="264" w:lineRule="auto"/>
                    <w:jc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氢气</w:t>
                  </w:r>
                </w:p>
              </w:tc>
              <w:tc>
                <w:tcPr>
                  <w:tcW w:w="4198" w:type="pct"/>
                  <w:tcBorders>
                    <w:tl2br w:val="nil"/>
                    <w:tr2bl w:val="nil"/>
                  </w:tcBorders>
                  <w:noWrap w:val="0"/>
                  <w:vAlign w:val="center"/>
                </w:tcPr>
                <w:p w14:paraId="502B7513">
                  <w:pPr>
                    <w:keepNext w:val="0"/>
                    <w:keepLines w:val="0"/>
                    <w:pageBreakBefore w:val="0"/>
                    <w:widowControl/>
                    <w:numPr>
                      <w:ilvl w:val="0"/>
                      <w:numId w:val="0"/>
                    </w:numPr>
                    <w:suppressLineNumbers w:val="0"/>
                    <w:pBdr>
                      <w:left w:val="none" w:color="auto" w:sz="0" w:space="0"/>
                    </w:pBdr>
                    <w:kinsoku/>
                    <w:wordWrap/>
                    <w:overflowPunct/>
                    <w:autoSpaceDE/>
                    <w:autoSpaceDN/>
                    <w:bidi w:val="0"/>
                    <w:spacing w:beforeAutospacing="0" w:afterAutospacing="0" w:line="264" w:lineRule="auto"/>
                    <w:ind w:left="-60" w:leftChars="0"/>
                    <w:jc w:val="both"/>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化学式H</w:t>
                  </w:r>
                  <w:r>
                    <w:rPr>
                      <w:rFonts w:hint="default" w:ascii="Times New Roman" w:hAnsi="Times New Roman" w:eastAsia="宋体" w:cs="Times New Roman"/>
                      <w:b w:val="0"/>
                      <w:bCs w:val="0"/>
                      <w:color w:val="auto"/>
                      <w:sz w:val="21"/>
                      <w:szCs w:val="21"/>
                      <w:highlight w:val="none"/>
                      <w:vertAlign w:val="subscript"/>
                      <w:lang w:val="en-US" w:eastAsia="zh-CN"/>
                    </w:rPr>
                    <w:t>2</w:t>
                  </w:r>
                  <w:r>
                    <w:rPr>
                      <w:rFonts w:hint="default" w:ascii="Times New Roman" w:hAnsi="Times New Roman" w:eastAsia="宋体" w:cs="Times New Roman"/>
                      <w:b w:val="0"/>
                      <w:bCs w:val="0"/>
                      <w:color w:val="auto"/>
                      <w:sz w:val="21"/>
                      <w:szCs w:val="21"/>
                      <w:highlight w:val="none"/>
                      <w:lang w:val="en-US" w:eastAsia="zh-CN"/>
                    </w:rPr>
                    <w:t>，分子量为2.01588。常温常压下，氢气是一种无色、无味、无臭、无毒、极易燃烧且难溶于水的气体。密度为0.089g/L（101.325kpa,</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0°C）</w:t>
                  </w:r>
                  <w:r>
                    <w:rPr>
                      <w:rFonts w:hint="eastAsia" w:ascii="Times New Roman" w:hAnsi="Times New Roman" w:eastAsia="宋体" w:cs="Times New Roman"/>
                      <w:b w:val="0"/>
                      <w:bCs w:val="0"/>
                      <w:color w:val="auto"/>
                      <w:sz w:val="21"/>
                      <w:szCs w:val="21"/>
                      <w:highlight w:val="none"/>
                      <w:lang w:val="en-US" w:eastAsia="zh-CN"/>
                    </w:rPr>
                    <w:t>，常温下，氢气的性质很稳定，不容易跟其它物质发生化学反应。</w:t>
                  </w:r>
                </w:p>
              </w:tc>
            </w:tr>
            <w:tr w14:paraId="45E160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85" w:type="pct"/>
                  <w:tcBorders>
                    <w:tl2br w:val="nil"/>
                    <w:tr2bl w:val="nil"/>
                  </w:tcBorders>
                  <w:noWrap w:val="0"/>
                  <w:vAlign w:val="center"/>
                </w:tcPr>
                <w:p w14:paraId="0DDCBA0D">
                  <w:pPr>
                    <w:pStyle w:val="56"/>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64" w:lineRule="auto"/>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12</w:t>
                  </w:r>
                </w:p>
              </w:tc>
              <w:tc>
                <w:tcPr>
                  <w:tcW w:w="516" w:type="pct"/>
                  <w:tcBorders>
                    <w:tl2br w:val="nil"/>
                    <w:tr2bl w:val="nil"/>
                  </w:tcBorders>
                  <w:noWrap w:val="0"/>
                  <w:vAlign w:val="center"/>
                </w:tcPr>
                <w:p w14:paraId="43DBC9B9">
                  <w:pPr>
                    <w:keepNext w:val="0"/>
                    <w:keepLines w:val="0"/>
                    <w:pageBreakBefore w:val="0"/>
                    <w:kinsoku/>
                    <w:wordWrap/>
                    <w:overflowPunct/>
                    <w:topLinePunct w:val="0"/>
                    <w:autoSpaceDE/>
                    <w:autoSpaceDN/>
                    <w:bidi w:val="0"/>
                    <w:adjustRightInd w:val="0"/>
                    <w:snapToGrid w:val="0"/>
                    <w:spacing w:beforeAutospacing="0" w:afterAutospacing="0" w:line="264" w:lineRule="auto"/>
                    <w:jc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气体扩散层</w:t>
                  </w:r>
                </w:p>
              </w:tc>
              <w:tc>
                <w:tcPr>
                  <w:tcW w:w="4198" w:type="pct"/>
                  <w:tcBorders>
                    <w:tl2br w:val="nil"/>
                    <w:tr2bl w:val="nil"/>
                  </w:tcBorders>
                  <w:noWrap w:val="0"/>
                  <w:vAlign w:val="center"/>
                </w:tcPr>
                <w:p w14:paraId="05473313">
                  <w:pPr>
                    <w:keepNext w:val="0"/>
                    <w:keepLines w:val="0"/>
                    <w:pageBreakBefore w:val="0"/>
                    <w:widowControl/>
                    <w:numPr>
                      <w:ilvl w:val="0"/>
                      <w:numId w:val="0"/>
                    </w:numPr>
                    <w:suppressLineNumbers w:val="0"/>
                    <w:pBdr>
                      <w:left w:val="none" w:color="auto" w:sz="0" w:space="0"/>
                    </w:pBdr>
                    <w:kinsoku/>
                    <w:wordWrap/>
                    <w:overflowPunct/>
                    <w:autoSpaceDE/>
                    <w:autoSpaceDN/>
                    <w:bidi w:val="0"/>
                    <w:spacing w:beforeAutospacing="0" w:afterAutospacing="0" w:line="264" w:lineRule="auto"/>
                    <w:ind w:left="-60" w:leftChars="0"/>
                    <w:jc w:val="both"/>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气体扩散层</w:t>
                  </w:r>
                  <w:r>
                    <w:rPr>
                      <w:rFonts w:hint="eastAsia" w:ascii="Times New Roman" w:hAnsi="Times New Roman" w:eastAsia="宋体" w:cs="Times New Roman"/>
                      <w:b w:val="0"/>
                      <w:bCs w:val="0"/>
                      <w:color w:val="auto"/>
                      <w:sz w:val="21"/>
                      <w:szCs w:val="21"/>
                      <w:highlight w:val="none"/>
                      <w:lang w:val="en-US" w:eastAsia="zh-CN"/>
                    </w:rPr>
                    <w:t>由碳材料和聚四氟乙烯组成，</w:t>
                  </w:r>
                  <w:r>
                    <w:rPr>
                      <w:rFonts w:hint="default" w:ascii="Times New Roman" w:hAnsi="Times New Roman" w:eastAsia="宋体" w:cs="Times New Roman"/>
                      <w:b w:val="0"/>
                      <w:bCs w:val="0"/>
                      <w:color w:val="auto"/>
                      <w:sz w:val="21"/>
                      <w:szCs w:val="21"/>
                      <w:highlight w:val="none"/>
                      <w:lang w:val="en-US" w:eastAsia="zh-CN"/>
                    </w:rPr>
                    <w:t>在燃料电池中起到支撑催化层、收集电流、传导气体和排出反应产物水的重要作用</w:t>
                  </w:r>
                  <w:r>
                    <w:rPr>
                      <w:rFonts w:hint="eastAsia" w:ascii="Times New Roman" w:hAnsi="Times New Roman" w:eastAsia="宋体" w:cs="Times New Roman"/>
                      <w:b w:val="0"/>
                      <w:bCs w:val="0"/>
                      <w:color w:val="auto"/>
                      <w:sz w:val="21"/>
                      <w:szCs w:val="21"/>
                      <w:highlight w:val="none"/>
                      <w:lang w:val="en-US" w:eastAsia="zh-CN"/>
                    </w:rPr>
                    <w:t>。</w:t>
                  </w:r>
                </w:p>
              </w:tc>
            </w:tr>
            <w:tr w14:paraId="2351D9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85" w:type="pct"/>
                  <w:tcBorders>
                    <w:tl2br w:val="nil"/>
                    <w:tr2bl w:val="nil"/>
                  </w:tcBorders>
                  <w:noWrap w:val="0"/>
                  <w:vAlign w:val="center"/>
                </w:tcPr>
                <w:p w14:paraId="64C1113F">
                  <w:pPr>
                    <w:pStyle w:val="56"/>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64" w:lineRule="auto"/>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13</w:t>
                  </w:r>
                </w:p>
              </w:tc>
              <w:tc>
                <w:tcPr>
                  <w:tcW w:w="516" w:type="pct"/>
                  <w:tcBorders>
                    <w:tl2br w:val="nil"/>
                    <w:tr2bl w:val="nil"/>
                  </w:tcBorders>
                  <w:noWrap w:val="0"/>
                  <w:vAlign w:val="center"/>
                </w:tcPr>
                <w:p w14:paraId="6D4801D0">
                  <w:pPr>
                    <w:keepNext w:val="0"/>
                    <w:keepLines w:val="0"/>
                    <w:pageBreakBefore w:val="0"/>
                    <w:kinsoku/>
                    <w:wordWrap/>
                    <w:overflowPunct/>
                    <w:topLinePunct w:val="0"/>
                    <w:autoSpaceDE/>
                    <w:autoSpaceDN/>
                    <w:bidi w:val="0"/>
                    <w:adjustRightInd w:val="0"/>
                    <w:snapToGrid w:val="0"/>
                    <w:spacing w:beforeAutospacing="0" w:afterAutospacing="0" w:line="264" w:lineRule="auto"/>
                    <w:jc w:val="center"/>
                    <w:rPr>
                      <w:rFonts w:hint="default" w:ascii="宋体" w:hAnsi="宋体" w:cs="宋体"/>
                      <w:i w:val="0"/>
                      <w:iCs w:val="0"/>
                      <w:color w:val="auto"/>
                      <w:kern w:val="0"/>
                      <w:sz w:val="21"/>
                      <w:szCs w:val="21"/>
                      <w:u w:val="none"/>
                      <w:lang w:val="en-US" w:eastAsia="zh-CN" w:bidi="ar"/>
                    </w:rPr>
                  </w:pPr>
                  <w:r>
                    <w:rPr>
                      <w:rStyle w:val="63"/>
                      <w:rFonts w:eastAsia="宋体"/>
                      <w:color w:val="auto"/>
                      <w:lang w:val="en-US" w:eastAsia="zh-CN" w:bidi="ar"/>
                    </w:rPr>
                    <w:t>PET</w:t>
                  </w:r>
                  <w:r>
                    <w:rPr>
                      <w:rStyle w:val="64"/>
                      <w:rFonts w:hint="eastAsia"/>
                      <w:color w:val="auto"/>
                      <w:lang w:val="en-US" w:eastAsia="zh-CN" w:bidi="ar"/>
                    </w:rPr>
                    <w:t>膜</w:t>
                  </w:r>
                </w:p>
              </w:tc>
              <w:tc>
                <w:tcPr>
                  <w:tcW w:w="4198" w:type="pct"/>
                  <w:tcBorders>
                    <w:tl2br w:val="nil"/>
                    <w:tr2bl w:val="nil"/>
                  </w:tcBorders>
                  <w:noWrap w:val="0"/>
                  <w:vAlign w:val="center"/>
                </w:tcPr>
                <w:p w14:paraId="1D6FC173">
                  <w:pPr>
                    <w:keepNext w:val="0"/>
                    <w:keepLines w:val="0"/>
                    <w:pageBreakBefore w:val="0"/>
                    <w:widowControl/>
                    <w:numPr>
                      <w:ilvl w:val="0"/>
                      <w:numId w:val="0"/>
                    </w:numPr>
                    <w:suppressLineNumbers w:val="0"/>
                    <w:pBdr>
                      <w:left w:val="none" w:color="auto" w:sz="0" w:space="0"/>
                    </w:pBdr>
                    <w:kinsoku/>
                    <w:wordWrap/>
                    <w:overflowPunct/>
                    <w:autoSpaceDE/>
                    <w:autoSpaceDN/>
                    <w:bidi w:val="0"/>
                    <w:spacing w:beforeAutospacing="0" w:afterAutospacing="0" w:line="264" w:lineRule="auto"/>
                    <w:ind w:left="-60" w:leftChars="0"/>
                    <w:jc w:val="both"/>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fldChar w:fldCharType="begin"/>
                  </w:r>
                  <w:r>
                    <w:rPr>
                      <w:rFonts w:hint="default" w:ascii="Times New Roman" w:hAnsi="Times New Roman" w:eastAsia="宋体" w:cs="Times New Roman"/>
                      <w:b w:val="0"/>
                      <w:bCs w:val="0"/>
                      <w:color w:val="auto"/>
                      <w:sz w:val="21"/>
                      <w:szCs w:val="21"/>
                      <w:highlight w:val="none"/>
                      <w:lang w:val="en-US" w:eastAsia="zh-CN"/>
                    </w:rPr>
                    <w:instrText xml:space="preserve"> HYPERLINK "https://www.chembk.com/cn/chem/PET%E8%96%84%E8%86%9C" \t "https://cn.bing.com/_blank" </w:instrText>
                  </w:r>
                  <w:r>
                    <w:rPr>
                      <w:rFonts w:hint="default" w:ascii="Times New Roman" w:hAnsi="Times New Roman" w:eastAsia="宋体" w:cs="Times New Roman"/>
                      <w:b w:val="0"/>
                      <w:bCs w:val="0"/>
                      <w:color w:val="auto"/>
                      <w:sz w:val="21"/>
                      <w:szCs w:val="21"/>
                      <w:highlight w:val="none"/>
                      <w:lang w:val="en-US" w:eastAsia="zh-CN"/>
                    </w:rPr>
                    <w:fldChar w:fldCharType="separate"/>
                  </w:r>
                  <w:r>
                    <w:rPr>
                      <w:rFonts w:hint="default" w:ascii="Times New Roman" w:hAnsi="Times New Roman" w:eastAsia="宋体" w:cs="Times New Roman"/>
                      <w:b w:val="0"/>
                      <w:bCs w:val="0"/>
                      <w:color w:val="auto"/>
                      <w:sz w:val="21"/>
                      <w:szCs w:val="21"/>
                      <w:highlight w:val="none"/>
                      <w:lang w:val="en-US" w:eastAsia="zh-CN"/>
                    </w:rPr>
                    <w:t>由聚对苯二甲酸乙二醇酯（Polyethylene Terephthalate，简称PET）制成的薄膜材料。它是一种热塑性塑料，具有优异的透明性、机械强度和化学稳定性，通常通过熔融挤出、延伸和冷却等工艺制造而成。 </w:t>
                  </w:r>
                  <w:r>
                    <w:rPr>
                      <w:rFonts w:hint="default" w:ascii="Times New Roman" w:hAnsi="Times New Roman" w:eastAsia="宋体" w:cs="Times New Roman"/>
                      <w:b w:val="0"/>
                      <w:bCs w:val="0"/>
                      <w:color w:val="auto"/>
                      <w:sz w:val="21"/>
                      <w:szCs w:val="21"/>
                      <w:highlight w:val="none"/>
                      <w:lang w:val="en-US" w:eastAsia="zh-CN"/>
                    </w:rPr>
                    <w:fldChar w:fldCharType="end"/>
                  </w:r>
                </w:p>
              </w:tc>
            </w:tr>
            <w:tr w14:paraId="3DD0DF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85" w:type="pct"/>
                  <w:tcBorders>
                    <w:tl2br w:val="nil"/>
                    <w:tr2bl w:val="nil"/>
                  </w:tcBorders>
                  <w:noWrap w:val="0"/>
                  <w:vAlign w:val="center"/>
                </w:tcPr>
                <w:p w14:paraId="61F85E6C">
                  <w:pPr>
                    <w:pStyle w:val="56"/>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64" w:lineRule="auto"/>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14</w:t>
                  </w:r>
                </w:p>
              </w:tc>
              <w:tc>
                <w:tcPr>
                  <w:tcW w:w="516" w:type="pct"/>
                  <w:tcBorders>
                    <w:tl2br w:val="nil"/>
                    <w:tr2bl w:val="nil"/>
                  </w:tcBorders>
                  <w:noWrap w:val="0"/>
                  <w:vAlign w:val="center"/>
                </w:tcPr>
                <w:p w14:paraId="4066C39E">
                  <w:pPr>
                    <w:keepNext w:val="0"/>
                    <w:keepLines w:val="0"/>
                    <w:pageBreakBefore w:val="0"/>
                    <w:kinsoku/>
                    <w:wordWrap/>
                    <w:overflowPunct/>
                    <w:topLinePunct w:val="0"/>
                    <w:autoSpaceDE/>
                    <w:autoSpaceDN/>
                    <w:bidi w:val="0"/>
                    <w:adjustRightInd w:val="0"/>
                    <w:snapToGrid w:val="0"/>
                    <w:spacing w:beforeAutospacing="0" w:afterAutospacing="0" w:line="264" w:lineRule="auto"/>
                    <w:jc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离型膜</w:t>
                  </w:r>
                </w:p>
              </w:tc>
              <w:tc>
                <w:tcPr>
                  <w:tcW w:w="4198" w:type="pct"/>
                  <w:tcBorders>
                    <w:tl2br w:val="nil"/>
                    <w:tr2bl w:val="nil"/>
                  </w:tcBorders>
                  <w:noWrap w:val="0"/>
                  <w:vAlign w:val="center"/>
                </w:tcPr>
                <w:p w14:paraId="062E2252">
                  <w:pPr>
                    <w:keepNext w:val="0"/>
                    <w:keepLines w:val="0"/>
                    <w:pageBreakBefore w:val="0"/>
                    <w:widowControl/>
                    <w:numPr>
                      <w:ilvl w:val="0"/>
                      <w:numId w:val="0"/>
                    </w:numPr>
                    <w:suppressLineNumbers w:val="0"/>
                    <w:pBdr>
                      <w:left w:val="none" w:color="auto" w:sz="0" w:space="0"/>
                    </w:pBdr>
                    <w:kinsoku/>
                    <w:wordWrap/>
                    <w:overflowPunct/>
                    <w:autoSpaceDE/>
                    <w:autoSpaceDN/>
                    <w:bidi w:val="0"/>
                    <w:spacing w:beforeAutospacing="0" w:afterAutospacing="0" w:line="264" w:lineRule="auto"/>
                    <w:ind w:left="-60" w:leftChars="0"/>
                    <w:jc w:val="both"/>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离型膜是指薄膜</w:t>
                  </w:r>
                  <w:r>
                    <w:rPr>
                      <w:rFonts w:hint="default" w:ascii="Times New Roman" w:hAnsi="Times New Roman" w:eastAsia="宋体" w:cs="Times New Roman"/>
                      <w:b w:val="0"/>
                      <w:bCs w:val="0"/>
                      <w:color w:val="auto"/>
                      <w:sz w:val="21"/>
                      <w:szCs w:val="21"/>
                      <w:highlight w:val="none"/>
                      <w:lang w:val="en-US" w:eastAsia="zh-CN"/>
                    </w:rPr>
                    <w:fldChar w:fldCharType="begin"/>
                  </w:r>
                  <w:r>
                    <w:rPr>
                      <w:rFonts w:hint="default" w:ascii="Times New Roman" w:hAnsi="Times New Roman" w:eastAsia="宋体" w:cs="Times New Roman"/>
                      <w:b w:val="0"/>
                      <w:bCs w:val="0"/>
                      <w:color w:val="auto"/>
                      <w:sz w:val="21"/>
                      <w:szCs w:val="21"/>
                      <w:highlight w:val="none"/>
                      <w:lang w:val="en-US" w:eastAsia="zh-CN"/>
                    </w:rPr>
                    <w:instrText xml:space="preserve"> HYPERLINK "https://baike.baidu.com/item/%E8%A1%A8%E9%9D%A2%E8%83%BD/98335?fromModule=lemma_inlink" \t "https://baike.baidu.com/item/%E7%A6%BB%E5%9E%8B%E8%86%9C/_blank" </w:instrText>
                  </w:r>
                  <w:r>
                    <w:rPr>
                      <w:rFonts w:hint="default" w:ascii="Times New Roman" w:hAnsi="Times New Roman" w:eastAsia="宋体" w:cs="Times New Roman"/>
                      <w:b w:val="0"/>
                      <w:bCs w:val="0"/>
                      <w:color w:val="auto"/>
                      <w:sz w:val="21"/>
                      <w:szCs w:val="21"/>
                      <w:highlight w:val="none"/>
                      <w:lang w:val="en-US" w:eastAsia="zh-CN"/>
                    </w:rPr>
                    <w:fldChar w:fldCharType="separate"/>
                  </w:r>
                  <w:r>
                    <w:rPr>
                      <w:rFonts w:hint="default" w:ascii="Times New Roman" w:hAnsi="Times New Roman" w:eastAsia="宋体" w:cs="Times New Roman"/>
                      <w:b w:val="0"/>
                      <w:bCs w:val="0"/>
                      <w:color w:val="auto"/>
                      <w:sz w:val="21"/>
                      <w:szCs w:val="21"/>
                      <w:highlight w:val="none"/>
                      <w:lang w:val="en-US" w:eastAsia="zh-CN"/>
                    </w:rPr>
                    <w:t>表面能</w:t>
                  </w:r>
                  <w:r>
                    <w:rPr>
                      <w:rFonts w:hint="default" w:ascii="Times New Roman" w:hAnsi="Times New Roman" w:eastAsia="宋体" w:cs="Times New Roman"/>
                      <w:b w:val="0"/>
                      <w:bCs w:val="0"/>
                      <w:color w:val="auto"/>
                      <w:sz w:val="21"/>
                      <w:szCs w:val="21"/>
                      <w:highlight w:val="none"/>
                      <w:lang w:val="en-US" w:eastAsia="zh-CN"/>
                    </w:rPr>
                    <w:fldChar w:fldCharType="end"/>
                  </w:r>
                  <w:r>
                    <w:rPr>
                      <w:rFonts w:hint="default" w:ascii="Times New Roman" w:hAnsi="Times New Roman" w:eastAsia="宋体" w:cs="Times New Roman"/>
                      <w:b w:val="0"/>
                      <w:bCs w:val="0"/>
                      <w:color w:val="auto"/>
                      <w:sz w:val="21"/>
                      <w:szCs w:val="21"/>
                      <w:highlight w:val="none"/>
                      <w:lang w:val="en-US" w:eastAsia="zh-CN"/>
                    </w:rPr>
                    <w:t>有区分的薄膜，离型膜与特定的材料在有限的条件下接触后不具有粘性，或轻微的粘性。为了增加塑料薄膜的</w:t>
                  </w:r>
                  <w:r>
                    <w:rPr>
                      <w:rFonts w:hint="default" w:ascii="Times New Roman" w:hAnsi="Times New Roman" w:eastAsia="宋体" w:cs="Times New Roman"/>
                      <w:b w:val="0"/>
                      <w:bCs w:val="0"/>
                      <w:color w:val="auto"/>
                      <w:sz w:val="21"/>
                      <w:szCs w:val="21"/>
                      <w:highlight w:val="none"/>
                      <w:lang w:val="en-US" w:eastAsia="zh-CN"/>
                    </w:rPr>
                    <w:fldChar w:fldCharType="begin"/>
                  </w:r>
                  <w:r>
                    <w:rPr>
                      <w:rFonts w:hint="default" w:ascii="Times New Roman" w:hAnsi="Times New Roman" w:eastAsia="宋体" w:cs="Times New Roman"/>
                      <w:b w:val="0"/>
                      <w:bCs w:val="0"/>
                      <w:color w:val="auto"/>
                      <w:sz w:val="21"/>
                      <w:szCs w:val="21"/>
                      <w:highlight w:val="none"/>
                      <w:lang w:val="en-US" w:eastAsia="zh-CN"/>
                    </w:rPr>
                    <w:instrText xml:space="preserve"> HYPERLINK "https://baike.baidu.com/item/%E7%A6%BB%E5%9E%8B%E5%8A%9B/9504967?fromModule=lemma_inlink" \t "https://baike.baidu.com/item/%E7%A6%BB%E5%9E%8B%E8%86%9C/_blank" </w:instrText>
                  </w:r>
                  <w:r>
                    <w:rPr>
                      <w:rFonts w:hint="default" w:ascii="Times New Roman" w:hAnsi="Times New Roman" w:eastAsia="宋体" w:cs="Times New Roman"/>
                      <w:b w:val="0"/>
                      <w:bCs w:val="0"/>
                      <w:color w:val="auto"/>
                      <w:sz w:val="21"/>
                      <w:szCs w:val="21"/>
                      <w:highlight w:val="none"/>
                      <w:lang w:val="en-US" w:eastAsia="zh-CN"/>
                    </w:rPr>
                    <w:fldChar w:fldCharType="separate"/>
                  </w:r>
                  <w:r>
                    <w:rPr>
                      <w:rFonts w:hint="default" w:ascii="Times New Roman" w:hAnsi="Times New Roman" w:eastAsia="宋体" w:cs="Times New Roman"/>
                      <w:b w:val="0"/>
                      <w:bCs w:val="0"/>
                      <w:color w:val="auto"/>
                      <w:sz w:val="21"/>
                      <w:szCs w:val="21"/>
                      <w:highlight w:val="none"/>
                      <w:lang w:val="en-US" w:eastAsia="zh-CN"/>
                    </w:rPr>
                    <w:t>离型力</w:t>
                  </w:r>
                  <w:r>
                    <w:rPr>
                      <w:rFonts w:hint="default" w:ascii="Times New Roman" w:hAnsi="Times New Roman" w:eastAsia="宋体" w:cs="Times New Roman"/>
                      <w:b w:val="0"/>
                      <w:bCs w:val="0"/>
                      <w:color w:val="auto"/>
                      <w:sz w:val="21"/>
                      <w:szCs w:val="21"/>
                      <w:highlight w:val="none"/>
                      <w:lang w:val="en-US" w:eastAsia="zh-CN"/>
                    </w:rPr>
                    <w:fldChar w:fldCharType="end"/>
                  </w:r>
                  <w:r>
                    <w:rPr>
                      <w:rFonts w:hint="default" w:ascii="Times New Roman" w:hAnsi="Times New Roman" w:eastAsia="宋体" w:cs="Times New Roman"/>
                      <w:b w:val="0"/>
                      <w:bCs w:val="0"/>
                      <w:color w:val="auto"/>
                      <w:sz w:val="21"/>
                      <w:szCs w:val="21"/>
                      <w:highlight w:val="none"/>
                      <w:lang w:val="en-US" w:eastAsia="zh-CN"/>
                    </w:rPr>
                    <w:t>，会将</w:t>
                  </w:r>
                  <w:r>
                    <w:rPr>
                      <w:rFonts w:hint="default" w:ascii="Times New Roman" w:hAnsi="Times New Roman" w:eastAsia="宋体" w:cs="Times New Roman"/>
                      <w:b w:val="0"/>
                      <w:bCs w:val="0"/>
                      <w:color w:val="auto"/>
                      <w:sz w:val="21"/>
                      <w:szCs w:val="21"/>
                      <w:highlight w:val="none"/>
                      <w:lang w:val="en-US" w:eastAsia="zh-CN"/>
                    </w:rPr>
                    <w:fldChar w:fldCharType="begin"/>
                  </w:r>
                  <w:r>
                    <w:rPr>
                      <w:rFonts w:hint="default" w:ascii="Times New Roman" w:hAnsi="Times New Roman" w:eastAsia="宋体" w:cs="Times New Roman"/>
                      <w:b w:val="0"/>
                      <w:bCs w:val="0"/>
                      <w:color w:val="auto"/>
                      <w:sz w:val="21"/>
                      <w:szCs w:val="21"/>
                      <w:highlight w:val="none"/>
                      <w:lang w:val="en-US" w:eastAsia="zh-CN"/>
                    </w:rPr>
                    <w:instrText xml:space="preserve"> HYPERLINK "https://baike.baidu.com/item/%E5%A1%91%E6%96%99%E8%96%84%E8%86%9C/3170760?fromModule=lemma_inlink" \t "https://baike.baidu.com/item/%E7%A6%BB%E5%9E%8B%E8%86%9C/_blank" </w:instrText>
                  </w:r>
                  <w:r>
                    <w:rPr>
                      <w:rFonts w:hint="default" w:ascii="Times New Roman" w:hAnsi="Times New Roman" w:eastAsia="宋体" w:cs="Times New Roman"/>
                      <w:b w:val="0"/>
                      <w:bCs w:val="0"/>
                      <w:color w:val="auto"/>
                      <w:sz w:val="21"/>
                      <w:szCs w:val="21"/>
                      <w:highlight w:val="none"/>
                      <w:lang w:val="en-US" w:eastAsia="zh-CN"/>
                    </w:rPr>
                    <w:fldChar w:fldCharType="separate"/>
                  </w:r>
                  <w:r>
                    <w:rPr>
                      <w:rFonts w:hint="default" w:ascii="Times New Roman" w:hAnsi="Times New Roman" w:eastAsia="宋体" w:cs="Times New Roman"/>
                      <w:b w:val="0"/>
                      <w:bCs w:val="0"/>
                      <w:color w:val="auto"/>
                      <w:sz w:val="21"/>
                      <w:szCs w:val="21"/>
                      <w:highlight w:val="none"/>
                      <w:lang w:val="en-US" w:eastAsia="zh-CN"/>
                    </w:rPr>
                    <w:t>塑料薄膜</w:t>
                  </w:r>
                  <w:r>
                    <w:rPr>
                      <w:rFonts w:hint="default" w:ascii="Times New Roman" w:hAnsi="Times New Roman" w:eastAsia="宋体" w:cs="Times New Roman"/>
                      <w:b w:val="0"/>
                      <w:bCs w:val="0"/>
                      <w:color w:val="auto"/>
                      <w:sz w:val="21"/>
                      <w:szCs w:val="21"/>
                      <w:highlight w:val="none"/>
                      <w:lang w:val="en-US" w:eastAsia="zh-CN"/>
                    </w:rPr>
                    <w:fldChar w:fldCharType="end"/>
                  </w:r>
                  <w:r>
                    <w:rPr>
                      <w:rFonts w:hint="default" w:ascii="Times New Roman" w:hAnsi="Times New Roman" w:eastAsia="宋体" w:cs="Times New Roman"/>
                      <w:b w:val="0"/>
                      <w:bCs w:val="0"/>
                      <w:color w:val="auto"/>
                      <w:sz w:val="21"/>
                      <w:szCs w:val="21"/>
                      <w:highlight w:val="none"/>
                      <w:lang w:val="en-US" w:eastAsia="zh-CN"/>
                    </w:rPr>
                    <w:t>做</w:t>
                  </w:r>
                  <w:r>
                    <w:rPr>
                      <w:rFonts w:hint="default" w:ascii="Times New Roman" w:hAnsi="Times New Roman" w:eastAsia="宋体" w:cs="Times New Roman"/>
                      <w:b w:val="0"/>
                      <w:bCs w:val="0"/>
                      <w:color w:val="auto"/>
                      <w:sz w:val="21"/>
                      <w:szCs w:val="21"/>
                      <w:highlight w:val="none"/>
                      <w:lang w:val="en-US" w:eastAsia="zh-CN"/>
                    </w:rPr>
                    <w:fldChar w:fldCharType="begin"/>
                  </w:r>
                  <w:r>
                    <w:rPr>
                      <w:rFonts w:hint="default" w:ascii="Times New Roman" w:hAnsi="Times New Roman" w:eastAsia="宋体" w:cs="Times New Roman"/>
                      <w:b w:val="0"/>
                      <w:bCs w:val="0"/>
                      <w:color w:val="auto"/>
                      <w:sz w:val="21"/>
                      <w:szCs w:val="21"/>
                      <w:highlight w:val="none"/>
                      <w:lang w:val="en-US" w:eastAsia="zh-CN"/>
                    </w:rPr>
                    <w:instrText xml:space="preserve"> HYPERLINK "https://baike.baidu.com/item/%E7%AD%89%E7%A6%BB%E5%AD%90%E5%A4%84%E7%90%86/9726869?fromModule=lemma_inlink" \t "https://baike.baidu.com/item/%E7%A6%BB%E5%9E%8B%E8%86%9C/_blank" </w:instrText>
                  </w:r>
                  <w:r>
                    <w:rPr>
                      <w:rFonts w:hint="default" w:ascii="Times New Roman" w:hAnsi="Times New Roman" w:eastAsia="宋体" w:cs="Times New Roman"/>
                      <w:b w:val="0"/>
                      <w:bCs w:val="0"/>
                      <w:color w:val="auto"/>
                      <w:sz w:val="21"/>
                      <w:szCs w:val="21"/>
                      <w:highlight w:val="none"/>
                      <w:lang w:val="en-US" w:eastAsia="zh-CN"/>
                    </w:rPr>
                    <w:fldChar w:fldCharType="separate"/>
                  </w:r>
                  <w:r>
                    <w:rPr>
                      <w:rFonts w:hint="default" w:ascii="Times New Roman" w:hAnsi="Times New Roman" w:eastAsia="宋体" w:cs="Times New Roman"/>
                      <w:b w:val="0"/>
                      <w:bCs w:val="0"/>
                      <w:color w:val="auto"/>
                      <w:sz w:val="21"/>
                      <w:szCs w:val="21"/>
                      <w:highlight w:val="none"/>
                      <w:lang w:val="en-US" w:eastAsia="zh-CN"/>
                    </w:rPr>
                    <w:t>等离子处理</w:t>
                  </w:r>
                  <w:r>
                    <w:rPr>
                      <w:rFonts w:hint="default" w:ascii="Times New Roman" w:hAnsi="Times New Roman" w:eastAsia="宋体" w:cs="Times New Roman"/>
                      <w:b w:val="0"/>
                      <w:bCs w:val="0"/>
                      <w:color w:val="auto"/>
                      <w:sz w:val="21"/>
                      <w:szCs w:val="21"/>
                      <w:highlight w:val="none"/>
                      <w:lang w:val="en-US" w:eastAsia="zh-CN"/>
                    </w:rPr>
                    <w:fldChar w:fldCharType="end"/>
                  </w:r>
                  <w:r>
                    <w:rPr>
                      <w:rFonts w:hint="default" w:ascii="Times New Roman" w:hAnsi="Times New Roman" w:eastAsia="宋体" w:cs="Times New Roman"/>
                      <w:b w:val="0"/>
                      <w:bCs w:val="0"/>
                      <w:color w:val="auto"/>
                      <w:sz w:val="21"/>
                      <w:szCs w:val="21"/>
                      <w:highlight w:val="none"/>
                      <w:lang w:val="en-US" w:eastAsia="zh-CN"/>
                    </w:rPr>
                    <w:t>，或涂氟处理，或涂硅</w:t>
                  </w:r>
                  <w:r>
                    <w:rPr>
                      <w:rFonts w:hint="default" w:ascii="Times New Roman" w:hAnsi="Times New Roman" w:eastAsia="宋体" w:cs="Times New Roman"/>
                      <w:b w:val="0"/>
                      <w:bCs w:val="0"/>
                      <w:color w:val="auto"/>
                      <w:sz w:val="21"/>
                      <w:szCs w:val="21"/>
                      <w:highlight w:val="none"/>
                      <w:lang w:val="en-US" w:eastAsia="zh-CN"/>
                    </w:rPr>
                    <w:fldChar w:fldCharType="begin"/>
                  </w:r>
                  <w:r>
                    <w:rPr>
                      <w:rFonts w:hint="default" w:ascii="Times New Roman" w:hAnsi="Times New Roman" w:eastAsia="宋体" w:cs="Times New Roman"/>
                      <w:b w:val="0"/>
                      <w:bCs w:val="0"/>
                      <w:color w:val="auto"/>
                      <w:sz w:val="21"/>
                      <w:szCs w:val="21"/>
                      <w:highlight w:val="none"/>
                      <w:lang w:val="en-US" w:eastAsia="zh-CN"/>
                    </w:rPr>
                    <w:instrText xml:space="preserve"> HYPERLINK "https://baike.baidu.com/item/%E7%A6%BB%E5%9E%8B%E5%89%82/3051165?fromModule=lemma_inlink" \t "https://baike.baidu.com/item/%E7%A6%BB%E5%9E%8B%E8%86%9C/_blank" </w:instrText>
                  </w:r>
                  <w:r>
                    <w:rPr>
                      <w:rFonts w:hint="default" w:ascii="Times New Roman" w:hAnsi="Times New Roman" w:eastAsia="宋体" w:cs="Times New Roman"/>
                      <w:b w:val="0"/>
                      <w:bCs w:val="0"/>
                      <w:color w:val="auto"/>
                      <w:sz w:val="21"/>
                      <w:szCs w:val="21"/>
                      <w:highlight w:val="none"/>
                      <w:lang w:val="en-US" w:eastAsia="zh-CN"/>
                    </w:rPr>
                    <w:fldChar w:fldCharType="separate"/>
                  </w:r>
                  <w:r>
                    <w:rPr>
                      <w:rFonts w:hint="default" w:ascii="Times New Roman" w:hAnsi="Times New Roman" w:eastAsia="宋体" w:cs="Times New Roman"/>
                      <w:b w:val="0"/>
                      <w:bCs w:val="0"/>
                      <w:color w:val="auto"/>
                      <w:sz w:val="21"/>
                      <w:szCs w:val="21"/>
                      <w:highlight w:val="none"/>
                      <w:lang w:val="en-US" w:eastAsia="zh-CN"/>
                    </w:rPr>
                    <w:t>离型剂</w:t>
                  </w:r>
                  <w:r>
                    <w:rPr>
                      <w:rFonts w:hint="default" w:ascii="Times New Roman" w:hAnsi="Times New Roman" w:eastAsia="宋体" w:cs="Times New Roman"/>
                      <w:b w:val="0"/>
                      <w:bCs w:val="0"/>
                      <w:color w:val="auto"/>
                      <w:sz w:val="21"/>
                      <w:szCs w:val="21"/>
                      <w:highlight w:val="none"/>
                      <w:lang w:val="en-US" w:eastAsia="zh-CN"/>
                    </w:rPr>
                    <w:fldChar w:fldCharType="end"/>
                  </w:r>
                  <w:r>
                    <w:rPr>
                      <w:rFonts w:hint="default" w:ascii="Times New Roman" w:hAnsi="Times New Roman" w:eastAsia="宋体" w:cs="Times New Roman"/>
                      <w:b w:val="0"/>
                      <w:bCs w:val="0"/>
                      <w:color w:val="auto"/>
                      <w:sz w:val="21"/>
                      <w:szCs w:val="21"/>
                      <w:highlight w:val="none"/>
                      <w:lang w:val="en-US" w:eastAsia="zh-CN"/>
                    </w:rPr>
                    <w:t>于薄膜材质的表层上</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让它对于各种不同的有机压感胶可以表现出极轻且稳定的离型力。</w:t>
                  </w:r>
                </w:p>
              </w:tc>
            </w:tr>
          </w:tbl>
          <w:p w14:paraId="0584BB48">
            <w:pPr>
              <w:numPr>
                <w:ilvl w:val="0"/>
                <w:numId w:val="0"/>
              </w:numPr>
              <w:adjustRightInd w:val="0"/>
              <w:snapToGrid w:val="0"/>
              <w:spacing w:line="360" w:lineRule="auto"/>
              <w:jc w:val="both"/>
              <w:rPr>
                <w:rFonts w:hint="default" w:ascii="Times New Roman" w:hAnsi="Times New Roman" w:cs="Times New Roman"/>
                <w:bCs/>
                <w:color w:val="auto"/>
                <w:sz w:val="24"/>
                <w:szCs w:val="24"/>
                <w:lang w:val="en-US" w:eastAsia="zh-CN"/>
              </w:rPr>
            </w:pPr>
            <w:r>
              <w:rPr>
                <w:rFonts w:hint="default" w:ascii="Times New Roman" w:hAnsi="Times New Roman" w:cs="Times New Roman"/>
                <w:b/>
                <w:bCs/>
                <w:color w:val="auto"/>
                <w:kern w:val="2"/>
                <w:sz w:val="24"/>
                <w:szCs w:val="24"/>
                <w:lang w:val="en-US" w:eastAsia="zh-CN" w:bidi="ar-SA"/>
              </w:rPr>
              <w:t>6、</w:t>
            </w:r>
            <w:r>
              <w:rPr>
                <w:rFonts w:hint="default" w:ascii="Times New Roman" w:hAnsi="Times New Roman" w:cs="Times New Roman"/>
                <w:b/>
                <w:bCs w:val="0"/>
                <w:color w:val="auto"/>
                <w:sz w:val="24"/>
                <w:szCs w:val="24"/>
                <w:lang w:val="en-US" w:eastAsia="zh-CN"/>
              </w:rPr>
              <w:t>公用工程</w:t>
            </w:r>
          </w:p>
          <w:p w14:paraId="48C0F31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96" w:firstLineChars="200"/>
              <w:jc w:val="both"/>
              <w:textAlignment w:val="auto"/>
              <w:rPr>
                <w:rFonts w:hint="eastAsia"/>
                <w:color w:val="auto"/>
                <w:spacing w:val="4"/>
                <w:sz w:val="24"/>
                <w:lang w:val="en-US" w:eastAsia="zh-CN"/>
              </w:rPr>
            </w:pPr>
            <w:r>
              <w:rPr>
                <w:rFonts w:hint="eastAsia"/>
                <w:color w:val="auto"/>
                <w:spacing w:val="4"/>
                <w:sz w:val="24"/>
                <w:lang w:eastAsia="zh-CN"/>
              </w:rPr>
              <w:t>（</w:t>
            </w:r>
            <w:r>
              <w:rPr>
                <w:rFonts w:hint="eastAsia"/>
                <w:color w:val="auto"/>
                <w:spacing w:val="4"/>
                <w:sz w:val="24"/>
                <w:lang w:val="en-US" w:eastAsia="zh-CN"/>
              </w:rPr>
              <w:t>1</w:t>
            </w:r>
            <w:r>
              <w:rPr>
                <w:rFonts w:hint="eastAsia"/>
                <w:color w:val="auto"/>
                <w:spacing w:val="4"/>
                <w:sz w:val="24"/>
                <w:lang w:eastAsia="zh-CN"/>
              </w:rPr>
              <w:t>）</w:t>
            </w:r>
            <w:r>
              <w:rPr>
                <w:rFonts w:hint="eastAsia"/>
                <w:color w:val="auto"/>
                <w:spacing w:val="4"/>
                <w:sz w:val="24"/>
                <w:lang w:val="en-US" w:eastAsia="zh-CN"/>
              </w:rPr>
              <w:t>给排水</w:t>
            </w:r>
          </w:p>
          <w:p w14:paraId="36709F0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96" w:firstLineChars="200"/>
              <w:jc w:val="both"/>
              <w:textAlignment w:val="auto"/>
              <w:rPr>
                <w:rFonts w:hint="eastAsia"/>
                <w:color w:val="auto"/>
                <w:spacing w:val="4"/>
                <w:sz w:val="24"/>
              </w:rPr>
            </w:pPr>
            <w:r>
              <w:rPr>
                <w:color w:val="auto"/>
                <w:spacing w:val="4"/>
                <w:sz w:val="24"/>
              </w:rPr>
              <w:t>由市政供水管网提供，</w:t>
            </w:r>
            <w:r>
              <w:rPr>
                <w:rFonts w:hint="eastAsia"/>
                <w:color w:val="auto"/>
                <w:spacing w:val="4"/>
                <w:sz w:val="24"/>
                <w:lang w:val="en-US" w:eastAsia="zh-CN"/>
              </w:rPr>
              <w:t>给</w:t>
            </w:r>
            <w:r>
              <w:rPr>
                <w:color w:val="auto"/>
                <w:spacing w:val="4"/>
                <w:sz w:val="24"/>
              </w:rPr>
              <w:t>水设施依托</w:t>
            </w:r>
            <w:r>
              <w:rPr>
                <w:rFonts w:hint="eastAsia"/>
                <w:color w:val="auto"/>
                <w:sz w:val="24"/>
                <w:szCs w:val="32"/>
                <w:lang w:val="en-US" w:eastAsia="zh-CN"/>
              </w:rPr>
              <w:t>园区</w:t>
            </w:r>
            <w:r>
              <w:rPr>
                <w:color w:val="auto"/>
                <w:spacing w:val="4"/>
                <w:sz w:val="24"/>
              </w:rPr>
              <w:t>已建成供水管网，本项目废水主要为生活</w:t>
            </w:r>
            <w:r>
              <w:rPr>
                <w:rFonts w:hint="eastAsia"/>
                <w:color w:val="auto"/>
                <w:spacing w:val="4"/>
                <w:sz w:val="24"/>
              </w:rPr>
              <w:t>污</w:t>
            </w:r>
            <w:r>
              <w:rPr>
                <w:color w:val="auto"/>
                <w:spacing w:val="4"/>
                <w:sz w:val="24"/>
              </w:rPr>
              <w:t>水</w:t>
            </w:r>
            <w:r>
              <w:rPr>
                <w:rFonts w:hint="eastAsia"/>
                <w:color w:val="auto"/>
                <w:spacing w:val="4"/>
                <w:sz w:val="24"/>
              </w:rPr>
              <w:t>、</w:t>
            </w:r>
            <w:r>
              <w:rPr>
                <w:rFonts w:hint="eastAsia" w:ascii="Times New Roman" w:hAnsi="Times New Roman" w:cs="Times New Roman"/>
                <w:b w:val="0"/>
                <w:bCs/>
                <w:color w:val="auto"/>
                <w:sz w:val="24"/>
                <w:szCs w:val="24"/>
                <w:lang w:val="en-US" w:eastAsia="zh-CN"/>
              </w:rPr>
              <w:t>纯水制备排放浓水</w:t>
            </w:r>
            <w:r>
              <w:rPr>
                <w:rFonts w:hint="eastAsia"/>
                <w:color w:val="auto"/>
                <w:spacing w:val="4"/>
                <w:sz w:val="24"/>
              </w:rPr>
              <w:t>、</w:t>
            </w:r>
            <w:r>
              <w:rPr>
                <w:rFonts w:hint="eastAsia"/>
                <w:color w:val="auto"/>
                <w:sz w:val="24"/>
              </w:rPr>
              <w:t>实验室器皿清洗</w:t>
            </w:r>
            <w:r>
              <w:rPr>
                <w:rFonts w:hint="default" w:ascii="Times New Roman" w:hAnsi="Times New Roman" w:cs="Times New Roman"/>
                <w:b w:val="0"/>
                <w:bCs/>
                <w:color w:val="auto"/>
                <w:sz w:val="24"/>
                <w:szCs w:val="24"/>
                <w:lang w:val="en-US" w:eastAsia="zh-CN"/>
              </w:rPr>
              <w:t>废水</w:t>
            </w:r>
            <w:r>
              <w:rPr>
                <w:rFonts w:hint="eastAsia"/>
                <w:color w:val="auto"/>
                <w:spacing w:val="4"/>
                <w:sz w:val="24"/>
              </w:rPr>
              <w:t>。</w:t>
            </w:r>
          </w:p>
          <w:p w14:paraId="012EEE2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①生活用水</w:t>
            </w:r>
          </w:p>
          <w:p w14:paraId="4878C78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本项目劳动定员为10人，厂区内不提供食宿，年工作</w:t>
            </w:r>
            <w:r>
              <w:rPr>
                <w:rFonts w:hint="eastAsia" w:ascii="Times New Roman" w:hAnsi="Times New Roman" w:cs="Times New Roman"/>
                <w:b w:val="0"/>
                <w:bCs/>
                <w:color w:val="auto"/>
                <w:sz w:val="24"/>
                <w:szCs w:val="24"/>
                <w:lang w:val="en-US" w:eastAsia="zh-CN"/>
              </w:rPr>
              <w:t>250</w:t>
            </w:r>
            <w:r>
              <w:rPr>
                <w:rFonts w:hint="default" w:ascii="Times New Roman" w:hAnsi="Times New Roman" w:cs="Times New Roman"/>
                <w:b w:val="0"/>
                <w:bCs/>
                <w:color w:val="auto"/>
                <w:sz w:val="24"/>
                <w:szCs w:val="24"/>
                <w:lang w:val="en-US" w:eastAsia="zh-CN"/>
              </w:rPr>
              <w:t>天。</w:t>
            </w:r>
            <w:r>
              <w:rPr>
                <w:rFonts w:hint="default" w:ascii="Times New Roman" w:hAnsi="Times New Roman" w:cs="Times New Roman"/>
                <w:color w:val="auto"/>
                <w:kern w:val="0"/>
                <w:sz w:val="24"/>
                <w:szCs w:val="22"/>
              </w:rPr>
              <w:t>根据《行业用水定额》（DB61/T943-2020），生活用水量按行政办公</w:t>
            </w:r>
            <w:r>
              <w:rPr>
                <w:rFonts w:hint="eastAsia" w:ascii="Times New Roman" w:hAnsi="Times New Roman" w:cs="Times New Roman"/>
                <w:color w:val="auto"/>
                <w:kern w:val="0"/>
                <w:sz w:val="24"/>
                <w:szCs w:val="22"/>
                <w:lang w:val="en-US" w:eastAsia="zh-CN"/>
              </w:rPr>
              <w:t>通用</w:t>
            </w:r>
            <w:r>
              <w:rPr>
                <w:rFonts w:hint="default" w:ascii="Times New Roman" w:hAnsi="Times New Roman" w:cs="Times New Roman"/>
                <w:color w:val="auto"/>
                <w:kern w:val="0"/>
                <w:sz w:val="24"/>
                <w:szCs w:val="22"/>
              </w:rPr>
              <w:t>值计，为</w:t>
            </w:r>
            <w:r>
              <w:rPr>
                <w:rFonts w:hint="eastAsia" w:ascii="Times New Roman" w:hAnsi="Times New Roman" w:cs="Times New Roman"/>
                <w:color w:val="auto"/>
                <w:kern w:val="0"/>
                <w:sz w:val="24"/>
                <w:szCs w:val="22"/>
                <w:lang w:val="en-US" w:eastAsia="zh-CN"/>
              </w:rPr>
              <w:t>25</w:t>
            </w:r>
            <w:r>
              <w:rPr>
                <w:rFonts w:hint="default" w:ascii="Times New Roman" w:hAnsi="Times New Roman" w:cs="Times New Roman"/>
                <w:color w:val="auto"/>
                <w:kern w:val="0"/>
                <w:sz w:val="24"/>
                <w:szCs w:val="22"/>
                <w:lang w:val="en-US" w:eastAsia="zh-CN"/>
              </w:rPr>
              <w:t>m</w:t>
            </w:r>
            <w:r>
              <w:rPr>
                <w:rFonts w:hint="default" w:ascii="Times New Roman" w:hAnsi="Times New Roman" w:cs="Times New Roman"/>
                <w:color w:val="auto"/>
                <w:kern w:val="0"/>
                <w:sz w:val="24"/>
                <w:szCs w:val="22"/>
                <w:vertAlign w:val="superscript"/>
                <w:lang w:val="en-US" w:eastAsia="zh-CN"/>
              </w:rPr>
              <w:t>3</w:t>
            </w:r>
            <w:r>
              <w:rPr>
                <w:rFonts w:hint="default" w:ascii="Times New Roman" w:hAnsi="Times New Roman" w:cs="Times New Roman"/>
                <w:color w:val="auto"/>
                <w:kern w:val="0"/>
                <w:sz w:val="24"/>
                <w:szCs w:val="22"/>
              </w:rPr>
              <w:t>/（人·</w:t>
            </w:r>
            <w:r>
              <w:rPr>
                <w:rFonts w:hint="default" w:ascii="Times New Roman" w:hAnsi="Times New Roman" w:cs="Times New Roman"/>
                <w:color w:val="auto"/>
                <w:kern w:val="0"/>
                <w:sz w:val="24"/>
                <w:szCs w:val="22"/>
                <w:lang w:val="en-US" w:eastAsia="zh-CN"/>
              </w:rPr>
              <w:t>a</w:t>
            </w:r>
            <w:r>
              <w:rPr>
                <w:rFonts w:hint="default" w:ascii="Times New Roman" w:hAnsi="Times New Roman" w:cs="Times New Roman"/>
                <w:color w:val="auto"/>
                <w:kern w:val="0"/>
                <w:sz w:val="24"/>
                <w:szCs w:val="22"/>
              </w:rPr>
              <w:t>）</w:t>
            </w:r>
            <w:r>
              <w:rPr>
                <w:rFonts w:hint="default" w:ascii="Times New Roman" w:hAnsi="Times New Roman" w:cs="Times New Roman"/>
                <w:color w:val="auto"/>
                <w:kern w:val="0"/>
                <w:sz w:val="24"/>
                <w:szCs w:val="22"/>
                <w:lang w:val="zh-TW"/>
              </w:rPr>
              <w:t>，</w:t>
            </w:r>
            <w:r>
              <w:rPr>
                <w:rFonts w:hint="default" w:ascii="Times New Roman" w:hAnsi="Times New Roman" w:cs="Times New Roman"/>
                <w:color w:val="auto"/>
                <w:kern w:val="0"/>
                <w:sz w:val="24"/>
                <w:szCs w:val="22"/>
                <w:lang w:val="en-US" w:eastAsia="zh-CN"/>
              </w:rPr>
              <w:t>则生活用水量为</w:t>
            </w:r>
            <w:r>
              <w:rPr>
                <w:rFonts w:hint="eastAsia" w:ascii="Times New Roman" w:hAnsi="Times New Roman" w:cs="Times New Roman"/>
                <w:color w:val="auto"/>
                <w:kern w:val="0"/>
                <w:sz w:val="24"/>
                <w:szCs w:val="22"/>
                <w:lang w:val="en-US" w:eastAsia="zh-CN"/>
              </w:rPr>
              <w:t>1</w:t>
            </w:r>
            <w:r>
              <w:rPr>
                <w:rFonts w:hint="default" w:ascii="Times New Roman" w:hAnsi="Times New Roman" w:cs="Times New Roman"/>
                <w:color w:val="auto"/>
                <w:kern w:val="0"/>
                <w:sz w:val="24"/>
                <w:szCs w:val="22"/>
              </w:rPr>
              <w:t>m</w:t>
            </w:r>
            <w:r>
              <w:rPr>
                <w:rFonts w:hint="default" w:ascii="Times New Roman" w:hAnsi="Times New Roman" w:cs="Times New Roman"/>
                <w:color w:val="auto"/>
                <w:kern w:val="0"/>
                <w:sz w:val="24"/>
                <w:szCs w:val="22"/>
                <w:vertAlign w:val="superscript"/>
              </w:rPr>
              <w:t>3</w:t>
            </w:r>
            <w:r>
              <w:rPr>
                <w:rFonts w:hint="default" w:ascii="Times New Roman" w:hAnsi="Times New Roman" w:cs="Times New Roman"/>
                <w:color w:val="auto"/>
                <w:kern w:val="0"/>
                <w:sz w:val="24"/>
                <w:szCs w:val="22"/>
              </w:rPr>
              <w:t>/d</w:t>
            </w:r>
            <w:r>
              <w:rPr>
                <w:rFonts w:hint="eastAsia" w:ascii="Times New Roman" w:hAnsi="Times New Roman" w:cs="Times New Roman"/>
                <w:color w:val="auto"/>
                <w:kern w:val="0"/>
                <w:sz w:val="24"/>
                <w:szCs w:val="22"/>
                <w:lang w:eastAsia="zh-CN"/>
              </w:rPr>
              <w:t>（</w:t>
            </w:r>
            <w:r>
              <w:rPr>
                <w:rFonts w:hint="eastAsia" w:ascii="Times New Roman" w:hAnsi="Times New Roman" w:cs="Times New Roman"/>
                <w:color w:val="auto"/>
                <w:kern w:val="0"/>
                <w:sz w:val="24"/>
                <w:szCs w:val="22"/>
                <w:lang w:val="en-US" w:eastAsia="zh-CN"/>
              </w:rPr>
              <w:t>250</w:t>
            </w:r>
            <w:r>
              <w:rPr>
                <w:rFonts w:hint="default" w:ascii="Times New Roman" w:hAnsi="Times New Roman" w:cs="Times New Roman"/>
                <w:color w:val="auto"/>
                <w:kern w:val="0"/>
                <w:sz w:val="24"/>
                <w:szCs w:val="22"/>
              </w:rPr>
              <w:t>m</w:t>
            </w:r>
            <w:r>
              <w:rPr>
                <w:rFonts w:hint="default" w:ascii="Times New Roman" w:hAnsi="Times New Roman" w:cs="Times New Roman"/>
                <w:color w:val="auto"/>
                <w:kern w:val="0"/>
                <w:sz w:val="24"/>
                <w:szCs w:val="22"/>
                <w:vertAlign w:val="superscript"/>
              </w:rPr>
              <w:t>3</w:t>
            </w:r>
            <w:r>
              <w:rPr>
                <w:rFonts w:hint="default" w:ascii="Times New Roman" w:hAnsi="Times New Roman" w:cs="Times New Roman"/>
                <w:color w:val="auto"/>
                <w:kern w:val="0"/>
                <w:sz w:val="24"/>
                <w:szCs w:val="22"/>
              </w:rPr>
              <w:t>/</w:t>
            </w:r>
            <w:r>
              <w:rPr>
                <w:rFonts w:hint="default" w:ascii="Times New Roman" w:hAnsi="Times New Roman" w:eastAsia="宋体" w:cs="Times New Roman"/>
                <w:color w:val="auto"/>
                <w:kern w:val="0"/>
                <w:sz w:val="24"/>
                <w:szCs w:val="22"/>
                <w:lang w:val="en-US" w:eastAsia="zh-CN"/>
              </w:rPr>
              <w:t>a</w:t>
            </w:r>
            <w:r>
              <w:rPr>
                <w:rFonts w:hint="eastAsia" w:ascii="Times New Roman" w:hAnsi="Times New Roman" w:cs="Times New Roman"/>
                <w:color w:val="auto"/>
                <w:kern w:val="0"/>
                <w:sz w:val="24"/>
                <w:szCs w:val="22"/>
                <w:lang w:eastAsia="zh-CN"/>
              </w:rPr>
              <w:t>）</w:t>
            </w:r>
            <w:r>
              <w:rPr>
                <w:rFonts w:hint="default" w:ascii="Times New Roman" w:hAnsi="Times New Roman" w:eastAsia="宋体" w:cs="Times New Roman"/>
                <w:color w:val="auto"/>
                <w:kern w:val="0"/>
                <w:sz w:val="24"/>
                <w:szCs w:val="22"/>
                <w:lang w:val="en-US" w:eastAsia="zh-CN"/>
              </w:rPr>
              <w:t>。</w:t>
            </w:r>
            <w:r>
              <w:rPr>
                <w:rFonts w:hint="default" w:ascii="Times New Roman" w:hAnsi="Times New Roman" w:cs="Times New Roman"/>
                <w:b w:val="0"/>
                <w:bCs/>
                <w:color w:val="auto"/>
                <w:sz w:val="24"/>
                <w:szCs w:val="24"/>
                <w:lang w:val="en-US" w:eastAsia="zh-CN"/>
              </w:rPr>
              <w:t>本项目生活污水产生量以生活用水量的80%计，则生活污水产生量为</w:t>
            </w:r>
            <w:r>
              <w:rPr>
                <w:rFonts w:hint="eastAsia" w:ascii="Times New Roman" w:hAnsi="Times New Roman" w:cs="Times New Roman"/>
                <w:color w:val="auto"/>
                <w:sz w:val="24"/>
                <w:lang w:val="en-US" w:eastAsia="zh-CN"/>
              </w:rPr>
              <w:t>0.8</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200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w:t>
            </w:r>
            <w:r>
              <w:rPr>
                <w:rFonts w:hint="eastAsia" w:ascii="Times New Roman" w:hAnsi="Times New Roman" w:cs="Times New Roman"/>
                <w:color w:val="auto"/>
                <w:sz w:val="24"/>
                <w:lang w:eastAsia="zh-CN"/>
              </w:rPr>
              <w:t>）</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生活污水依托园区化粪池处理后经市政污水管网，最终排入泾河新城第二污水处理厂进行处理。</w:t>
            </w:r>
          </w:p>
          <w:p w14:paraId="181CA18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②</w:t>
            </w:r>
            <w:r>
              <w:rPr>
                <w:rFonts w:hint="eastAsia" w:ascii="Times New Roman" w:hAnsi="Times New Roman" w:cs="Times New Roman"/>
                <w:b w:val="0"/>
                <w:bCs/>
                <w:color w:val="auto"/>
                <w:sz w:val="24"/>
                <w:szCs w:val="24"/>
                <w:lang w:val="en-US" w:eastAsia="zh-CN"/>
              </w:rPr>
              <w:t>纯水机制备用水</w:t>
            </w:r>
          </w:p>
          <w:p w14:paraId="1CB91D3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lang w:val="en-US" w:eastAsia="zh-CN"/>
              </w:rPr>
            </w:pPr>
            <w:r>
              <w:rPr>
                <w:rFonts w:hint="default" w:ascii="Times New Roman" w:hAnsi="Times New Roman" w:eastAsia="宋体" w:cs="Times New Roman"/>
                <w:color w:val="auto"/>
                <w:sz w:val="24"/>
                <w:szCs w:val="24"/>
                <w:highlight w:val="none"/>
              </w:rPr>
              <w:t>项目新建1套纯水制备系统，制备效率为</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0%。项目</w:t>
            </w:r>
            <w:r>
              <w:rPr>
                <w:rFonts w:hint="eastAsia" w:ascii="Times New Roman" w:hAnsi="Times New Roman" w:eastAsia="宋体" w:cs="Times New Roman"/>
                <w:color w:val="auto"/>
                <w:sz w:val="24"/>
                <w:szCs w:val="24"/>
                <w:highlight w:val="none"/>
                <w:lang w:val="en-US" w:eastAsia="zh-CN"/>
              </w:rPr>
              <w:t>制作氢气泄漏检测胶带过程中溶剂配制、超声波清洗机</w:t>
            </w:r>
            <w:r>
              <w:rPr>
                <w:rFonts w:hint="default" w:ascii="Times New Roman" w:hAnsi="Times New Roman" w:eastAsia="宋体" w:cs="Times New Roman"/>
                <w:color w:val="auto"/>
                <w:sz w:val="24"/>
                <w:szCs w:val="24"/>
                <w:highlight w:val="none"/>
              </w:rPr>
              <w:t>需要纯水</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根据</w:t>
            </w:r>
            <w:r>
              <w:rPr>
                <w:rFonts w:hint="eastAsia" w:cs="Times New Roman"/>
                <w:color w:val="auto"/>
                <w:sz w:val="24"/>
                <w:szCs w:val="24"/>
                <w:highlight w:val="none"/>
                <w:lang w:val="en-US" w:eastAsia="zh-CN"/>
              </w:rPr>
              <w:t>后文计算</w:t>
            </w:r>
            <w:r>
              <w:rPr>
                <w:rFonts w:hint="eastAsia" w:ascii="Times New Roman" w:hAnsi="Times New Roman" w:eastAsia="宋体" w:cs="Times New Roman"/>
                <w:color w:val="auto"/>
                <w:sz w:val="24"/>
                <w:szCs w:val="24"/>
                <w:highlight w:val="none"/>
                <w:lang w:val="en-US" w:eastAsia="zh-CN"/>
              </w:rPr>
              <w:t>，项目共计需要纯水0.0153</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3.825</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lang w:val="en-US" w:eastAsia="zh-CN"/>
              </w:rPr>
              <w:t>/a</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则新鲜水用量为</w:t>
            </w:r>
            <w:r>
              <w:rPr>
                <w:rFonts w:hint="eastAsia" w:ascii="Times New Roman" w:hAnsi="Times New Roman" w:eastAsia="宋体" w:cs="Times New Roman"/>
                <w:color w:val="auto"/>
                <w:sz w:val="24"/>
                <w:szCs w:val="24"/>
                <w:highlight w:val="none"/>
                <w:lang w:val="en-US" w:eastAsia="zh-CN"/>
              </w:rPr>
              <w:t>0.0255</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6.375</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lang w:val="en-US" w:eastAsia="zh-CN"/>
              </w:rPr>
              <w: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制备过程产生的浓水为</w:t>
            </w:r>
            <w:r>
              <w:rPr>
                <w:rFonts w:hint="eastAsia" w:ascii="Times New Roman" w:hAnsi="Times New Roman" w:eastAsia="宋体" w:cs="Times New Roman"/>
                <w:color w:val="auto"/>
                <w:sz w:val="24"/>
                <w:szCs w:val="24"/>
                <w:highlight w:val="none"/>
                <w:lang w:val="en-US" w:eastAsia="zh-CN"/>
              </w:rPr>
              <w:t>0.0102</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2.55</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lang w:val="en-US" w:eastAsia="zh-CN"/>
              </w:rPr>
              <w:t>/a）</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能满足企业项目的生产需求</w:t>
            </w:r>
            <w:r>
              <w:rPr>
                <w:rFonts w:hint="default" w:ascii="Times New Roman" w:hAnsi="Times New Roman" w:cs="Times New Roman"/>
                <w:color w:val="auto"/>
                <w:sz w:val="24"/>
                <w:szCs w:val="24"/>
                <w:lang w:val="en-US" w:eastAsia="zh-CN"/>
              </w:rPr>
              <w:t>。</w:t>
            </w:r>
            <w:r>
              <w:rPr>
                <w:rFonts w:hint="eastAsia"/>
                <w:color w:val="auto"/>
                <w:sz w:val="24"/>
              </w:rPr>
              <w:t>实验室纯水制备浓水</w:t>
            </w:r>
            <w:r>
              <w:rPr>
                <w:rFonts w:hint="eastAsia"/>
                <w:color w:val="auto"/>
                <w:sz w:val="24"/>
                <w:lang w:val="en-US" w:eastAsia="zh-CN"/>
              </w:rPr>
              <w:t>与生活污水一同排往园区化粪池</w:t>
            </w:r>
            <w:r>
              <w:rPr>
                <w:rFonts w:hint="default" w:ascii="Times New Roman" w:hAnsi="Times New Roman" w:cs="Times New Roman"/>
                <w:b w:val="0"/>
                <w:bCs/>
                <w:color w:val="auto"/>
                <w:sz w:val="24"/>
                <w:szCs w:val="24"/>
                <w:lang w:val="en-US" w:eastAsia="zh-CN"/>
              </w:rPr>
              <w:t>。</w:t>
            </w:r>
          </w:p>
          <w:p w14:paraId="33B246BA">
            <w:pPr>
              <w:pStyle w:val="6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b w:val="0"/>
                <w:bCs/>
                <w:color w:val="auto"/>
                <w:sz w:val="24"/>
                <w:szCs w:val="24"/>
                <w:lang w:val="en-US" w:eastAsia="zh-CN"/>
              </w:rPr>
              <w:t>③</w:t>
            </w:r>
            <w:r>
              <w:rPr>
                <w:rFonts w:hint="eastAsia" w:ascii="Times New Roman" w:hAnsi="Times New Roman" w:eastAsia="宋体" w:cs="Times New Roman"/>
                <w:color w:val="auto"/>
                <w:sz w:val="24"/>
                <w:szCs w:val="24"/>
                <w:highlight w:val="none"/>
                <w:lang w:val="en-US" w:eastAsia="zh-CN"/>
              </w:rPr>
              <w:t>制作氢气泄漏检测胶带过程中溶剂配制用水</w:t>
            </w:r>
          </w:p>
          <w:p w14:paraId="4467F3AB">
            <w:pPr>
              <w:pStyle w:val="6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Cs w:val="24"/>
                <w:lang w:val="en-US" w:eastAsia="zh-CN"/>
              </w:rPr>
            </w:pPr>
            <w:r>
              <w:rPr>
                <w:rFonts w:hint="eastAsia" w:hAnsi="Times New Roman" w:cs="Times New Roman"/>
                <w:color w:val="auto"/>
                <w:sz w:val="24"/>
                <w:szCs w:val="24"/>
                <w:lang w:val="en-US" w:eastAsia="zh-CN"/>
              </w:rPr>
              <w:t>本项目</w:t>
            </w:r>
            <w:r>
              <w:rPr>
                <w:rFonts w:hint="eastAsia" w:ascii="Times New Roman" w:hAnsi="Times New Roman" w:eastAsia="宋体" w:cs="Times New Roman"/>
                <w:color w:val="auto"/>
                <w:sz w:val="24"/>
                <w:szCs w:val="24"/>
                <w:highlight w:val="none"/>
                <w:lang w:val="en-US" w:eastAsia="zh-CN"/>
              </w:rPr>
              <w:t>制作氢气泄漏检测胶带过程中敏感层制备</w:t>
            </w:r>
            <w:r>
              <w:rPr>
                <w:rFonts w:hint="eastAsia" w:hAnsi="Times New Roman" w:cs="Times New Roman"/>
                <w:color w:val="auto"/>
                <w:sz w:val="24"/>
                <w:szCs w:val="24"/>
                <w:lang w:val="en-US" w:eastAsia="zh-CN"/>
              </w:rPr>
              <w:t>需要使用超纯水，由</w:t>
            </w:r>
            <w:r>
              <w:rPr>
                <w:rFonts w:hint="default" w:ascii="Times New Roman" w:hAnsi="Times New Roman" w:cs="Times New Roman"/>
                <w:b w:val="0"/>
                <w:bCs w:val="0"/>
                <w:color w:val="auto"/>
                <w:lang w:val="en-US" w:eastAsia="zh-CN"/>
              </w:rPr>
              <w:t>变色材料</w:t>
            </w:r>
            <w:r>
              <w:rPr>
                <w:rFonts w:hint="eastAsia" w:ascii="Times New Roman" w:hAnsi="Times New Roman" w:cs="Times New Roman"/>
                <w:b w:val="0"/>
                <w:bCs w:val="0"/>
                <w:color w:val="auto"/>
                <w:lang w:val="en-US" w:eastAsia="zh-CN"/>
              </w:rPr>
              <w:t>、</w:t>
            </w:r>
            <w:r>
              <w:rPr>
                <w:rFonts w:hint="default" w:ascii="Times New Roman" w:hAnsi="Times New Roman" w:cs="Times New Roman"/>
                <w:b w:val="0"/>
                <w:bCs w:val="0"/>
                <w:color w:val="auto"/>
                <w:lang w:val="en-US" w:eastAsia="zh-CN"/>
              </w:rPr>
              <w:t>超纯水</w:t>
            </w:r>
            <w:r>
              <w:rPr>
                <w:rFonts w:hint="eastAsia" w:ascii="Times New Roman" w:hAnsi="Times New Roman" w:cs="Times New Roman"/>
                <w:b w:val="0"/>
                <w:bCs w:val="0"/>
                <w:color w:val="auto"/>
                <w:lang w:val="en-US" w:eastAsia="zh-CN"/>
              </w:rPr>
              <w:t>、</w:t>
            </w:r>
            <w:r>
              <w:rPr>
                <w:rFonts w:hint="default" w:ascii="Times New Roman" w:hAnsi="Times New Roman" w:cs="Times New Roman"/>
                <w:b w:val="0"/>
                <w:bCs w:val="0"/>
                <w:color w:val="auto"/>
                <w:lang w:val="en-US" w:eastAsia="zh-CN"/>
              </w:rPr>
              <w:t>有机硅压敏胶</w:t>
            </w:r>
            <w:r>
              <w:rPr>
                <w:rFonts w:hint="eastAsia" w:ascii="Times New Roman" w:cs="Times New Roman"/>
                <w:b w:val="0"/>
                <w:bCs w:val="0"/>
                <w:color w:val="auto"/>
                <w:lang w:val="en-US" w:eastAsia="zh-CN"/>
              </w:rPr>
              <w:t>按照1:1:4的比例</w:t>
            </w:r>
            <w:r>
              <w:rPr>
                <w:rFonts w:hint="eastAsia" w:ascii="Times New Roman" w:hAnsi="Times New Roman" w:cs="Times New Roman"/>
                <w:b w:val="0"/>
                <w:bCs w:val="0"/>
                <w:color w:val="auto"/>
                <w:lang w:val="en-US" w:eastAsia="zh-CN"/>
              </w:rPr>
              <w:t>制成，有机硅压敏胶使用量为300kg/a，则</w:t>
            </w:r>
            <w:r>
              <w:rPr>
                <w:rFonts w:hint="eastAsia" w:hAnsi="Times New Roman" w:cs="Times New Roman"/>
                <w:snapToGrid w:val="0"/>
                <w:color w:val="auto"/>
                <w:szCs w:val="24"/>
                <w:lang w:val="en-US" w:eastAsia="zh-CN"/>
              </w:rPr>
              <w:t>用于</w:t>
            </w:r>
            <w:r>
              <w:rPr>
                <w:rFonts w:hint="eastAsia" w:ascii="Times New Roman" w:hAnsi="Times New Roman" w:eastAsia="宋体" w:cs="Times New Roman"/>
                <w:color w:val="auto"/>
                <w:sz w:val="24"/>
                <w:szCs w:val="24"/>
                <w:highlight w:val="none"/>
                <w:lang w:val="en-US" w:eastAsia="zh-CN"/>
              </w:rPr>
              <w:t>敏感层制备</w:t>
            </w:r>
            <w:r>
              <w:rPr>
                <w:rFonts w:hint="eastAsia" w:hAnsi="Times New Roman" w:cs="Times New Roman"/>
                <w:snapToGrid w:val="0"/>
                <w:color w:val="auto"/>
                <w:szCs w:val="24"/>
                <w:lang w:val="en-US" w:eastAsia="zh-CN"/>
              </w:rPr>
              <w:t>的超纯水使用量为0.0003</w:t>
            </w:r>
            <w:r>
              <w:rPr>
                <w:rFonts w:hAnsi="Times New Roman" w:cs="Times New Roman"/>
                <w:snapToGrid w:val="0"/>
                <w:color w:val="auto"/>
                <w:szCs w:val="24"/>
              </w:rPr>
              <w:t>m</w:t>
            </w:r>
            <w:r>
              <w:rPr>
                <w:rFonts w:hAnsi="Times New Roman" w:cs="Times New Roman"/>
                <w:snapToGrid w:val="0"/>
                <w:color w:val="auto"/>
                <w:szCs w:val="24"/>
                <w:vertAlign w:val="superscript"/>
              </w:rPr>
              <w:t>3</w:t>
            </w:r>
            <w:r>
              <w:rPr>
                <w:rFonts w:hAnsi="Times New Roman" w:cs="Times New Roman"/>
                <w:snapToGrid w:val="0"/>
                <w:color w:val="auto"/>
                <w:szCs w:val="24"/>
              </w:rPr>
              <w:t>/d</w:t>
            </w:r>
            <w:r>
              <w:rPr>
                <w:rFonts w:hint="eastAsia"/>
                <w:color w:val="auto"/>
                <w:sz w:val="24"/>
                <w:lang w:eastAsia="zh-CN"/>
              </w:rPr>
              <w:t>（</w:t>
            </w:r>
            <w:r>
              <w:rPr>
                <w:rFonts w:hint="eastAsia"/>
                <w:color w:val="auto"/>
                <w:sz w:val="24"/>
                <w:lang w:val="en-US" w:eastAsia="zh-CN"/>
              </w:rPr>
              <w:t>0.075</w:t>
            </w:r>
            <w:r>
              <w:rPr>
                <w:color w:val="auto"/>
                <w:sz w:val="24"/>
              </w:rPr>
              <w:t>m</w:t>
            </w:r>
            <w:r>
              <w:rPr>
                <w:color w:val="auto"/>
                <w:sz w:val="24"/>
                <w:vertAlign w:val="superscript"/>
              </w:rPr>
              <w:t>3</w:t>
            </w:r>
            <w:r>
              <w:rPr>
                <w:color w:val="auto"/>
                <w:sz w:val="24"/>
              </w:rPr>
              <w:t>/a</w:t>
            </w:r>
            <w:r>
              <w:rPr>
                <w:rFonts w:hint="eastAsia"/>
                <w:color w:val="auto"/>
                <w:sz w:val="24"/>
                <w:lang w:eastAsia="zh-CN"/>
              </w:rPr>
              <w:t>）</w:t>
            </w:r>
            <w:r>
              <w:rPr>
                <w:rFonts w:ascii="Times New Roman" w:hAnsi="Times New Roman" w:cs="Times New Roman"/>
                <w:color w:val="auto"/>
                <w:szCs w:val="24"/>
              </w:rPr>
              <w:t>。</w:t>
            </w:r>
            <w:r>
              <w:rPr>
                <w:rFonts w:hint="eastAsia" w:ascii="Times New Roman" w:hAnsi="Times New Roman" w:cs="Times New Roman"/>
                <w:color w:val="auto"/>
                <w:szCs w:val="24"/>
                <w:lang w:val="en-US" w:eastAsia="zh-CN"/>
              </w:rPr>
              <w:t>该部分随后进入产品中，无废水产生。</w:t>
            </w:r>
          </w:p>
          <w:p w14:paraId="562D3160">
            <w:pPr>
              <w:pStyle w:val="6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hAnsi="Times New Roman" w:cs="Times New Roman"/>
                <w:color w:val="auto"/>
                <w:sz w:val="24"/>
                <w:szCs w:val="24"/>
                <w:lang w:val="en-US" w:eastAsia="zh-CN"/>
              </w:rPr>
            </w:pPr>
            <w:r>
              <w:rPr>
                <w:rFonts w:hint="eastAsia" w:hAnsi="Times New Roman" w:cs="Times New Roman"/>
                <w:color w:val="auto"/>
                <w:sz w:val="24"/>
                <w:szCs w:val="24"/>
                <w:lang w:val="en-US" w:eastAsia="zh-CN"/>
              </w:rPr>
              <w:fldChar w:fldCharType="begin"/>
            </w:r>
            <w:r>
              <w:rPr>
                <w:rFonts w:hint="eastAsia" w:hAnsi="Times New Roman" w:cs="Times New Roman"/>
                <w:color w:val="auto"/>
                <w:sz w:val="24"/>
                <w:szCs w:val="24"/>
                <w:lang w:val="en-US" w:eastAsia="zh-CN"/>
              </w:rPr>
              <w:instrText xml:space="preserve"> = 4 \* GB3 \* MERGEFORMAT </w:instrText>
            </w:r>
            <w:r>
              <w:rPr>
                <w:rFonts w:hint="eastAsia" w:hAnsi="Times New Roman" w:cs="Times New Roman"/>
                <w:color w:val="auto"/>
                <w:sz w:val="24"/>
                <w:szCs w:val="24"/>
                <w:lang w:val="en-US" w:eastAsia="zh-CN"/>
              </w:rPr>
              <w:fldChar w:fldCharType="separate"/>
            </w:r>
            <w:r>
              <w:rPr>
                <w:rFonts w:hint="default" w:hAnsi="Times New Roman" w:cs="Times New Roman"/>
                <w:color w:val="auto"/>
                <w:sz w:val="24"/>
                <w:szCs w:val="24"/>
                <w:lang w:val="en-US" w:eastAsia="zh-CN"/>
              </w:rPr>
              <w:t>④</w:t>
            </w:r>
            <w:r>
              <w:rPr>
                <w:rFonts w:hint="eastAsia" w:hAnsi="Times New Roman" w:cs="Times New Roman"/>
                <w:color w:val="auto"/>
                <w:sz w:val="24"/>
                <w:szCs w:val="24"/>
                <w:lang w:val="en-US" w:eastAsia="zh-CN"/>
              </w:rPr>
              <w:fldChar w:fldCharType="end"/>
            </w:r>
            <w:r>
              <w:rPr>
                <w:rFonts w:hint="eastAsia" w:hAnsi="Times New Roman" w:cs="Times New Roman"/>
                <w:color w:val="auto"/>
                <w:sz w:val="24"/>
                <w:szCs w:val="24"/>
                <w:lang w:val="en-US" w:eastAsia="zh-CN"/>
              </w:rPr>
              <w:t>超声波清洗机用水</w:t>
            </w:r>
          </w:p>
          <w:p w14:paraId="48B7C0CF">
            <w:pPr>
              <w:pStyle w:val="6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hAnsi="Times New Roman" w:cs="Times New Roman"/>
                <w:color w:val="auto"/>
                <w:sz w:val="24"/>
                <w:szCs w:val="24"/>
                <w:lang w:val="en-US" w:eastAsia="zh-CN"/>
              </w:rPr>
            </w:pPr>
            <w:r>
              <w:rPr>
                <w:rFonts w:hint="eastAsia" w:hAnsi="Times New Roman" w:cs="Times New Roman"/>
                <w:color w:val="auto"/>
                <w:sz w:val="24"/>
                <w:szCs w:val="24"/>
                <w:lang w:val="en-US" w:eastAsia="zh-CN"/>
              </w:rPr>
              <w:t>根据建设单位提供的资料，本项目</w:t>
            </w:r>
            <w:r>
              <w:rPr>
                <w:rFonts w:hint="eastAsia" w:ascii="Times New Roman" w:hAnsi="Times New Roman" w:cs="Times New Roman"/>
                <w:color w:val="auto"/>
                <w:sz w:val="24"/>
                <w:szCs w:val="24"/>
                <w:lang w:val="en-US" w:eastAsia="zh-CN"/>
              </w:rPr>
              <w:t>超声波清洗机需要纯水</w:t>
            </w:r>
            <w:r>
              <w:rPr>
                <w:rFonts w:hint="eastAsia" w:hAnsi="Times New Roman" w:cs="Times New Roman"/>
                <w:color w:val="auto"/>
                <w:sz w:val="24"/>
                <w:szCs w:val="24"/>
                <w:lang w:val="en-US" w:eastAsia="zh-CN"/>
              </w:rPr>
              <w:t>量约0.015</w:t>
            </w:r>
            <w:r>
              <w:rPr>
                <w:color w:val="auto"/>
                <w:sz w:val="24"/>
              </w:rPr>
              <w:t>m</w:t>
            </w:r>
            <w:r>
              <w:rPr>
                <w:color w:val="auto"/>
                <w:sz w:val="24"/>
                <w:vertAlign w:val="superscript"/>
              </w:rPr>
              <w:t>3</w:t>
            </w:r>
            <w:r>
              <w:rPr>
                <w:color w:val="auto"/>
                <w:sz w:val="24"/>
              </w:rPr>
              <w:t>/d</w:t>
            </w:r>
            <w:r>
              <w:rPr>
                <w:rFonts w:hint="eastAsia"/>
                <w:color w:val="auto"/>
                <w:sz w:val="24"/>
                <w:lang w:eastAsia="zh-CN"/>
              </w:rPr>
              <w:t>（</w:t>
            </w:r>
            <w:r>
              <w:rPr>
                <w:rFonts w:hint="eastAsia"/>
                <w:color w:val="auto"/>
                <w:sz w:val="24"/>
                <w:lang w:val="en-US" w:eastAsia="zh-CN"/>
              </w:rPr>
              <w:t>3.75</w:t>
            </w:r>
            <w:r>
              <w:rPr>
                <w:color w:val="auto"/>
                <w:sz w:val="24"/>
              </w:rPr>
              <w:t>m</w:t>
            </w:r>
            <w:r>
              <w:rPr>
                <w:color w:val="auto"/>
                <w:sz w:val="24"/>
                <w:vertAlign w:val="superscript"/>
              </w:rPr>
              <w:t>3</w:t>
            </w:r>
            <w:r>
              <w:rPr>
                <w:color w:val="auto"/>
                <w:sz w:val="24"/>
              </w:rPr>
              <w:t>/a</w:t>
            </w:r>
            <w:r>
              <w:rPr>
                <w:rFonts w:hint="eastAsia"/>
                <w:color w:val="auto"/>
                <w:sz w:val="24"/>
                <w:lang w:eastAsia="zh-CN"/>
              </w:rPr>
              <w:t>），</w:t>
            </w:r>
            <w:r>
              <w:rPr>
                <w:rFonts w:hint="eastAsia"/>
                <w:color w:val="auto"/>
                <w:sz w:val="24"/>
              </w:rPr>
              <w:t>该部分水经利用后形成的废水</w:t>
            </w:r>
            <w:r>
              <w:rPr>
                <w:rFonts w:hint="eastAsia"/>
                <w:color w:val="auto"/>
                <w:sz w:val="24"/>
                <w:lang w:val="en-US" w:eastAsia="zh-CN"/>
              </w:rPr>
              <w:t>产生系数为90%，即0.0135</w:t>
            </w:r>
            <w:r>
              <w:rPr>
                <w:rFonts w:hint="eastAsia"/>
                <w:bCs/>
                <w:color w:val="auto"/>
                <w:sz w:val="24"/>
              </w:rPr>
              <w:t>m</w:t>
            </w:r>
            <w:r>
              <w:rPr>
                <w:rFonts w:hint="eastAsia"/>
                <w:bCs/>
                <w:color w:val="auto"/>
                <w:sz w:val="24"/>
                <w:vertAlign w:val="superscript"/>
              </w:rPr>
              <w:t>3</w:t>
            </w:r>
            <w:r>
              <w:rPr>
                <w:rFonts w:hint="eastAsia"/>
                <w:color w:val="auto"/>
                <w:sz w:val="24"/>
              </w:rPr>
              <w:t>/d（</w:t>
            </w:r>
            <w:r>
              <w:rPr>
                <w:rFonts w:hint="eastAsia"/>
                <w:color w:val="auto"/>
                <w:sz w:val="24"/>
                <w:lang w:val="en-US" w:eastAsia="zh-CN"/>
              </w:rPr>
              <w:t>3.375</w:t>
            </w:r>
            <w:r>
              <w:rPr>
                <w:rFonts w:hint="eastAsia"/>
                <w:bCs/>
                <w:color w:val="auto"/>
                <w:sz w:val="24"/>
              </w:rPr>
              <w:t>m</w:t>
            </w:r>
            <w:r>
              <w:rPr>
                <w:rFonts w:hint="eastAsia"/>
                <w:bCs/>
                <w:color w:val="auto"/>
                <w:sz w:val="24"/>
                <w:vertAlign w:val="superscript"/>
              </w:rPr>
              <w:t>3</w:t>
            </w:r>
            <w:r>
              <w:rPr>
                <w:rFonts w:hint="eastAsia"/>
                <w:color w:val="auto"/>
                <w:sz w:val="24"/>
              </w:rPr>
              <w:t>/a），由于其中含有一些</w:t>
            </w:r>
            <w:r>
              <w:rPr>
                <w:rFonts w:hint="eastAsia"/>
                <w:color w:val="auto"/>
                <w:spacing w:val="4"/>
                <w:sz w:val="24"/>
                <w:lang w:val="en-US" w:eastAsia="zh-CN"/>
              </w:rPr>
              <w:t>实验</w:t>
            </w:r>
            <w:r>
              <w:rPr>
                <w:rFonts w:hint="eastAsia"/>
                <w:color w:val="auto"/>
                <w:sz w:val="24"/>
              </w:rPr>
              <w:t>试剂（</w:t>
            </w:r>
            <w:r>
              <w:rPr>
                <w:rFonts w:hint="eastAsia"/>
                <w:color w:val="auto"/>
                <w:sz w:val="24"/>
                <w:lang w:val="en-US" w:eastAsia="zh-CN"/>
              </w:rPr>
              <w:t>无机废液、钯盐、醇</w:t>
            </w:r>
            <w:r>
              <w:rPr>
                <w:rFonts w:hint="eastAsia"/>
                <w:color w:val="auto"/>
                <w:sz w:val="24"/>
              </w:rPr>
              <w:t>等），根据《实验室危险废物污染控制技术规范》（DB 61/T 1716-2023）表2分类，属于实验废液，为危险废弃物。</w:t>
            </w:r>
          </w:p>
          <w:p w14:paraId="6FD92B6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 w:val="0"/>
                <w:bCs/>
                <w:color w:val="auto"/>
                <w:sz w:val="24"/>
                <w:szCs w:val="24"/>
                <w:lang w:val="en-US" w:eastAsia="zh-CN"/>
              </w:rPr>
            </w:pPr>
            <w:r>
              <w:rPr>
                <w:rFonts w:hint="eastAsia" w:ascii="Times New Roman" w:hAnsi="Times New Roman" w:eastAsia="宋体" w:cs="Times New Roman"/>
                <w:color w:val="auto"/>
                <w:sz w:val="24"/>
                <w:szCs w:val="24"/>
                <w:lang w:val="en-US" w:eastAsia="zh-CN"/>
              </w:rPr>
              <w:fldChar w:fldCharType="begin"/>
            </w:r>
            <w:r>
              <w:rPr>
                <w:rFonts w:hint="eastAsia" w:ascii="Times New Roman" w:hAnsi="Times New Roman" w:eastAsia="宋体" w:cs="Times New Roman"/>
                <w:color w:val="auto"/>
                <w:sz w:val="24"/>
                <w:szCs w:val="24"/>
                <w:lang w:val="en-US" w:eastAsia="zh-CN"/>
              </w:rPr>
              <w:instrText xml:space="preserve"> = 5 \* GB3 \* MERGEFORMAT </w:instrText>
            </w:r>
            <w:r>
              <w:rPr>
                <w:rFonts w:hint="eastAsia" w:ascii="Times New Roman" w:hAnsi="Times New Roman" w:eastAsia="宋体" w:cs="Times New Roman"/>
                <w:color w:val="auto"/>
                <w:sz w:val="24"/>
                <w:szCs w:val="24"/>
                <w:lang w:val="en-US" w:eastAsia="zh-CN"/>
              </w:rPr>
              <w:fldChar w:fldCharType="separate"/>
            </w:r>
            <w:r>
              <w:rPr>
                <w:color w:val="auto"/>
              </w:rPr>
              <w:t>⑤</w:t>
            </w:r>
            <w:r>
              <w:rPr>
                <w:rFonts w:hint="eastAsia" w:ascii="Times New Roman" w:hAnsi="Times New Roman" w:eastAsia="宋体" w:cs="Times New Roman"/>
                <w:color w:val="auto"/>
                <w:sz w:val="24"/>
                <w:szCs w:val="24"/>
                <w:lang w:val="en-US" w:eastAsia="zh-CN"/>
              </w:rPr>
              <w:fldChar w:fldCharType="end"/>
            </w:r>
            <w:r>
              <w:rPr>
                <w:rFonts w:hint="eastAsia"/>
                <w:color w:val="auto"/>
                <w:sz w:val="24"/>
              </w:rPr>
              <w:t>实验室器皿清洗用水</w:t>
            </w:r>
          </w:p>
          <w:p w14:paraId="05A75B3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Cs/>
                <w:color w:val="auto"/>
                <w:kern w:val="21"/>
                <w:sz w:val="24"/>
              </w:rPr>
            </w:pPr>
            <w:r>
              <w:rPr>
                <w:rFonts w:hint="eastAsia"/>
                <w:color w:val="auto"/>
                <w:sz w:val="24"/>
              </w:rPr>
              <w:t>根据建设单位提供资料，实验室器皿清洗水用量约为0.01</w:t>
            </w:r>
            <w:r>
              <w:rPr>
                <w:rFonts w:hint="eastAsia"/>
                <w:bCs/>
                <w:color w:val="auto"/>
                <w:sz w:val="24"/>
              </w:rPr>
              <w:t>m</w:t>
            </w:r>
            <w:r>
              <w:rPr>
                <w:rFonts w:hint="eastAsia"/>
                <w:bCs/>
                <w:color w:val="auto"/>
                <w:sz w:val="24"/>
                <w:vertAlign w:val="superscript"/>
              </w:rPr>
              <w:t>3</w:t>
            </w:r>
            <w:r>
              <w:rPr>
                <w:rFonts w:hint="eastAsia"/>
                <w:color w:val="auto"/>
                <w:sz w:val="24"/>
              </w:rPr>
              <w:t>/d（2.</w:t>
            </w:r>
            <w:r>
              <w:rPr>
                <w:rFonts w:hint="eastAsia"/>
                <w:color w:val="auto"/>
                <w:sz w:val="24"/>
                <w:lang w:val="en-US" w:eastAsia="zh-CN"/>
              </w:rPr>
              <w:t>48</w:t>
            </w:r>
            <w:r>
              <w:rPr>
                <w:rFonts w:hint="eastAsia"/>
                <w:bCs/>
                <w:color w:val="auto"/>
                <w:sz w:val="24"/>
              </w:rPr>
              <w:t>m</w:t>
            </w:r>
            <w:r>
              <w:rPr>
                <w:rFonts w:hint="eastAsia"/>
                <w:bCs/>
                <w:color w:val="auto"/>
                <w:sz w:val="24"/>
                <w:vertAlign w:val="superscript"/>
              </w:rPr>
              <w:t>3</w:t>
            </w:r>
            <w:r>
              <w:rPr>
                <w:rFonts w:hint="eastAsia"/>
                <w:color w:val="auto"/>
                <w:sz w:val="24"/>
              </w:rPr>
              <w:t>/a），废水产生量以80%核算，则器皿</w:t>
            </w:r>
            <w:r>
              <w:rPr>
                <w:rFonts w:hint="eastAsia"/>
                <w:color w:val="auto"/>
                <w:sz w:val="24"/>
                <w:lang w:val="en-US" w:eastAsia="zh-CN"/>
              </w:rPr>
              <w:t>清洗</w:t>
            </w:r>
            <w:r>
              <w:rPr>
                <w:rFonts w:hint="eastAsia"/>
                <w:color w:val="auto"/>
                <w:sz w:val="24"/>
              </w:rPr>
              <w:t>废水产生量为0.008</w:t>
            </w:r>
            <w:r>
              <w:rPr>
                <w:rFonts w:hint="eastAsia"/>
                <w:bCs/>
                <w:color w:val="auto"/>
                <w:sz w:val="24"/>
              </w:rPr>
              <w:t>m</w:t>
            </w:r>
            <w:r>
              <w:rPr>
                <w:rFonts w:hint="eastAsia"/>
                <w:bCs/>
                <w:color w:val="auto"/>
                <w:sz w:val="24"/>
                <w:vertAlign w:val="superscript"/>
              </w:rPr>
              <w:t>3</w:t>
            </w:r>
            <w:r>
              <w:rPr>
                <w:rFonts w:hint="eastAsia"/>
                <w:color w:val="auto"/>
                <w:sz w:val="24"/>
              </w:rPr>
              <w:t>/d（</w:t>
            </w:r>
            <w:r>
              <w:rPr>
                <w:rFonts w:hint="eastAsia"/>
                <w:color w:val="auto"/>
                <w:sz w:val="24"/>
                <w:lang w:val="en-US" w:eastAsia="zh-CN"/>
              </w:rPr>
              <w:t>1.98</w:t>
            </w:r>
            <w:r>
              <w:rPr>
                <w:rFonts w:hint="eastAsia"/>
                <w:color w:val="auto"/>
                <w:sz w:val="24"/>
              </w:rPr>
              <w:t xml:space="preserve"> </w:t>
            </w:r>
            <w:r>
              <w:rPr>
                <w:rFonts w:hint="eastAsia"/>
                <w:bCs/>
                <w:color w:val="auto"/>
                <w:sz w:val="24"/>
              </w:rPr>
              <w:t>m</w:t>
            </w:r>
            <w:r>
              <w:rPr>
                <w:rFonts w:hint="eastAsia"/>
                <w:bCs/>
                <w:color w:val="auto"/>
                <w:sz w:val="24"/>
                <w:vertAlign w:val="superscript"/>
              </w:rPr>
              <w:t>3</w:t>
            </w:r>
            <w:r>
              <w:rPr>
                <w:rFonts w:hint="eastAsia"/>
                <w:color w:val="auto"/>
                <w:sz w:val="24"/>
              </w:rPr>
              <w:t>/a）。</w:t>
            </w:r>
            <w:r>
              <w:rPr>
                <w:rFonts w:hint="eastAsia"/>
                <w:color w:val="auto"/>
                <w:sz w:val="24"/>
                <w:lang w:val="en-US" w:eastAsia="zh-CN"/>
              </w:rPr>
              <w:t>实验室</w:t>
            </w:r>
            <w:r>
              <w:rPr>
                <w:rFonts w:hint="eastAsia"/>
                <w:color w:val="auto"/>
                <w:sz w:val="24"/>
              </w:rPr>
              <w:t>器皿清洗一般需要进行3-5次冲洗、润洗，本环评要求器皿前两次清洗废液按危废处理，则器皿清洗产生的危险废物为器皿</w:t>
            </w:r>
            <w:r>
              <w:rPr>
                <w:rFonts w:hint="eastAsia"/>
                <w:color w:val="auto"/>
                <w:sz w:val="24"/>
                <w:lang w:val="en-US" w:eastAsia="zh-CN"/>
              </w:rPr>
              <w:t>清洗</w:t>
            </w:r>
            <w:r>
              <w:rPr>
                <w:rFonts w:hint="eastAsia"/>
                <w:color w:val="auto"/>
                <w:sz w:val="24"/>
              </w:rPr>
              <w:t>废水五分之</w:t>
            </w:r>
            <w:r>
              <w:rPr>
                <w:rFonts w:hint="eastAsia"/>
                <w:color w:val="auto"/>
                <w:sz w:val="24"/>
                <w:lang w:val="en-US" w:eastAsia="zh-CN"/>
              </w:rPr>
              <w:t>二</w:t>
            </w:r>
            <w:r>
              <w:rPr>
                <w:rFonts w:hint="eastAsia"/>
                <w:color w:val="auto"/>
                <w:sz w:val="24"/>
              </w:rPr>
              <w:t>（0.00</w:t>
            </w:r>
            <w:r>
              <w:rPr>
                <w:rFonts w:hint="eastAsia"/>
                <w:color w:val="auto"/>
                <w:sz w:val="24"/>
                <w:lang w:val="en-US" w:eastAsia="zh-CN"/>
              </w:rPr>
              <w:t>32</w:t>
            </w:r>
            <w:r>
              <w:rPr>
                <w:rFonts w:hint="eastAsia"/>
                <w:bCs/>
                <w:color w:val="auto"/>
                <w:sz w:val="24"/>
              </w:rPr>
              <w:t>m</w:t>
            </w:r>
            <w:r>
              <w:rPr>
                <w:rFonts w:hint="eastAsia"/>
                <w:bCs/>
                <w:color w:val="auto"/>
                <w:sz w:val="24"/>
                <w:vertAlign w:val="superscript"/>
              </w:rPr>
              <w:t>3</w:t>
            </w:r>
            <w:r>
              <w:rPr>
                <w:rFonts w:hint="eastAsia"/>
                <w:color w:val="auto"/>
                <w:sz w:val="24"/>
              </w:rPr>
              <w:t>/d，0.</w:t>
            </w:r>
            <w:r>
              <w:rPr>
                <w:rFonts w:hint="eastAsia"/>
                <w:color w:val="auto"/>
                <w:sz w:val="24"/>
                <w:lang w:val="en-US" w:eastAsia="zh-CN"/>
              </w:rPr>
              <w:t>8</w:t>
            </w:r>
            <w:r>
              <w:rPr>
                <w:rFonts w:hint="eastAsia"/>
                <w:color w:val="auto"/>
                <w:sz w:val="24"/>
              </w:rPr>
              <w:t xml:space="preserve"> </w:t>
            </w:r>
            <w:r>
              <w:rPr>
                <w:rFonts w:hint="eastAsia"/>
                <w:bCs/>
                <w:color w:val="auto"/>
                <w:sz w:val="24"/>
              </w:rPr>
              <w:t>m</w:t>
            </w:r>
            <w:r>
              <w:rPr>
                <w:rFonts w:hint="eastAsia"/>
                <w:bCs/>
                <w:color w:val="auto"/>
                <w:sz w:val="24"/>
                <w:vertAlign w:val="superscript"/>
              </w:rPr>
              <w:t>3</w:t>
            </w:r>
            <w:r>
              <w:rPr>
                <w:rFonts w:hint="eastAsia"/>
                <w:color w:val="auto"/>
                <w:sz w:val="24"/>
              </w:rPr>
              <w:t>/a，本部分危废统一纳入实验废液进行管理）。其余</w:t>
            </w:r>
            <w:r>
              <w:rPr>
                <w:rFonts w:hint="eastAsia"/>
                <w:color w:val="auto"/>
                <w:sz w:val="24"/>
                <w:lang w:val="en-US" w:eastAsia="zh-CN"/>
              </w:rPr>
              <w:t>实</w:t>
            </w:r>
            <w:r>
              <w:rPr>
                <w:rFonts w:hint="eastAsia"/>
                <w:color w:val="auto"/>
                <w:sz w:val="24"/>
              </w:rPr>
              <w:t>验室器皿清洗废水</w:t>
            </w:r>
            <w:r>
              <w:rPr>
                <w:rFonts w:hint="eastAsia"/>
                <w:color w:val="auto"/>
                <w:sz w:val="24"/>
                <w:lang w:val="en-US" w:eastAsia="zh-CN"/>
              </w:rPr>
              <w:t>0.0048</w:t>
            </w:r>
            <w:r>
              <w:rPr>
                <w:rFonts w:hint="eastAsia"/>
                <w:bCs/>
                <w:color w:val="auto"/>
                <w:sz w:val="24"/>
              </w:rPr>
              <w:t>m</w:t>
            </w:r>
            <w:r>
              <w:rPr>
                <w:rFonts w:hint="eastAsia"/>
                <w:bCs/>
                <w:color w:val="auto"/>
                <w:sz w:val="24"/>
                <w:vertAlign w:val="superscript"/>
              </w:rPr>
              <w:t>3</w:t>
            </w:r>
            <w:r>
              <w:rPr>
                <w:rFonts w:hint="eastAsia"/>
                <w:color w:val="auto"/>
                <w:sz w:val="24"/>
              </w:rPr>
              <w:t>/d（</w:t>
            </w:r>
            <w:r>
              <w:rPr>
                <w:rFonts w:hint="eastAsia"/>
                <w:color w:val="auto"/>
                <w:sz w:val="24"/>
                <w:lang w:val="en-US" w:eastAsia="zh-CN"/>
              </w:rPr>
              <w:t>1.18</w:t>
            </w:r>
            <w:r>
              <w:rPr>
                <w:rFonts w:hint="eastAsia"/>
                <w:color w:val="auto"/>
                <w:sz w:val="24"/>
              </w:rPr>
              <w:t xml:space="preserve"> </w:t>
            </w:r>
            <w:r>
              <w:rPr>
                <w:rFonts w:hint="eastAsia"/>
                <w:bCs/>
                <w:color w:val="auto"/>
                <w:sz w:val="24"/>
              </w:rPr>
              <w:t>m</w:t>
            </w:r>
            <w:r>
              <w:rPr>
                <w:rFonts w:hint="eastAsia"/>
                <w:bCs/>
                <w:color w:val="auto"/>
                <w:sz w:val="24"/>
                <w:vertAlign w:val="superscript"/>
              </w:rPr>
              <w:t>3</w:t>
            </w:r>
            <w:r>
              <w:rPr>
                <w:rFonts w:hint="eastAsia"/>
                <w:color w:val="auto"/>
                <w:sz w:val="24"/>
              </w:rPr>
              <w:t>/a）经pH调节池收集处理后排入化粪池，</w:t>
            </w:r>
            <w:r>
              <w:rPr>
                <w:rFonts w:hint="eastAsia"/>
                <w:color w:val="auto"/>
                <w:kern w:val="0"/>
                <w:sz w:val="24"/>
              </w:rPr>
              <w:t>处理后排入市政污水管网</w:t>
            </w:r>
            <w:r>
              <w:rPr>
                <w:rFonts w:hint="eastAsia"/>
                <w:bCs/>
                <w:color w:val="auto"/>
                <w:sz w:val="24"/>
              </w:rPr>
              <w:t>。</w:t>
            </w:r>
          </w:p>
          <w:p w14:paraId="70E8CEFD">
            <w:pPr>
              <w:pStyle w:val="4"/>
              <w:ind w:firstLine="480" w:firstLineChars="200"/>
              <w:rPr>
                <w:color w:val="auto"/>
              </w:rPr>
            </w:pPr>
            <w:r>
              <w:rPr>
                <w:color w:val="auto"/>
                <w:sz w:val="24"/>
              </w:rPr>
              <w:t>综上所述，</w:t>
            </w:r>
            <w:r>
              <w:rPr>
                <w:rFonts w:hint="eastAsia"/>
                <w:color w:val="auto"/>
                <w:sz w:val="24"/>
              </w:rPr>
              <w:t>项目日最大用、排水情况见下表，水平衡图见图2-1。</w:t>
            </w:r>
          </w:p>
          <w:p w14:paraId="5ED4BEF2">
            <w:pPr>
              <w:numPr>
                <w:ilvl w:val="0"/>
                <w:numId w:val="0"/>
              </w:numPr>
              <w:adjustRightInd w:val="0"/>
              <w:snapToGrid w:val="0"/>
              <w:spacing w:line="240" w:lineRule="auto"/>
              <w:jc w:val="center"/>
              <w:rPr>
                <w:rFonts w:hint="default" w:ascii="Times New Roman" w:hAnsi="Times New Roman" w:cs="Times New Roman"/>
                <w:b/>
                <w:bCs w:val="0"/>
                <w:color w:val="auto"/>
                <w:sz w:val="24"/>
                <w:szCs w:val="24"/>
                <w:lang w:val="en-US" w:eastAsia="zh-CN"/>
              </w:rPr>
            </w:pPr>
            <w:r>
              <w:rPr>
                <w:rFonts w:hint="default" w:ascii="Times New Roman" w:hAnsi="Times New Roman" w:cs="Times New Roman"/>
                <w:b/>
                <w:bCs w:val="0"/>
                <w:color w:val="auto"/>
                <w:sz w:val="24"/>
                <w:szCs w:val="24"/>
                <w:lang w:val="en-US" w:eastAsia="zh-CN"/>
              </w:rPr>
              <w:t>表2-6</w:t>
            </w:r>
            <w:r>
              <w:rPr>
                <w:rFonts w:hint="eastAsia" w:ascii="Times New Roman" w:hAnsi="Times New Roman" w:cs="Times New Roman"/>
                <w:b/>
                <w:bCs w:val="0"/>
                <w:color w:val="auto"/>
                <w:sz w:val="24"/>
                <w:szCs w:val="24"/>
                <w:lang w:val="en-US" w:eastAsia="zh-CN"/>
              </w:rPr>
              <w:t xml:space="preserve">  </w:t>
            </w:r>
            <w:r>
              <w:rPr>
                <w:rFonts w:hint="default" w:ascii="Times New Roman" w:hAnsi="Times New Roman" w:cs="Times New Roman"/>
                <w:b/>
                <w:bCs w:val="0"/>
                <w:color w:val="auto"/>
                <w:sz w:val="24"/>
                <w:szCs w:val="24"/>
                <w:lang w:val="en-US" w:eastAsia="zh-CN"/>
              </w:rPr>
              <w:t>项目给排水量一览表</w:t>
            </w:r>
          </w:p>
          <w:tbl>
            <w:tblPr>
              <w:tblStyle w:val="26"/>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4"/>
              <w:gridCol w:w="1524"/>
              <w:gridCol w:w="1185"/>
              <w:gridCol w:w="1097"/>
              <w:gridCol w:w="889"/>
              <w:gridCol w:w="980"/>
              <w:gridCol w:w="2058"/>
            </w:tblGrid>
            <w:tr w14:paraId="0B69E1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1" w:type="pct"/>
                  <w:tcBorders>
                    <w:tl2br w:val="nil"/>
                    <w:tr2bl w:val="nil"/>
                  </w:tcBorders>
                  <w:noWrap w:val="0"/>
                  <w:vAlign w:val="center"/>
                </w:tcPr>
                <w:p w14:paraId="6DB9F848">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序号</w:t>
                  </w:r>
                </w:p>
              </w:tc>
              <w:tc>
                <w:tcPr>
                  <w:tcW w:w="916" w:type="pct"/>
                  <w:tcBorders>
                    <w:tl2br w:val="nil"/>
                    <w:tr2bl w:val="nil"/>
                  </w:tcBorders>
                  <w:noWrap w:val="0"/>
                  <w:vAlign w:val="center"/>
                </w:tcPr>
                <w:p w14:paraId="155D5F10">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类别</w:t>
                  </w:r>
                </w:p>
              </w:tc>
              <w:tc>
                <w:tcPr>
                  <w:tcW w:w="712" w:type="pct"/>
                  <w:tcBorders>
                    <w:tl2br w:val="nil"/>
                    <w:tr2bl w:val="nil"/>
                  </w:tcBorders>
                  <w:noWrap w:val="0"/>
                  <w:vAlign w:val="center"/>
                </w:tcPr>
                <w:p w14:paraId="0DA69CB6">
                  <w:pPr>
                    <w:adjustRightInd w:val="0"/>
                    <w:snapToGrid w:val="0"/>
                    <w:ind w:left="-105" w:leftChars="-50" w:right="-105" w:rightChars="-50"/>
                    <w:jc w:val="center"/>
                    <w:rPr>
                      <w:rFonts w:hint="default" w:ascii="Times New Roman" w:hAnsi="Times New Roman" w:cs="Times New Roman"/>
                      <w:b/>
                      <w:bCs/>
                      <w:color w:val="auto"/>
                      <w:sz w:val="21"/>
                      <w:szCs w:val="21"/>
                    </w:rPr>
                  </w:pPr>
                  <w:r>
                    <w:rPr>
                      <w:rFonts w:hint="eastAsia" w:ascii="Times New Roman" w:hAnsi="Times New Roman" w:eastAsia="宋体" w:cs="Times New Roman"/>
                      <w:b/>
                      <w:bCs/>
                      <w:color w:val="auto"/>
                      <w:sz w:val="21"/>
                      <w:szCs w:val="21"/>
                      <w:lang w:val="en-US" w:eastAsia="zh-CN"/>
                    </w:rPr>
                    <w:t>自来水</w:t>
                  </w:r>
                  <w:r>
                    <w:rPr>
                      <w:rFonts w:hint="default" w:ascii="Times New Roman" w:hAnsi="Times New Roman" w:eastAsia="宋体" w:cs="Times New Roman"/>
                      <w:b/>
                      <w:bCs/>
                      <w:color w:val="auto"/>
                      <w:sz w:val="21"/>
                      <w:szCs w:val="21"/>
                    </w:rPr>
                    <w:t>用量m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/d</w:t>
                  </w:r>
                </w:p>
              </w:tc>
              <w:tc>
                <w:tcPr>
                  <w:tcW w:w="659" w:type="pct"/>
                  <w:tcBorders>
                    <w:tl2br w:val="nil"/>
                    <w:tr2bl w:val="nil"/>
                  </w:tcBorders>
                  <w:noWrap w:val="0"/>
                  <w:vAlign w:val="center"/>
                </w:tcPr>
                <w:p w14:paraId="79C9B4AD">
                  <w:pPr>
                    <w:adjustRightInd w:val="0"/>
                    <w:snapToGrid w:val="0"/>
                    <w:jc w:val="center"/>
                    <w:rPr>
                      <w:rFonts w:hint="eastAsia"/>
                      <w:b/>
                      <w:bCs/>
                      <w:color w:val="auto"/>
                      <w:lang w:val="en-US" w:eastAsia="zh-CN"/>
                    </w:rPr>
                  </w:pPr>
                  <w:r>
                    <w:rPr>
                      <w:rFonts w:hint="eastAsia"/>
                      <w:b/>
                      <w:bCs/>
                      <w:color w:val="auto"/>
                      <w:lang w:val="en-US" w:eastAsia="zh-CN"/>
                    </w:rPr>
                    <w:t>纯水用量</w:t>
                  </w:r>
                </w:p>
                <w:p w14:paraId="58831636">
                  <w:pPr>
                    <w:pStyle w:val="42"/>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/d</w:t>
                  </w:r>
                </w:p>
              </w:tc>
              <w:tc>
                <w:tcPr>
                  <w:tcW w:w="534" w:type="pct"/>
                  <w:tcBorders>
                    <w:tl2br w:val="nil"/>
                    <w:tr2bl w:val="nil"/>
                  </w:tcBorders>
                  <w:noWrap w:val="0"/>
                  <w:vAlign w:val="center"/>
                </w:tcPr>
                <w:p w14:paraId="3A4154A3">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b/>
                      <w:bCs w:val="0"/>
                      <w:color w:val="auto"/>
                      <w:sz w:val="21"/>
                      <w:szCs w:val="21"/>
                      <w:lang w:val="en-US" w:eastAsia="zh-CN"/>
                    </w:rPr>
                  </w:pPr>
                  <w:r>
                    <w:rPr>
                      <w:rFonts w:hint="eastAsia" w:ascii="Times New Roman" w:hAnsi="Times New Roman" w:cs="Times New Roman"/>
                      <w:b/>
                      <w:bCs w:val="0"/>
                      <w:color w:val="auto"/>
                      <w:sz w:val="21"/>
                      <w:szCs w:val="21"/>
                      <w:lang w:val="en-US" w:eastAsia="zh-CN"/>
                    </w:rPr>
                    <w:t>损耗量</w:t>
                  </w:r>
                  <w:r>
                    <w:rPr>
                      <w:rFonts w:hint="default" w:ascii="Times New Roman" w:hAnsi="Times New Roman" w:cs="Times New Roman"/>
                      <w:b/>
                      <w:bCs w:val="0"/>
                      <w:color w:val="auto"/>
                      <w:sz w:val="21"/>
                      <w:szCs w:val="21"/>
                    </w:rPr>
                    <w:t>m</w:t>
                  </w:r>
                  <w:r>
                    <w:rPr>
                      <w:rFonts w:hint="default" w:ascii="Times New Roman" w:hAnsi="Times New Roman" w:cs="Times New Roman"/>
                      <w:b/>
                      <w:bCs w:val="0"/>
                      <w:color w:val="auto"/>
                      <w:sz w:val="21"/>
                      <w:szCs w:val="21"/>
                      <w:vertAlign w:val="superscript"/>
                    </w:rPr>
                    <w:t>3</w:t>
                  </w:r>
                  <w:r>
                    <w:rPr>
                      <w:rFonts w:hint="default" w:ascii="Times New Roman" w:hAnsi="Times New Roman" w:cs="Times New Roman"/>
                      <w:b/>
                      <w:bCs w:val="0"/>
                      <w:color w:val="auto"/>
                      <w:sz w:val="21"/>
                      <w:szCs w:val="21"/>
                    </w:rPr>
                    <w:t>/d</w:t>
                  </w:r>
                </w:p>
              </w:tc>
              <w:tc>
                <w:tcPr>
                  <w:tcW w:w="589" w:type="pct"/>
                  <w:tcBorders>
                    <w:tl2br w:val="nil"/>
                    <w:tr2bl w:val="nil"/>
                  </w:tcBorders>
                  <w:noWrap w:val="0"/>
                  <w:vAlign w:val="center"/>
                </w:tcPr>
                <w:p w14:paraId="423D7C77">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bCs w:val="0"/>
                      <w:color w:val="auto"/>
                      <w:sz w:val="21"/>
                      <w:szCs w:val="21"/>
                      <w:lang w:eastAsia="zh-CN"/>
                    </w:rPr>
                  </w:pPr>
                  <w:r>
                    <w:rPr>
                      <w:rFonts w:hint="eastAsia" w:ascii="Times New Roman" w:hAnsi="Times New Roman" w:cs="Times New Roman"/>
                      <w:b/>
                      <w:bCs w:val="0"/>
                      <w:color w:val="auto"/>
                      <w:sz w:val="21"/>
                      <w:szCs w:val="21"/>
                      <w:lang w:val="en-US" w:eastAsia="zh-CN"/>
                    </w:rPr>
                    <w:t>废水</w:t>
                  </w:r>
                  <w:r>
                    <w:rPr>
                      <w:rFonts w:hint="default" w:ascii="Times New Roman" w:hAnsi="Times New Roman" w:cs="Times New Roman"/>
                      <w:b/>
                      <w:bCs w:val="0"/>
                      <w:color w:val="auto"/>
                      <w:sz w:val="21"/>
                      <w:szCs w:val="21"/>
                    </w:rPr>
                    <w:t>量m</w:t>
                  </w:r>
                  <w:r>
                    <w:rPr>
                      <w:rFonts w:hint="default" w:ascii="Times New Roman" w:hAnsi="Times New Roman" w:cs="Times New Roman"/>
                      <w:b/>
                      <w:bCs w:val="0"/>
                      <w:color w:val="auto"/>
                      <w:sz w:val="21"/>
                      <w:szCs w:val="21"/>
                      <w:vertAlign w:val="superscript"/>
                    </w:rPr>
                    <w:t>3</w:t>
                  </w:r>
                  <w:r>
                    <w:rPr>
                      <w:rFonts w:hint="default" w:ascii="Times New Roman" w:hAnsi="Times New Roman" w:cs="Times New Roman"/>
                      <w:b/>
                      <w:bCs w:val="0"/>
                      <w:color w:val="auto"/>
                      <w:sz w:val="21"/>
                      <w:szCs w:val="21"/>
                    </w:rPr>
                    <w:t>/d</w:t>
                  </w:r>
                </w:p>
              </w:tc>
              <w:tc>
                <w:tcPr>
                  <w:tcW w:w="1237" w:type="pct"/>
                  <w:tcBorders>
                    <w:tl2br w:val="nil"/>
                    <w:tr2bl w:val="nil"/>
                  </w:tcBorders>
                  <w:noWrap w:val="0"/>
                  <w:vAlign w:val="center"/>
                </w:tcPr>
                <w:p w14:paraId="42DA24D3">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b/>
                      <w:bCs w:val="0"/>
                      <w:color w:val="auto"/>
                      <w:sz w:val="21"/>
                      <w:szCs w:val="21"/>
                      <w:lang w:eastAsia="zh-CN"/>
                    </w:rPr>
                  </w:pPr>
                  <w:r>
                    <w:rPr>
                      <w:rFonts w:hint="eastAsia" w:ascii="Times New Roman" w:hAnsi="Times New Roman" w:cs="Times New Roman"/>
                      <w:b/>
                      <w:bCs w:val="0"/>
                      <w:color w:val="auto"/>
                      <w:sz w:val="21"/>
                      <w:szCs w:val="21"/>
                      <w:lang w:val="en-US" w:eastAsia="zh-CN"/>
                    </w:rPr>
                    <w:t>排放去向</w:t>
                  </w:r>
                </w:p>
              </w:tc>
            </w:tr>
            <w:tr w14:paraId="78A6A1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1" w:type="pct"/>
                  <w:tcBorders>
                    <w:tl2br w:val="nil"/>
                    <w:tr2bl w:val="nil"/>
                  </w:tcBorders>
                  <w:noWrap w:val="0"/>
                  <w:vAlign w:val="center"/>
                </w:tcPr>
                <w:p w14:paraId="5227E942">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w:t>
                  </w:r>
                </w:p>
              </w:tc>
              <w:tc>
                <w:tcPr>
                  <w:tcW w:w="916" w:type="pct"/>
                  <w:tcBorders>
                    <w:tl2br w:val="nil"/>
                    <w:tr2bl w:val="nil"/>
                  </w:tcBorders>
                  <w:noWrap w:val="0"/>
                  <w:vAlign w:val="center"/>
                </w:tcPr>
                <w:p w14:paraId="7541870D">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生活用水</w:t>
                  </w:r>
                </w:p>
              </w:tc>
              <w:tc>
                <w:tcPr>
                  <w:tcW w:w="712" w:type="pct"/>
                  <w:tcBorders>
                    <w:tl2br w:val="nil"/>
                    <w:tr2bl w:val="nil"/>
                  </w:tcBorders>
                  <w:noWrap w:val="0"/>
                  <w:vAlign w:val="center"/>
                </w:tcPr>
                <w:p w14:paraId="50DBF0C8">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w:t>
                  </w:r>
                </w:p>
              </w:tc>
              <w:tc>
                <w:tcPr>
                  <w:tcW w:w="659" w:type="pct"/>
                  <w:tcBorders>
                    <w:tl2br w:val="nil"/>
                    <w:tr2bl w:val="nil"/>
                  </w:tcBorders>
                  <w:noWrap w:val="0"/>
                  <w:vAlign w:val="center"/>
                </w:tcPr>
                <w:p w14:paraId="41E1754E">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w:t>
                  </w:r>
                </w:p>
              </w:tc>
              <w:tc>
                <w:tcPr>
                  <w:tcW w:w="534" w:type="pct"/>
                  <w:tcBorders>
                    <w:tl2br w:val="nil"/>
                    <w:tr2bl w:val="nil"/>
                  </w:tcBorders>
                  <w:noWrap w:val="0"/>
                  <w:vAlign w:val="center"/>
                </w:tcPr>
                <w:p w14:paraId="2DE9FFD5">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0.2</w:t>
                  </w:r>
                </w:p>
              </w:tc>
              <w:tc>
                <w:tcPr>
                  <w:tcW w:w="589" w:type="pct"/>
                  <w:tcBorders>
                    <w:tl2br w:val="nil"/>
                    <w:tr2bl w:val="nil"/>
                  </w:tcBorders>
                  <w:noWrap w:val="0"/>
                  <w:vAlign w:val="center"/>
                </w:tcPr>
                <w:p w14:paraId="5041BAEC">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0.8</w:t>
                  </w:r>
                </w:p>
              </w:tc>
              <w:tc>
                <w:tcPr>
                  <w:tcW w:w="1237" w:type="pct"/>
                  <w:vMerge w:val="restart"/>
                  <w:tcBorders>
                    <w:tl2br w:val="nil"/>
                    <w:tr2bl w:val="nil"/>
                  </w:tcBorders>
                  <w:noWrap w:val="0"/>
                  <w:vAlign w:val="center"/>
                </w:tcPr>
                <w:p w14:paraId="13FC2166">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经化粪池处理后，排入市政污水管网</w:t>
                  </w:r>
                </w:p>
              </w:tc>
            </w:tr>
            <w:tr w14:paraId="7DB659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1" w:type="pct"/>
                  <w:tcBorders>
                    <w:tl2br w:val="nil"/>
                    <w:tr2bl w:val="nil"/>
                  </w:tcBorders>
                  <w:noWrap w:val="0"/>
                  <w:vAlign w:val="center"/>
                </w:tcPr>
                <w:p w14:paraId="0D18A9A0">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2</w:t>
                  </w:r>
                </w:p>
              </w:tc>
              <w:tc>
                <w:tcPr>
                  <w:tcW w:w="916" w:type="pct"/>
                  <w:tcBorders>
                    <w:tl2br w:val="nil"/>
                    <w:tr2bl w:val="nil"/>
                  </w:tcBorders>
                  <w:noWrap w:val="0"/>
                  <w:vAlign w:val="center"/>
                </w:tcPr>
                <w:p w14:paraId="24A95D51">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val="0"/>
                      <w:bCs/>
                      <w:color w:val="auto"/>
                      <w:sz w:val="21"/>
                      <w:szCs w:val="21"/>
                      <w:lang w:eastAsia="zh-CN"/>
                    </w:rPr>
                  </w:pPr>
                  <w:r>
                    <w:rPr>
                      <w:rFonts w:hint="eastAsia" w:ascii="Times New Roman" w:hAnsi="Times New Roman" w:eastAsia="宋体" w:cs="Times New Roman"/>
                      <w:b w:val="0"/>
                      <w:bCs/>
                      <w:color w:val="auto"/>
                      <w:sz w:val="21"/>
                      <w:szCs w:val="21"/>
                      <w:lang w:val="en-US" w:eastAsia="zh-CN"/>
                    </w:rPr>
                    <w:t>纯水机制备</w:t>
                  </w:r>
                  <w:r>
                    <w:rPr>
                      <w:rFonts w:hint="default" w:ascii="Times New Roman" w:hAnsi="Times New Roman" w:eastAsia="宋体" w:cs="Times New Roman"/>
                      <w:b w:val="0"/>
                      <w:bCs/>
                      <w:color w:val="auto"/>
                      <w:sz w:val="21"/>
                      <w:szCs w:val="21"/>
                      <w:lang w:val="en-US" w:eastAsia="zh-CN"/>
                    </w:rPr>
                    <w:t>用水</w:t>
                  </w:r>
                </w:p>
              </w:tc>
              <w:tc>
                <w:tcPr>
                  <w:tcW w:w="712" w:type="pct"/>
                  <w:tcBorders>
                    <w:tl2br w:val="nil"/>
                    <w:tr2bl w:val="nil"/>
                  </w:tcBorders>
                  <w:noWrap w:val="0"/>
                  <w:vAlign w:val="center"/>
                </w:tcPr>
                <w:p w14:paraId="4A9BFDD3">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0.0255</w:t>
                  </w:r>
                </w:p>
              </w:tc>
              <w:tc>
                <w:tcPr>
                  <w:tcW w:w="659" w:type="pct"/>
                  <w:tcBorders>
                    <w:tl2br w:val="nil"/>
                    <w:tr2bl w:val="nil"/>
                  </w:tcBorders>
                  <w:noWrap w:val="0"/>
                  <w:vAlign w:val="center"/>
                </w:tcPr>
                <w:p w14:paraId="6785F7D8">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w:t>
                  </w:r>
                </w:p>
              </w:tc>
              <w:tc>
                <w:tcPr>
                  <w:tcW w:w="534" w:type="pct"/>
                  <w:tcBorders>
                    <w:tl2br w:val="nil"/>
                    <w:tr2bl w:val="nil"/>
                  </w:tcBorders>
                  <w:noWrap w:val="0"/>
                  <w:vAlign w:val="center"/>
                </w:tcPr>
                <w:p w14:paraId="63CB581B">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0.0153</w:t>
                  </w:r>
                </w:p>
              </w:tc>
              <w:tc>
                <w:tcPr>
                  <w:tcW w:w="589" w:type="pct"/>
                  <w:tcBorders>
                    <w:tl2br w:val="nil"/>
                    <w:tr2bl w:val="nil"/>
                  </w:tcBorders>
                  <w:noWrap w:val="0"/>
                  <w:vAlign w:val="center"/>
                </w:tcPr>
                <w:p w14:paraId="70809803">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0.0102</w:t>
                  </w:r>
                </w:p>
              </w:tc>
              <w:tc>
                <w:tcPr>
                  <w:tcW w:w="1237" w:type="pct"/>
                  <w:vMerge w:val="continue"/>
                  <w:tcBorders>
                    <w:tl2br w:val="nil"/>
                    <w:tr2bl w:val="nil"/>
                  </w:tcBorders>
                  <w:noWrap w:val="0"/>
                  <w:vAlign w:val="center"/>
                </w:tcPr>
                <w:p w14:paraId="15DA85D4">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val="0"/>
                      <w:bCs/>
                      <w:color w:val="auto"/>
                      <w:sz w:val="21"/>
                      <w:szCs w:val="21"/>
                      <w:lang w:val="en-US" w:eastAsia="zh-CN"/>
                    </w:rPr>
                  </w:pPr>
                </w:p>
              </w:tc>
            </w:tr>
            <w:tr w14:paraId="445F10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351" w:type="pct"/>
                  <w:vMerge w:val="restart"/>
                  <w:tcBorders>
                    <w:tl2br w:val="nil"/>
                    <w:tr2bl w:val="nil"/>
                  </w:tcBorders>
                  <w:noWrap w:val="0"/>
                  <w:vAlign w:val="center"/>
                </w:tcPr>
                <w:p w14:paraId="5EB6B85E">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3</w:t>
                  </w:r>
                </w:p>
              </w:tc>
              <w:tc>
                <w:tcPr>
                  <w:tcW w:w="916" w:type="pct"/>
                  <w:vMerge w:val="restart"/>
                  <w:tcBorders>
                    <w:tl2br w:val="nil"/>
                    <w:tr2bl w:val="nil"/>
                  </w:tcBorders>
                  <w:noWrap w:val="0"/>
                  <w:vAlign w:val="center"/>
                </w:tcPr>
                <w:p w14:paraId="308391A7">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val="0"/>
                      <w:bCs/>
                      <w:color w:val="auto"/>
                      <w:sz w:val="21"/>
                      <w:szCs w:val="21"/>
                      <w:lang w:eastAsia="zh-CN"/>
                    </w:rPr>
                  </w:pPr>
                  <w:r>
                    <w:rPr>
                      <w:rFonts w:hint="eastAsia" w:ascii="Times New Roman" w:hAnsi="Times New Roman" w:eastAsia="宋体" w:cs="Times New Roman"/>
                      <w:b w:val="0"/>
                      <w:bCs/>
                      <w:color w:val="auto"/>
                      <w:sz w:val="21"/>
                      <w:szCs w:val="21"/>
                      <w:lang w:val="en-US" w:eastAsia="zh-CN"/>
                    </w:rPr>
                    <w:t>实验室器皿清洗用</w:t>
                  </w:r>
                  <w:r>
                    <w:rPr>
                      <w:rFonts w:hint="default" w:ascii="Times New Roman" w:hAnsi="Times New Roman" w:eastAsia="宋体" w:cs="Times New Roman"/>
                      <w:b w:val="0"/>
                      <w:bCs/>
                      <w:color w:val="auto"/>
                      <w:sz w:val="21"/>
                      <w:szCs w:val="21"/>
                      <w:lang w:val="en-US" w:eastAsia="zh-CN"/>
                    </w:rPr>
                    <w:t>水</w:t>
                  </w:r>
                </w:p>
              </w:tc>
              <w:tc>
                <w:tcPr>
                  <w:tcW w:w="712" w:type="pct"/>
                  <w:vMerge w:val="restart"/>
                  <w:tcBorders>
                    <w:tl2br w:val="nil"/>
                    <w:tr2bl w:val="nil"/>
                  </w:tcBorders>
                  <w:noWrap w:val="0"/>
                  <w:vAlign w:val="center"/>
                </w:tcPr>
                <w:p w14:paraId="0A071A2C">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0.01</w:t>
                  </w:r>
                </w:p>
              </w:tc>
              <w:tc>
                <w:tcPr>
                  <w:tcW w:w="659" w:type="pct"/>
                  <w:vMerge w:val="restart"/>
                  <w:tcBorders>
                    <w:tl2br w:val="nil"/>
                    <w:tr2bl w:val="nil"/>
                  </w:tcBorders>
                  <w:noWrap w:val="0"/>
                  <w:vAlign w:val="center"/>
                </w:tcPr>
                <w:p w14:paraId="149B8FD8">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w:t>
                  </w:r>
                </w:p>
              </w:tc>
              <w:tc>
                <w:tcPr>
                  <w:tcW w:w="534" w:type="pct"/>
                  <w:vMerge w:val="restart"/>
                  <w:tcBorders>
                    <w:tl2br w:val="nil"/>
                    <w:tr2bl w:val="nil"/>
                  </w:tcBorders>
                  <w:noWrap w:val="0"/>
                  <w:vAlign w:val="center"/>
                </w:tcPr>
                <w:p w14:paraId="237B39DF">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0.002</w:t>
                  </w:r>
                </w:p>
              </w:tc>
              <w:tc>
                <w:tcPr>
                  <w:tcW w:w="589" w:type="pct"/>
                  <w:tcBorders>
                    <w:tl2br w:val="nil"/>
                    <w:tr2bl w:val="nil"/>
                  </w:tcBorders>
                  <w:noWrap w:val="0"/>
                  <w:vAlign w:val="center"/>
                </w:tcPr>
                <w:p w14:paraId="423D361D">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r>
                    <w:rPr>
                      <w:rFonts w:hint="eastAsia" w:ascii="Times New Roman" w:hAnsi="Times New Roman" w:cs="Times New Roman"/>
                      <w:b w:val="0"/>
                      <w:bCs/>
                      <w:color w:val="auto"/>
                      <w:sz w:val="21"/>
                      <w:szCs w:val="21"/>
                      <w:lang w:val="en-US" w:eastAsia="zh-CN"/>
                    </w:rPr>
                    <w:t>.0048</w:t>
                  </w:r>
                </w:p>
              </w:tc>
              <w:tc>
                <w:tcPr>
                  <w:tcW w:w="1237" w:type="pct"/>
                  <w:tcBorders>
                    <w:tl2br w:val="nil"/>
                    <w:tr2bl w:val="nil"/>
                  </w:tcBorders>
                  <w:noWrap w:val="0"/>
                  <w:vAlign w:val="center"/>
                </w:tcPr>
                <w:p w14:paraId="2EA1FE71">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经pH调节池收集处理后排入化粪池，处理后排入市政污水管网</w:t>
                  </w:r>
                </w:p>
              </w:tc>
            </w:tr>
            <w:tr w14:paraId="485E77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351" w:type="pct"/>
                  <w:vMerge w:val="continue"/>
                  <w:tcBorders>
                    <w:tl2br w:val="nil"/>
                    <w:tr2bl w:val="nil"/>
                  </w:tcBorders>
                  <w:noWrap w:val="0"/>
                  <w:vAlign w:val="center"/>
                </w:tcPr>
                <w:p w14:paraId="0A126941">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color w:val="auto"/>
                      <w:sz w:val="21"/>
                      <w:szCs w:val="21"/>
                    </w:rPr>
                  </w:pPr>
                </w:p>
              </w:tc>
              <w:tc>
                <w:tcPr>
                  <w:tcW w:w="916" w:type="pct"/>
                  <w:vMerge w:val="continue"/>
                  <w:tcBorders>
                    <w:tl2br w:val="nil"/>
                    <w:tr2bl w:val="nil"/>
                  </w:tcBorders>
                  <w:noWrap w:val="0"/>
                  <w:vAlign w:val="center"/>
                </w:tcPr>
                <w:p w14:paraId="53F3CB6F">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color w:val="auto"/>
                      <w:sz w:val="21"/>
                      <w:szCs w:val="21"/>
                    </w:rPr>
                  </w:pPr>
                </w:p>
              </w:tc>
              <w:tc>
                <w:tcPr>
                  <w:tcW w:w="712" w:type="pct"/>
                  <w:vMerge w:val="continue"/>
                  <w:tcBorders>
                    <w:tl2br w:val="nil"/>
                    <w:tr2bl w:val="nil"/>
                  </w:tcBorders>
                  <w:noWrap w:val="0"/>
                  <w:vAlign w:val="center"/>
                </w:tcPr>
                <w:p w14:paraId="3FA283B0">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color w:val="auto"/>
                      <w:sz w:val="21"/>
                      <w:szCs w:val="21"/>
                    </w:rPr>
                  </w:pPr>
                </w:p>
              </w:tc>
              <w:tc>
                <w:tcPr>
                  <w:tcW w:w="659" w:type="pct"/>
                  <w:vMerge w:val="continue"/>
                  <w:tcBorders>
                    <w:tl2br w:val="nil"/>
                    <w:tr2bl w:val="nil"/>
                  </w:tcBorders>
                  <w:noWrap w:val="0"/>
                  <w:vAlign w:val="center"/>
                </w:tcPr>
                <w:p w14:paraId="64F037D7">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color w:val="auto"/>
                      <w:sz w:val="21"/>
                      <w:szCs w:val="21"/>
                    </w:rPr>
                  </w:pPr>
                </w:p>
              </w:tc>
              <w:tc>
                <w:tcPr>
                  <w:tcW w:w="534" w:type="pct"/>
                  <w:vMerge w:val="continue"/>
                  <w:tcBorders>
                    <w:tl2br w:val="nil"/>
                    <w:tr2bl w:val="nil"/>
                  </w:tcBorders>
                  <w:noWrap w:val="0"/>
                  <w:vAlign w:val="center"/>
                </w:tcPr>
                <w:p w14:paraId="3FA7B39A">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cs="Times New Roman"/>
                      <w:b w:val="0"/>
                      <w:bCs/>
                      <w:color w:val="auto"/>
                      <w:sz w:val="21"/>
                      <w:szCs w:val="21"/>
                      <w:lang w:val="en-US" w:eastAsia="zh-CN"/>
                    </w:rPr>
                  </w:pPr>
                </w:p>
              </w:tc>
              <w:tc>
                <w:tcPr>
                  <w:tcW w:w="589" w:type="pct"/>
                  <w:tcBorders>
                    <w:tl2br w:val="nil"/>
                    <w:tr2bl w:val="nil"/>
                  </w:tcBorders>
                  <w:noWrap w:val="0"/>
                  <w:vAlign w:val="center"/>
                </w:tcPr>
                <w:p w14:paraId="11A21E74">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0.0032</w:t>
                  </w:r>
                </w:p>
              </w:tc>
              <w:tc>
                <w:tcPr>
                  <w:tcW w:w="1237" w:type="pct"/>
                  <w:tcBorders>
                    <w:tl2br w:val="nil"/>
                    <w:tr2bl w:val="nil"/>
                  </w:tcBorders>
                  <w:noWrap w:val="0"/>
                  <w:vAlign w:val="center"/>
                </w:tcPr>
                <w:p w14:paraId="67E8FB6C">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b w:val="0"/>
                      <w:bCs/>
                      <w:color w:val="auto"/>
                      <w:sz w:val="21"/>
                      <w:szCs w:val="21"/>
                      <w:lang w:val="en-US" w:eastAsia="zh-CN"/>
                    </w:rPr>
                  </w:pPr>
                  <w:r>
                    <w:rPr>
                      <w:rFonts w:hint="eastAsia"/>
                      <w:color w:val="auto"/>
                      <w:sz w:val="21"/>
                      <w:szCs w:val="21"/>
                    </w:rPr>
                    <w:t>形成危废</w:t>
                  </w:r>
                </w:p>
              </w:tc>
            </w:tr>
            <w:tr w14:paraId="15F96E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1" w:type="pct"/>
                  <w:tcBorders>
                    <w:tl2br w:val="nil"/>
                    <w:tr2bl w:val="nil"/>
                  </w:tcBorders>
                  <w:noWrap w:val="0"/>
                  <w:vAlign w:val="center"/>
                </w:tcPr>
                <w:p w14:paraId="34C814E7">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eastAsia" w:cs="Times New Roman"/>
                      <w:b w:val="0"/>
                      <w:bCs/>
                      <w:color w:val="auto"/>
                      <w:kern w:val="0"/>
                      <w:sz w:val="21"/>
                      <w:szCs w:val="21"/>
                      <w:lang w:val="en-US" w:eastAsia="zh-CN" w:bidi="ar-SA"/>
                    </w:rPr>
                    <w:t>4</w:t>
                  </w:r>
                </w:p>
              </w:tc>
              <w:tc>
                <w:tcPr>
                  <w:tcW w:w="916" w:type="pct"/>
                  <w:tcBorders>
                    <w:tl2br w:val="nil"/>
                    <w:tr2bl w:val="nil"/>
                  </w:tcBorders>
                  <w:noWrap w:val="0"/>
                  <w:vAlign w:val="center"/>
                </w:tcPr>
                <w:p w14:paraId="4D311D21">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rPr>
                      <w:rFonts w:hint="eastAsia" w:ascii="Times New Roman" w:hAnsi="Times New Roman" w:eastAsia="宋体" w:cs="Times New Roman"/>
                      <w:b w:val="0"/>
                      <w:bCs/>
                      <w:color w:val="auto"/>
                      <w:kern w:val="0"/>
                      <w:sz w:val="21"/>
                      <w:szCs w:val="21"/>
                      <w:lang w:val="en-US" w:eastAsia="zh-CN" w:bidi="ar-SA"/>
                    </w:rPr>
                  </w:pPr>
                  <w:r>
                    <w:rPr>
                      <w:rFonts w:hint="eastAsia" w:ascii="Times New Roman" w:hAnsi="Times New Roman" w:eastAsia="宋体" w:cs="Times New Roman"/>
                      <w:b w:val="0"/>
                      <w:bCs/>
                      <w:color w:val="auto"/>
                      <w:sz w:val="21"/>
                      <w:szCs w:val="21"/>
                      <w:lang w:val="en-US" w:eastAsia="zh-CN"/>
                    </w:rPr>
                    <w:t>溶液配制用水</w:t>
                  </w:r>
                </w:p>
              </w:tc>
              <w:tc>
                <w:tcPr>
                  <w:tcW w:w="1185" w:type="dxa"/>
                  <w:tcBorders>
                    <w:tl2br w:val="nil"/>
                    <w:tr2bl w:val="nil"/>
                  </w:tcBorders>
                  <w:noWrap w:val="0"/>
                  <w:vAlign w:val="center"/>
                </w:tcPr>
                <w:p w14:paraId="2B34DFFB">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w:t>
                  </w:r>
                </w:p>
              </w:tc>
              <w:tc>
                <w:tcPr>
                  <w:tcW w:w="659" w:type="pct"/>
                  <w:tcBorders>
                    <w:tl2br w:val="nil"/>
                    <w:tr2bl w:val="nil"/>
                  </w:tcBorders>
                  <w:noWrap w:val="0"/>
                  <w:vAlign w:val="center"/>
                </w:tcPr>
                <w:p w14:paraId="23ECE24B">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cs="Times New Roman"/>
                      <w:b w:val="0"/>
                      <w:bCs/>
                      <w:color w:val="auto"/>
                      <w:kern w:val="0"/>
                      <w:sz w:val="21"/>
                      <w:szCs w:val="21"/>
                      <w:lang w:val="en-US" w:eastAsia="zh-CN" w:bidi="ar-SA"/>
                    </w:rPr>
                  </w:pPr>
                  <w:r>
                    <w:rPr>
                      <w:rFonts w:hint="eastAsia" w:ascii="Times New Roman" w:hAnsi="Times New Roman" w:cs="Times New Roman"/>
                      <w:b w:val="0"/>
                      <w:bCs/>
                      <w:color w:val="auto"/>
                      <w:sz w:val="21"/>
                      <w:szCs w:val="21"/>
                      <w:lang w:val="en-US" w:eastAsia="zh-CN"/>
                    </w:rPr>
                    <w:t>0.0003</w:t>
                  </w:r>
                </w:p>
              </w:tc>
              <w:tc>
                <w:tcPr>
                  <w:tcW w:w="534" w:type="pct"/>
                  <w:tcBorders>
                    <w:tl2br w:val="nil"/>
                    <w:tr2bl w:val="nil"/>
                  </w:tcBorders>
                  <w:noWrap w:val="0"/>
                  <w:vAlign w:val="center"/>
                </w:tcPr>
                <w:p w14:paraId="6E8189AC">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cs="Times New Roman"/>
                      <w:b w:val="0"/>
                      <w:bCs/>
                      <w:color w:val="auto"/>
                      <w:kern w:val="0"/>
                      <w:sz w:val="21"/>
                      <w:szCs w:val="21"/>
                      <w:lang w:val="en-US" w:eastAsia="zh-CN" w:bidi="ar-SA"/>
                    </w:rPr>
                  </w:pPr>
                  <w:r>
                    <w:rPr>
                      <w:rFonts w:hint="eastAsia" w:ascii="Times New Roman" w:hAnsi="Times New Roman" w:cs="Times New Roman"/>
                      <w:b w:val="0"/>
                      <w:bCs/>
                      <w:color w:val="auto"/>
                      <w:kern w:val="0"/>
                      <w:sz w:val="21"/>
                      <w:szCs w:val="21"/>
                      <w:lang w:val="en-US" w:eastAsia="zh-CN" w:bidi="ar-SA"/>
                    </w:rPr>
                    <w:t>0.0003</w:t>
                  </w:r>
                </w:p>
              </w:tc>
              <w:tc>
                <w:tcPr>
                  <w:tcW w:w="589" w:type="pct"/>
                  <w:tcBorders>
                    <w:tl2br w:val="nil"/>
                    <w:tr2bl w:val="nil"/>
                  </w:tcBorders>
                  <w:noWrap w:val="0"/>
                  <w:vAlign w:val="center"/>
                </w:tcPr>
                <w:p w14:paraId="6F90ABCA">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rPr>
                      <w:rFonts w:hint="eastAsia" w:ascii="Times New Roman" w:hAnsi="Times New Roman" w:cs="Times New Roman"/>
                      <w:b w:val="0"/>
                      <w:bCs/>
                      <w:color w:val="auto"/>
                      <w:kern w:val="0"/>
                      <w:sz w:val="21"/>
                      <w:szCs w:val="21"/>
                      <w:lang w:val="en-US" w:eastAsia="zh-CN" w:bidi="ar-SA"/>
                    </w:rPr>
                  </w:pPr>
                  <w:r>
                    <w:rPr>
                      <w:rFonts w:hint="eastAsia" w:ascii="Times New Roman" w:hAnsi="Times New Roman" w:cs="Times New Roman"/>
                      <w:b w:val="0"/>
                      <w:bCs/>
                      <w:color w:val="auto"/>
                      <w:sz w:val="21"/>
                      <w:szCs w:val="21"/>
                      <w:lang w:val="en-US" w:eastAsia="zh-CN"/>
                    </w:rPr>
                    <w:t>0</w:t>
                  </w:r>
                </w:p>
              </w:tc>
              <w:tc>
                <w:tcPr>
                  <w:tcW w:w="1237" w:type="pct"/>
                  <w:tcBorders>
                    <w:tl2br w:val="nil"/>
                    <w:tr2bl w:val="nil"/>
                  </w:tcBorders>
                  <w:noWrap w:val="0"/>
                  <w:vAlign w:val="center"/>
                </w:tcPr>
                <w:p w14:paraId="305690D8">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eastAsia" w:ascii="Times New Roman" w:hAnsi="Times New Roman" w:eastAsia="宋体" w:cs="Times New Roman"/>
                      <w:b w:val="0"/>
                      <w:bCs/>
                      <w:color w:val="auto"/>
                      <w:sz w:val="21"/>
                      <w:szCs w:val="21"/>
                      <w:lang w:val="en-US" w:eastAsia="zh-CN"/>
                    </w:rPr>
                    <w:t>进入产品</w:t>
                  </w:r>
                </w:p>
              </w:tc>
            </w:tr>
            <w:tr w14:paraId="564D5F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1" w:type="pct"/>
                  <w:tcBorders>
                    <w:tl2br w:val="nil"/>
                    <w:tr2bl w:val="nil"/>
                  </w:tcBorders>
                  <w:noWrap w:val="0"/>
                  <w:vAlign w:val="center"/>
                </w:tcPr>
                <w:p w14:paraId="0F09995B">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eastAsia" w:cs="Times New Roman"/>
                      <w:b w:val="0"/>
                      <w:bCs/>
                      <w:color w:val="auto"/>
                      <w:kern w:val="0"/>
                      <w:sz w:val="21"/>
                      <w:szCs w:val="21"/>
                      <w:lang w:val="en-US" w:eastAsia="zh-CN" w:bidi="ar-SA"/>
                    </w:rPr>
                    <w:t>5</w:t>
                  </w:r>
                </w:p>
              </w:tc>
              <w:tc>
                <w:tcPr>
                  <w:tcW w:w="916" w:type="pct"/>
                  <w:tcBorders>
                    <w:tl2br w:val="nil"/>
                    <w:tr2bl w:val="nil"/>
                  </w:tcBorders>
                  <w:noWrap w:val="0"/>
                  <w:vAlign w:val="center"/>
                </w:tcPr>
                <w:p w14:paraId="759974E3">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sz w:val="21"/>
                      <w:szCs w:val="21"/>
                      <w:lang w:val="en-US" w:eastAsia="zh-CN"/>
                    </w:rPr>
                    <w:t>超声波清洗机用水</w:t>
                  </w:r>
                </w:p>
              </w:tc>
              <w:tc>
                <w:tcPr>
                  <w:tcW w:w="1185" w:type="dxa"/>
                  <w:tcBorders>
                    <w:tl2br w:val="nil"/>
                    <w:tr2bl w:val="nil"/>
                  </w:tcBorders>
                  <w:noWrap w:val="0"/>
                  <w:vAlign w:val="center"/>
                </w:tcPr>
                <w:p w14:paraId="30B3200A">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w:t>
                  </w:r>
                </w:p>
              </w:tc>
              <w:tc>
                <w:tcPr>
                  <w:tcW w:w="659" w:type="pct"/>
                  <w:tcBorders>
                    <w:tl2br w:val="nil"/>
                    <w:tr2bl w:val="nil"/>
                  </w:tcBorders>
                  <w:noWrap w:val="0"/>
                  <w:vAlign w:val="center"/>
                </w:tcPr>
                <w:p w14:paraId="69F3C8F1">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cs="Times New Roman"/>
                      <w:b w:val="0"/>
                      <w:bCs/>
                      <w:color w:val="auto"/>
                      <w:kern w:val="0"/>
                      <w:sz w:val="21"/>
                      <w:szCs w:val="21"/>
                      <w:lang w:val="en-US" w:eastAsia="zh-CN" w:bidi="ar-SA"/>
                    </w:rPr>
                  </w:pPr>
                  <w:r>
                    <w:rPr>
                      <w:rFonts w:hint="eastAsia" w:ascii="Times New Roman" w:hAnsi="Times New Roman" w:cs="Times New Roman"/>
                      <w:b w:val="0"/>
                      <w:bCs/>
                      <w:color w:val="auto"/>
                      <w:sz w:val="21"/>
                      <w:szCs w:val="21"/>
                      <w:lang w:val="en-US" w:eastAsia="zh-CN"/>
                    </w:rPr>
                    <w:t>0.015</w:t>
                  </w:r>
                </w:p>
              </w:tc>
              <w:tc>
                <w:tcPr>
                  <w:tcW w:w="534" w:type="pct"/>
                  <w:tcBorders>
                    <w:tl2br w:val="nil"/>
                    <w:tr2bl w:val="nil"/>
                  </w:tcBorders>
                  <w:noWrap w:val="0"/>
                  <w:vAlign w:val="center"/>
                </w:tcPr>
                <w:p w14:paraId="69731D11">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cs="Times New Roman"/>
                      <w:b w:val="0"/>
                      <w:bCs/>
                      <w:color w:val="auto"/>
                      <w:kern w:val="0"/>
                      <w:sz w:val="21"/>
                      <w:szCs w:val="21"/>
                      <w:lang w:val="en-US" w:eastAsia="zh-CN" w:bidi="ar-SA"/>
                    </w:rPr>
                  </w:pPr>
                  <w:r>
                    <w:rPr>
                      <w:rFonts w:hint="eastAsia" w:ascii="Times New Roman" w:hAnsi="Times New Roman" w:cs="Times New Roman"/>
                      <w:b w:val="0"/>
                      <w:bCs/>
                      <w:color w:val="auto"/>
                      <w:kern w:val="0"/>
                      <w:sz w:val="21"/>
                      <w:szCs w:val="21"/>
                      <w:lang w:val="en-US" w:eastAsia="zh-CN" w:bidi="ar-SA"/>
                    </w:rPr>
                    <w:t>0.0015</w:t>
                  </w:r>
                </w:p>
              </w:tc>
              <w:tc>
                <w:tcPr>
                  <w:tcW w:w="589" w:type="pct"/>
                  <w:tcBorders>
                    <w:tl2br w:val="nil"/>
                    <w:tr2bl w:val="nil"/>
                  </w:tcBorders>
                  <w:noWrap w:val="0"/>
                  <w:vAlign w:val="center"/>
                </w:tcPr>
                <w:p w14:paraId="0AF2DB08">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cs="Times New Roman"/>
                      <w:b w:val="0"/>
                      <w:bCs/>
                      <w:color w:val="auto"/>
                      <w:kern w:val="0"/>
                      <w:sz w:val="21"/>
                      <w:szCs w:val="21"/>
                      <w:lang w:val="en-US" w:eastAsia="zh-CN" w:bidi="ar-SA"/>
                    </w:rPr>
                  </w:pPr>
                  <w:r>
                    <w:rPr>
                      <w:rFonts w:hint="eastAsia" w:ascii="Times New Roman" w:hAnsi="Times New Roman" w:cs="Times New Roman"/>
                      <w:b w:val="0"/>
                      <w:bCs/>
                      <w:color w:val="auto"/>
                      <w:sz w:val="21"/>
                      <w:szCs w:val="21"/>
                      <w:lang w:val="en-US" w:eastAsia="zh-CN"/>
                    </w:rPr>
                    <w:t>0.0135</w:t>
                  </w:r>
                </w:p>
              </w:tc>
              <w:tc>
                <w:tcPr>
                  <w:tcW w:w="1237" w:type="pct"/>
                  <w:tcBorders>
                    <w:tl2br w:val="nil"/>
                    <w:tr2bl w:val="nil"/>
                  </w:tcBorders>
                  <w:noWrap w:val="0"/>
                  <w:vAlign w:val="center"/>
                </w:tcPr>
                <w:p w14:paraId="7A4C3637">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eastAsia" w:ascii="Times New Roman" w:hAnsi="Times New Roman" w:eastAsia="宋体" w:cs="Times New Roman"/>
                      <w:b w:val="0"/>
                      <w:bCs/>
                      <w:color w:val="auto"/>
                      <w:sz w:val="21"/>
                      <w:szCs w:val="21"/>
                      <w:lang w:val="en-US" w:eastAsia="zh-CN"/>
                    </w:rPr>
                    <w:t>形成危废</w:t>
                  </w:r>
                </w:p>
              </w:tc>
            </w:tr>
            <w:tr w14:paraId="02541C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1" w:type="pct"/>
                  <w:tcBorders>
                    <w:tl2br w:val="nil"/>
                    <w:tr2bl w:val="nil"/>
                  </w:tcBorders>
                  <w:noWrap w:val="0"/>
                  <w:vAlign w:val="center"/>
                </w:tcPr>
                <w:p w14:paraId="6581482B">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6</w:t>
                  </w:r>
                </w:p>
              </w:tc>
              <w:tc>
                <w:tcPr>
                  <w:tcW w:w="916" w:type="pct"/>
                  <w:tcBorders>
                    <w:tl2br w:val="nil"/>
                    <w:tr2bl w:val="nil"/>
                  </w:tcBorders>
                  <w:noWrap w:val="0"/>
                  <w:vAlign w:val="center"/>
                </w:tcPr>
                <w:p w14:paraId="17E5903F">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合计</w:t>
                  </w:r>
                </w:p>
              </w:tc>
              <w:tc>
                <w:tcPr>
                  <w:tcW w:w="712" w:type="pct"/>
                  <w:tcBorders>
                    <w:tl2br w:val="nil"/>
                    <w:tr2bl w:val="nil"/>
                  </w:tcBorders>
                  <w:noWrap w:val="0"/>
                  <w:vAlign w:val="center"/>
                </w:tcPr>
                <w:p w14:paraId="441B7328">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1.0355</w:t>
                  </w:r>
                </w:p>
              </w:tc>
              <w:tc>
                <w:tcPr>
                  <w:tcW w:w="659" w:type="pct"/>
                  <w:tcBorders>
                    <w:tl2br w:val="nil"/>
                    <w:tr2bl w:val="nil"/>
                  </w:tcBorders>
                  <w:noWrap w:val="0"/>
                  <w:vAlign w:val="center"/>
                </w:tcPr>
                <w:p w14:paraId="000AC6E0">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0.0153</w:t>
                  </w:r>
                </w:p>
              </w:tc>
              <w:tc>
                <w:tcPr>
                  <w:tcW w:w="534" w:type="pct"/>
                  <w:tcBorders>
                    <w:tl2br w:val="nil"/>
                    <w:tr2bl w:val="nil"/>
                  </w:tcBorders>
                  <w:noWrap w:val="0"/>
                  <w:vAlign w:val="center"/>
                </w:tcPr>
                <w:p w14:paraId="3EC27F4F">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cs="Times New Roman"/>
                      <w:b w:val="0"/>
                      <w:bCs/>
                      <w:color w:val="auto"/>
                      <w:kern w:val="0"/>
                      <w:sz w:val="21"/>
                      <w:szCs w:val="21"/>
                      <w:lang w:val="en-US" w:eastAsia="zh-CN" w:bidi="ar-SA"/>
                    </w:rPr>
                  </w:pPr>
                  <w:r>
                    <w:rPr>
                      <w:rFonts w:hint="eastAsia" w:cs="Times New Roman"/>
                      <w:b w:val="0"/>
                      <w:bCs/>
                      <w:color w:val="auto"/>
                      <w:kern w:val="0"/>
                      <w:sz w:val="21"/>
                      <w:szCs w:val="21"/>
                      <w:lang w:val="en-US" w:eastAsia="zh-CN" w:bidi="ar-SA"/>
                    </w:rPr>
                    <w:t>0.2191</w:t>
                  </w:r>
                </w:p>
              </w:tc>
              <w:tc>
                <w:tcPr>
                  <w:tcW w:w="589" w:type="pct"/>
                  <w:tcBorders>
                    <w:tl2br w:val="nil"/>
                    <w:tr2bl w:val="nil"/>
                  </w:tcBorders>
                  <w:noWrap w:val="0"/>
                  <w:vAlign w:val="center"/>
                </w:tcPr>
                <w:p w14:paraId="79918991">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0.8317</w:t>
                  </w:r>
                </w:p>
              </w:tc>
              <w:tc>
                <w:tcPr>
                  <w:tcW w:w="1237" w:type="pct"/>
                  <w:tcBorders>
                    <w:tl2br w:val="nil"/>
                    <w:tr2bl w:val="nil"/>
                  </w:tcBorders>
                  <w:noWrap w:val="0"/>
                  <w:vAlign w:val="center"/>
                </w:tcPr>
                <w:p w14:paraId="24CF4917">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r>
          </w:tbl>
          <w:p w14:paraId="753B79C1">
            <w:pPr>
              <w:numPr>
                <w:ilvl w:val="0"/>
                <w:numId w:val="0"/>
              </w:numPr>
              <w:adjustRightInd w:val="0"/>
              <w:snapToGrid w:val="0"/>
              <w:spacing w:line="360" w:lineRule="auto"/>
              <w:jc w:val="center"/>
              <w:rPr>
                <w:rFonts w:hint="default" w:ascii="Times New Roman" w:hAnsi="Times New Roman" w:cs="Times New Roman"/>
                <w:b/>
                <w:bCs w:val="0"/>
                <w:color w:val="auto"/>
                <w:sz w:val="24"/>
                <w:szCs w:val="24"/>
                <w:lang w:val="en-US" w:eastAsia="zh-CN"/>
              </w:rPr>
            </w:pPr>
            <w:r>
              <w:rPr>
                <w:rFonts w:hint="default" w:ascii="Times New Roman" w:hAnsi="Times New Roman" w:cs="Times New Roman"/>
                <w:b/>
                <w:bCs w:val="0"/>
                <w:color w:val="auto"/>
                <w:sz w:val="24"/>
                <w:szCs w:val="24"/>
                <w:lang w:val="en-US" w:eastAsia="zh-CN"/>
              </w:rPr>
              <w:drawing>
                <wp:inline distT="0" distB="0" distL="114300" distR="114300">
                  <wp:extent cx="5342255" cy="2413635"/>
                  <wp:effectExtent l="0" t="0" r="10795" b="5715"/>
                  <wp:docPr id="2" name="F360BE8B-6686-4F3D-AEAF-501FE73E4058-1" descr="绘图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360BE8B-6686-4F3D-AEAF-501FE73E4058-1" descr="绘图1(23)"/>
                          <pic:cNvPicPr>
                            <a:picLocks noChangeAspect="1"/>
                          </pic:cNvPicPr>
                        </pic:nvPicPr>
                        <pic:blipFill>
                          <a:blip r:embed="rId10"/>
                          <a:stretch>
                            <a:fillRect/>
                          </a:stretch>
                        </pic:blipFill>
                        <pic:spPr>
                          <a:xfrm>
                            <a:off x="0" y="0"/>
                            <a:ext cx="5342255" cy="2413635"/>
                          </a:xfrm>
                          <a:prstGeom prst="rect">
                            <a:avLst/>
                          </a:prstGeom>
                          <a:noFill/>
                          <a:ln>
                            <a:noFill/>
                          </a:ln>
                        </pic:spPr>
                      </pic:pic>
                    </a:graphicData>
                  </a:graphic>
                </wp:inline>
              </w:drawing>
            </w:r>
          </w:p>
          <w:p w14:paraId="7330D7CA">
            <w:pPr>
              <w:numPr>
                <w:ilvl w:val="0"/>
                <w:numId w:val="0"/>
              </w:numPr>
              <w:adjustRightInd w:val="0"/>
              <w:snapToGrid w:val="0"/>
              <w:spacing w:line="360" w:lineRule="auto"/>
              <w:jc w:val="center"/>
              <w:rPr>
                <w:rFonts w:hint="default" w:ascii="Times New Roman" w:hAnsi="Times New Roman" w:cs="Times New Roman"/>
                <w:b/>
                <w:bCs w:val="0"/>
                <w:color w:val="auto"/>
                <w:sz w:val="24"/>
                <w:szCs w:val="24"/>
                <w:lang w:val="en-US" w:eastAsia="zh-CN"/>
              </w:rPr>
            </w:pPr>
            <w:r>
              <w:rPr>
                <w:rFonts w:hint="default" w:ascii="Times New Roman" w:hAnsi="Times New Roman" w:cs="Times New Roman"/>
                <w:b/>
                <w:bCs w:val="0"/>
                <w:color w:val="auto"/>
                <w:sz w:val="24"/>
                <w:szCs w:val="24"/>
                <w:lang w:val="en-US" w:eastAsia="zh-CN"/>
              </w:rPr>
              <w:t>图2-1</w:t>
            </w:r>
            <w:r>
              <w:rPr>
                <w:rFonts w:hint="eastAsia" w:ascii="Times New Roman" w:hAnsi="Times New Roman" w:cs="Times New Roman"/>
                <w:b/>
                <w:bCs w:val="0"/>
                <w:color w:val="auto"/>
                <w:sz w:val="24"/>
                <w:szCs w:val="24"/>
                <w:lang w:val="en-US" w:eastAsia="zh-CN"/>
              </w:rPr>
              <w:t xml:space="preserve">  </w:t>
            </w:r>
            <w:r>
              <w:rPr>
                <w:rFonts w:hint="default" w:ascii="Times New Roman" w:hAnsi="Times New Roman" w:cs="Times New Roman"/>
                <w:b/>
                <w:bCs w:val="0"/>
                <w:color w:val="auto"/>
                <w:sz w:val="24"/>
                <w:szCs w:val="24"/>
                <w:lang w:val="en-US" w:eastAsia="zh-CN"/>
              </w:rPr>
              <w:t>项目水平衡图 单位：m</w:t>
            </w:r>
            <w:r>
              <w:rPr>
                <w:rFonts w:hint="default" w:ascii="Times New Roman" w:hAnsi="Times New Roman" w:cs="Times New Roman"/>
                <w:b/>
                <w:bCs w:val="0"/>
                <w:color w:val="auto"/>
                <w:sz w:val="24"/>
                <w:szCs w:val="24"/>
                <w:vertAlign w:val="superscript"/>
                <w:lang w:val="en-US" w:eastAsia="zh-CN"/>
              </w:rPr>
              <w:t>3</w:t>
            </w:r>
            <w:r>
              <w:rPr>
                <w:rFonts w:hint="default" w:ascii="Times New Roman" w:hAnsi="Times New Roman" w:cs="Times New Roman"/>
                <w:b/>
                <w:bCs w:val="0"/>
                <w:color w:val="auto"/>
                <w:sz w:val="24"/>
                <w:szCs w:val="24"/>
                <w:lang w:val="en-US" w:eastAsia="zh-CN"/>
              </w:rPr>
              <w:t>/d</w:t>
            </w:r>
          </w:p>
          <w:p w14:paraId="130F2B4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lang w:val="en-US" w:eastAsia="zh-CN"/>
              </w:rPr>
              <w:t>2</w:t>
            </w:r>
            <w:r>
              <w:rPr>
                <w:rFonts w:hint="eastAsia"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供电</w:t>
            </w:r>
          </w:p>
          <w:p w14:paraId="610FE3C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项目</w:t>
            </w:r>
            <w:r>
              <w:rPr>
                <w:rFonts w:hint="eastAsia" w:ascii="Times New Roman" w:hAnsi="Times New Roman" w:eastAsia="宋体" w:cs="Times New Roman"/>
                <w:bCs/>
                <w:color w:val="auto"/>
                <w:sz w:val="24"/>
                <w:lang w:val="en-US" w:eastAsia="zh-CN"/>
              </w:rPr>
              <w:t>运营</w:t>
            </w:r>
            <w:r>
              <w:rPr>
                <w:rFonts w:hint="eastAsia" w:ascii="Times New Roman" w:hAnsi="Times New Roman" w:eastAsia="宋体" w:cs="Times New Roman"/>
                <w:bCs/>
                <w:color w:val="auto"/>
                <w:sz w:val="24"/>
              </w:rPr>
              <w:t>和办公用电由市政电网供电。</w:t>
            </w:r>
          </w:p>
          <w:p w14:paraId="658D179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lang w:val="en-US" w:eastAsia="zh-CN"/>
              </w:rPr>
              <w:t>3</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rPr>
              <w:t>供暖、制冷</w:t>
            </w:r>
          </w:p>
          <w:p w14:paraId="210F69A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eastAsia" w:ascii="Times New Roman" w:hAnsi="Times New Roman" w:eastAsia="宋体" w:cs="Times New Roman"/>
                <w:bCs/>
                <w:color w:val="auto"/>
                <w:sz w:val="24"/>
              </w:rPr>
            </w:pPr>
            <w:r>
              <w:rPr>
                <w:rFonts w:hint="eastAsia" w:ascii="Times New Roman" w:hAnsi="Times New Roman" w:eastAsia="宋体" w:cs="Times New Roman"/>
                <w:bCs/>
                <w:color w:val="auto"/>
                <w:sz w:val="24"/>
                <w:lang w:val="en-US" w:eastAsia="zh-CN"/>
              </w:rPr>
              <w:t>项目</w:t>
            </w:r>
            <w:r>
              <w:rPr>
                <w:rFonts w:hint="default" w:ascii="Times New Roman" w:hAnsi="Times New Roman" w:eastAsia="宋体" w:cs="Times New Roman"/>
                <w:bCs/>
                <w:color w:val="auto"/>
                <w:sz w:val="24"/>
              </w:rPr>
              <w:t>采用空调供暖、制冷</w:t>
            </w:r>
            <w:r>
              <w:rPr>
                <w:rFonts w:hint="eastAsia" w:ascii="Times New Roman" w:hAnsi="Times New Roman" w:eastAsia="宋体" w:cs="Times New Roman"/>
                <w:bCs/>
                <w:color w:val="auto"/>
                <w:sz w:val="24"/>
              </w:rPr>
              <w:t>。</w:t>
            </w:r>
          </w:p>
          <w:p w14:paraId="7F138A9B">
            <w:pPr>
              <w:numPr>
                <w:ilvl w:val="0"/>
                <w:numId w:val="0"/>
              </w:numPr>
              <w:adjustRightInd w:val="0"/>
              <w:snapToGrid w:val="0"/>
              <w:spacing w:line="360" w:lineRule="auto"/>
              <w:jc w:val="both"/>
              <w:rPr>
                <w:rFonts w:hint="default" w:ascii="Times New Roman" w:hAnsi="Times New Roman" w:cs="Times New Roman"/>
                <w:bCs/>
                <w:color w:val="auto"/>
                <w:sz w:val="24"/>
                <w:szCs w:val="24"/>
                <w:lang w:val="en-US" w:eastAsia="zh-CN"/>
              </w:rPr>
            </w:pPr>
            <w:r>
              <w:rPr>
                <w:rFonts w:hint="default" w:ascii="Times New Roman" w:hAnsi="Times New Roman" w:cs="Times New Roman"/>
                <w:b/>
                <w:bCs/>
                <w:color w:val="auto"/>
                <w:kern w:val="2"/>
                <w:sz w:val="24"/>
                <w:szCs w:val="24"/>
                <w:lang w:val="en-US" w:eastAsia="zh-CN" w:bidi="ar-SA"/>
              </w:rPr>
              <w:t>7、</w:t>
            </w:r>
            <w:r>
              <w:rPr>
                <w:rFonts w:hint="default" w:ascii="Times New Roman" w:hAnsi="Times New Roman" w:cs="Times New Roman"/>
                <w:b/>
                <w:bCs w:val="0"/>
                <w:color w:val="auto"/>
                <w:sz w:val="24"/>
                <w:szCs w:val="24"/>
                <w:lang w:val="en-US" w:eastAsia="zh-CN"/>
              </w:rPr>
              <w:t>劳动定员及工作制度</w:t>
            </w:r>
          </w:p>
          <w:p w14:paraId="467AC5CD">
            <w:pPr>
              <w:numPr>
                <w:ilvl w:val="0"/>
                <w:numId w:val="0"/>
              </w:numPr>
              <w:adjustRightInd w:val="0"/>
              <w:snapToGrid w:val="0"/>
              <w:spacing w:line="360" w:lineRule="auto"/>
              <w:ind w:firstLine="480" w:firstLineChars="200"/>
              <w:jc w:val="both"/>
              <w:rPr>
                <w:rFonts w:hint="default" w:ascii="Times New Roman" w:hAnsi="Times New Roman" w:cs="Times New Roman"/>
                <w:bCs/>
                <w:color w:val="auto"/>
                <w:sz w:val="24"/>
                <w:szCs w:val="24"/>
                <w:lang w:val="en-US" w:eastAsia="zh-CN"/>
              </w:rPr>
            </w:pPr>
            <w:r>
              <w:rPr>
                <w:rFonts w:hint="default" w:ascii="Times New Roman" w:hAnsi="Times New Roman" w:cs="Times New Roman"/>
                <w:bCs/>
                <w:color w:val="auto"/>
                <w:sz w:val="24"/>
                <w:szCs w:val="24"/>
                <w:lang w:val="en-US" w:eastAsia="zh-CN"/>
              </w:rPr>
              <w:t>本项目劳动定员10人，工作制度为一班制，每班工作</w:t>
            </w:r>
            <w:r>
              <w:rPr>
                <w:rFonts w:hint="eastAsia" w:ascii="Times New Roman" w:hAnsi="Times New Roman" w:cs="Times New Roman"/>
                <w:bCs/>
                <w:color w:val="auto"/>
                <w:sz w:val="24"/>
                <w:szCs w:val="24"/>
                <w:lang w:val="en-US" w:eastAsia="zh-CN"/>
              </w:rPr>
              <w:t>8</w:t>
            </w:r>
            <w:r>
              <w:rPr>
                <w:rFonts w:hint="default" w:ascii="Times New Roman" w:hAnsi="Times New Roman" w:cs="Times New Roman"/>
                <w:bCs/>
                <w:color w:val="auto"/>
                <w:sz w:val="24"/>
                <w:szCs w:val="24"/>
                <w:lang w:val="en-US" w:eastAsia="zh-CN"/>
              </w:rPr>
              <w:t>小时，年工作</w:t>
            </w:r>
            <w:r>
              <w:rPr>
                <w:rFonts w:hint="eastAsia" w:ascii="Times New Roman" w:hAnsi="Times New Roman" w:cs="Times New Roman"/>
                <w:bCs/>
                <w:color w:val="auto"/>
                <w:sz w:val="24"/>
                <w:szCs w:val="24"/>
                <w:lang w:val="en-US" w:eastAsia="zh-CN"/>
              </w:rPr>
              <w:t>250</w:t>
            </w:r>
            <w:r>
              <w:rPr>
                <w:rFonts w:hint="default" w:ascii="Times New Roman" w:hAnsi="Times New Roman" w:cs="Times New Roman"/>
                <w:bCs/>
                <w:color w:val="auto"/>
                <w:sz w:val="24"/>
                <w:szCs w:val="24"/>
                <w:lang w:val="en-US" w:eastAsia="zh-CN"/>
              </w:rPr>
              <w:t>天，员工均不在厂区内食宿。</w:t>
            </w:r>
          </w:p>
          <w:p w14:paraId="5E47C22F">
            <w:pPr>
              <w:numPr>
                <w:ilvl w:val="0"/>
                <w:numId w:val="0"/>
              </w:numPr>
              <w:adjustRightInd w:val="0"/>
              <w:snapToGrid w:val="0"/>
              <w:spacing w:line="360" w:lineRule="auto"/>
              <w:jc w:val="both"/>
              <w:rPr>
                <w:rFonts w:hint="default" w:ascii="Times New Roman" w:hAnsi="Times New Roman" w:cs="Times New Roman"/>
                <w:bCs/>
                <w:color w:val="auto"/>
                <w:sz w:val="24"/>
                <w:szCs w:val="24"/>
                <w:lang w:val="en-US" w:eastAsia="zh-CN"/>
              </w:rPr>
            </w:pPr>
            <w:r>
              <w:rPr>
                <w:rFonts w:hint="default" w:ascii="Times New Roman" w:hAnsi="Times New Roman" w:cs="Times New Roman"/>
                <w:b/>
                <w:bCs/>
                <w:color w:val="auto"/>
                <w:kern w:val="2"/>
                <w:sz w:val="24"/>
                <w:szCs w:val="24"/>
                <w:lang w:val="en-US" w:eastAsia="zh-CN" w:bidi="ar-SA"/>
              </w:rPr>
              <w:t>8、</w:t>
            </w:r>
            <w:r>
              <w:rPr>
                <w:rFonts w:hint="default" w:ascii="Times New Roman" w:hAnsi="Times New Roman" w:cs="Times New Roman"/>
                <w:b/>
                <w:bCs w:val="0"/>
                <w:color w:val="auto"/>
                <w:sz w:val="24"/>
                <w:szCs w:val="24"/>
                <w:lang w:val="en-US" w:eastAsia="zh-CN"/>
              </w:rPr>
              <w:t>平面布置</w:t>
            </w:r>
          </w:p>
          <w:p w14:paraId="1A137DFD">
            <w:pPr>
              <w:numPr>
                <w:ilvl w:val="0"/>
                <w:numId w:val="0"/>
              </w:numPr>
              <w:adjustRightInd w:val="0"/>
              <w:snapToGrid w:val="0"/>
              <w:spacing w:line="360" w:lineRule="auto"/>
              <w:ind w:firstLine="480" w:firstLineChars="200"/>
              <w:jc w:val="both"/>
              <w:rPr>
                <w:rFonts w:hint="default" w:ascii="Times New Roman" w:hAnsi="Times New Roman" w:cs="Times New Roman"/>
                <w:b/>
                <w:bCs w:val="0"/>
                <w:color w:val="auto"/>
                <w:sz w:val="24"/>
                <w:szCs w:val="24"/>
                <w:lang w:val="en-US" w:eastAsia="zh-CN"/>
              </w:rPr>
            </w:pPr>
            <w:r>
              <w:rPr>
                <w:rFonts w:hint="default" w:ascii="Times New Roman" w:hAnsi="Times New Roman" w:eastAsia="宋体" w:cs="Times New Roman"/>
                <w:bCs/>
                <w:color w:val="auto"/>
                <w:sz w:val="24"/>
                <w:szCs w:val="24"/>
                <w:lang w:val="en-US" w:eastAsia="zh-CN"/>
              </w:rPr>
              <w:t>本项目位于</w:t>
            </w:r>
            <w:r>
              <w:rPr>
                <w:rFonts w:hint="eastAsia" w:ascii="Times New Roman" w:hAnsi="Times New Roman" w:eastAsia="宋体" w:cs="Times New Roman"/>
                <w:bCs/>
                <w:color w:val="auto"/>
                <w:sz w:val="24"/>
                <w:szCs w:val="24"/>
                <w:lang w:val="en-US" w:eastAsia="zh-CN"/>
              </w:rPr>
              <w:t>陕西省西咸新区泾河新城永乐镇泾河智造创新产业园18#3层</w:t>
            </w:r>
            <w:r>
              <w:rPr>
                <w:rFonts w:hint="default" w:ascii="Times New Roman" w:hAnsi="Times New Roman" w:eastAsia="宋体" w:cs="Times New Roman"/>
                <w:bCs/>
                <w:color w:val="auto"/>
                <w:sz w:val="24"/>
                <w:szCs w:val="24"/>
                <w:lang w:val="en-US" w:eastAsia="zh-CN"/>
              </w:rPr>
              <w:t>。生产区位于</w:t>
            </w:r>
            <w:r>
              <w:rPr>
                <w:rFonts w:hint="eastAsia" w:ascii="Times New Roman" w:hAnsi="Times New Roman" w:eastAsia="宋体" w:cs="Times New Roman"/>
                <w:bCs/>
                <w:color w:val="auto"/>
                <w:sz w:val="24"/>
                <w:szCs w:val="24"/>
                <w:lang w:val="en-US" w:eastAsia="zh-CN"/>
              </w:rPr>
              <w:t>项目中部</w:t>
            </w:r>
            <w:r>
              <w:rPr>
                <w:rFonts w:hint="default" w:ascii="Times New Roman" w:hAnsi="Times New Roman" w:eastAsia="宋体" w:cs="Times New Roman"/>
                <w:bCs/>
                <w:color w:val="auto"/>
                <w:sz w:val="24"/>
                <w:szCs w:val="24"/>
                <w:lang w:val="en-US" w:eastAsia="zh-CN"/>
              </w:rPr>
              <w:t>，仓储区位于</w:t>
            </w:r>
            <w:r>
              <w:rPr>
                <w:rFonts w:hint="eastAsia" w:ascii="Times New Roman" w:hAnsi="Times New Roman" w:eastAsia="宋体" w:cs="Times New Roman"/>
                <w:bCs/>
                <w:color w:val="auto"/>
                <w:sz w:val="24"/>
                <w:szCs w:val="24"/>
                <w:lang w:val="en-US" w:eastAsia="zh-CN"/>
              </w:rPr>
              <w:t>项目西北</w:t>
            </w:r>
            <w:r>
              <w:rPr>
                <w:rFonts w:hint="default" w:ascii="Times New Roman" w:hAnsi="Times New Roman" w:eastAsia="宋体" w:cs="Times New Roman"/>
                <w:bCs/>
                <w:color w:val="auto"/>
                <w:sz w:val="24"/>
                <w:szCs w:val="24"/>
                <w:lang w:val="en-US" w:eastAsia="zh-CN"/>
              </w:rPr>
              <w:t>侧，用于储存外购的原材料及成品</w:t>
            </w:r>
            <w:r>
              <w:rPr>
                <w:rFonts w:hint="eastAsia" w:ascii="Times New Roman" w:hAnsi="Times New Roman" w:eastAsia="宋体" w:cs="Times New Roman"/>
                <w:bCs/>
                <w:color w:val="auto"/>
                <w:sz w:val="24"/>
                <w:szCs w:val="24"/>
                <w:lang w:val="en-US" w:eastAsia="zh-CN"/>
              </w:rPr>
              <w:t>，实验室位于项目东北侧，</w:t>
            </w:r>
            <w:r>
              <w:rPr>
                <w:rFonts w:hint="default" w:ascii="Times New Roman" w:hAnsi="Times New Roman" w:eastAsia="宋体" w:cs="Times New Roman"/>
                <w:bCs/>
                <w:color w:val="auto"/>
                <w:sz w:val="24"/>
                <w:szCs w:val="24"/>
                <w:lang w:val="en-US" w:eastAsia="zh-CN"/>
              </w:rPr>
              <w:t>项目各区域衔接适当、物流通畅、布置合理，周边交通便利，可以满足日常生产需求。项目平面布置图见附图</w:t>
            </w:r>
            <w:r>
              <w:rPr>
                <w:rFonts w:hint="eastAsia" w:ascii="Times New Roman" w:hAnsi="Times New Roman" w:eastAsia="宋体" w:cs="Times New Roman"/>
                <w:bCs/>
                <w:color w:val="auto"/>
                <w:sz w:val="24"/>
                <w:szCs w:val="24"/>
                <w:lang w:val="en-US" w:eastAsia="zh-CN"/>
              </w:rPr>
              <w:t>3</w:t>
            </w:r>
            <w:r>
              <w:rPr>
                <w:rFonts w:hint="default" w:ascii="Times New Roman" w:hAnsi="Times New Roman" w:eastAsia="宋体" w:cs="Times New Roman"/>
                <w:bCs/>
                <w:color w:val="auto"/>
                <w:sz w:val="24"/>
                <w:szCs w:val="24"/>
                <w:lang w:val="en-US" w:eastAsia="zh-CN"/>
              </w:rPr>
              <w:t>。</w:t>
            </w:r>
          </w:p>
        </w:tc>
      </w:tr>
      <w:tr w14:paraId="152BCA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446" w:type="dxa"/>
            <w:noWrap w:val="0"/>
            <w:vAlign w:val="center"/>
          </w:tcPr>
          <w:p w14:paraId="56C87F42">
            <w:pPr>
              <w:pStyle w:val="23"/>
              <w:adjustRightInd w:val="0"/>
              <w:snapToGrid w:val="0"/>
              <w:spacing w:before="0" w:beforeAutospacing="0" w:after="0" w:afterAutospacing="0"/>
              <w:jc w:val="center"/>
              <w:rPr>
                <w:rFonts w:hint="default" w:ascii="Times New Roman" w:hAnsi="Times New Roman" w:cs="Times New Roman"/>
                <w:b/>
                <w:bCs/>
                <w:color w:val="auto"/>
                <w:sz w:val="24"/>
                <w:szCs w:val="24"/>
              </w:rPr>
            </w:pPr>
            <w:r>
              <w:rPr>
                <w:rFonts w:hint="default" w:ascii="Times New Roman" w:hAnsi="Times New Roman" w:cs="Times New Roman"/>
                <w:b w:val="0"/>
                <w:bCs w:val="0"/>
                <w:color w:val="auto"/>
                <w:sz w:val="24"/>
                <w:szCs w:val="24"/>
              </w:rPr>
              <w:t>工艺流程和产排污环节</w:t>
            </w:r>
          </w:p>
        </w:tc>
        <w:tc>
          <w:tcPr>
            <w:tcW w:w="8538" w:type="dxa"/>
            <w:noWrap w:val="0"/>
            <w:vAlign w:val="top"/>
          </w:tcPr>
          <w:p w14:paraId="1AD62589">
            <w:pPr>
              <w:numPr>
                <w:ilvl w:val="0"/>
                <w:numId w:val="0"/>
              </w:numPr>
              <w:adjustRightInd w:val="0"/>
              <w:snapToGrid w:val="0"/>
              <w:spacing w:line="360" w:lineRule="auto"/>
              <w:jc w:val="both"/>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一、施工期工程分析</w:t>
            </w:r>
          </w:p>
          <w:p w14:paraId="0758EC88">
            <w:pPr>
              <w:numPr>
                <w:ilvl w:val="0"/>
                <w:numId w:val="0"/>
              </w:numPr>
              <w:adjustRightInd w:val="0"/>
              <w:snapToGrid w:val="0"/>
              <w:spacing w:line="360" w:lineRule="auto"/>
              <w:ind w:firstLine="480" w:firstLineChars="200"/>
              <w:jc w:val="both"/>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本项目位于</w:t>
            </w:r>
            <w:r>
              <w:rPr>
                <w:rFonts w:hint="eastAsia" w:ascii="Times New Roman" w:hAnsi="Times New Roman" w:eastAsia="宋体" w:cs="Times New Roman"/>
                <w:bCs/>
                <w:color w:val="auto"/>
                <w:sz w:val="24"/>
                <w:szCs w:val="24"/>
                <w:lang w:val="en-US" w:eastAsia="zh-CN"/>
              </w:rPr>
              <w:t>陕西省西咸新区泾河新城永乐镇泾河智造创新产业园18#3层</w:t>
            </w:r>
            <w:r>
              <w:rPr>
                <w:rFonts w:hint="default" w:ascii="Times New Roman" w:hAnsi="Times New Roman" w:eastAsia="宋体" w:cs="Times New Roman"/>
                <w:bCs/>
                <w:color w:val="auto"/>
                <w:sz w:val="24"/>
                <w:szCs w:val="24"/>
                <w:lang w:val="en-US" w:eastAsia="zh-CN"/>
              </w:rPr>
              <w:t>，租用已建成厂房，施工期只进行生产设备和环保设施的安装及调试。施工过程中主要产生少量的设备安装废气、噪声、固废及工人产生的少量生活污水和生活垃圾等。</w:t>
            </w:r>
          </w:p>
          <w:p w14:paraId="2A9E5AE7">
            <w:pPr>
              <w:numPr>
                <w:ilvl w:val="0"/>
                <w:numId w:val="4"/>
              </w:numPr>
              <w:adjustRightInd w:val="0"/>
              <w:snapToGrid w:val="0"/>
              <w:spacing w:line="360" w:lineRule="auto"/>
              <w:jc w:val="both"/>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运营期工程分析</w:t>
            </w:r>
          </w:p>
          <w:p w14:paraId="02212012">
            <w:pPr>
              <w:numPr>
                <w:ilvl w:val="0"/>
                <w:numId w:val="5"/>
              </w:numPr>
              <w:adjustRightInd w:val="0"/>
              <w:snapToGrid w:val="0"/>
              <w:spacing w:line="360" w:lineRule="auto"/>
              <w:jc w:val="both"/>
              <w:rPr>
                <w:rFonts w:hint="default"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en-US" w:eastAsia="zh-CN"/>
              </w:rPr>
              <w:t>膜电极</w:t>
            </w:r>
            <w:r>
              <w:rPr>
                <w:rFonts w:hint="default" w:ascii="Times New Roman" w:hAnsi="Times New Roman" w:eastAsia="宋体" w:cs="Times New Roman"/>
                <w:b/>
                <w:bCs w:val="0"/>
                <w:color w:val="auto"/>
                <w:sz w:val="24"/>
                <w:szCs w:val="24"/>
                <w:lang w:val="en-US" w:eastAsia="zh-CN"/>
              </w:rPr>
              <w:t>生产工艺流程及产污环节</w:t>
            </w:r>
          </w:p>
          <w:p w14:paraId="20E0260D">
            <w:pPr>
              <w:numPr>
                <w:ilvl w:val="0"/>
                <w:numId w:val="0"/>
              </w:numPr>
              <w:adjustRightInd w:val="0"/>
              <w:snapToGrid w:val="0"/>
              <w:spacing w:line="360" w:lineRule="auto"/>
              <w:jc w:val="center"/>
              <w:rPr>
                <w:rFonts w:hint="default" w:ascii="Times New Roman" w:hAnsi="Times New Roman" w:cs="Times New Roman"/>
                <w:color w:val="auto"/>
                <w:sz w:val="21"/>
              </w:rPr>
            </w:pPr>
          </w:p>
          <w:p w14:paraId="6676DEBE">
            <w:pPr>
              <w:numPr>
                <w:ilvl w:val="0"/>
                <w:numId w:val="0"/>
              </w:numPr>
              <w:adjustRightInd w:val="0"/>
              <w:snapToGrid w:val="0"/>
              <w:spacing w:line="36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4"/>
                <w:szCs w:val="24"/>
                <w:lang w:val="en-US" w:eastAsia="zh-CN"/>
              </w:rPr>
              <w:drawing>
                <wp:inline distT="0" distB="0" distL="114300" distR="114300">
                  <wp:extent cx="4885690" cy="2468245"/>
                  <wp:effectExtent l="0" t="0" r="10160" b="8255"/>
                  <wp:docPr id="3" name="F360BE8B-6686-4F3D-AEAF-501FE73E4058-2" descr="C:/Users/Lenovo/AppData/Local/Temp/绘图1(21).png绘图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360BE8B-6686-4F3D-AEAF-501FE73E4058-2" descr="C:/Users/Lenovo/AppData/Local/Temp/绘图1(21).png绘图1(21)"/>
                          <pic:cNvPicPr>
                            <a:picLocks noChangeAspect="1"/>
                          </pic:cNvPicPr>
                        </pic:nvPicPr>
                        <pic:blipFill>
                          <a:blip r:embed="rId11"/>
                          <a:stretch>
                            <a:fillRect/>
                          </a:stretch>
                        </pic:blipFill>
                        <pic:spPr>
                          <a:xfrm>
                            <a:off x="0" y="0"/>
                            <a:ext cx="4885690" cy="2468245"/>
                          </a:xfrm>
                          <a:prstGeom prst="rect">
                            <a:avLst/>
                          </a:prstGeom>
                          <a:noFill/>
                          <a:ln>
                            <a:noFill/>
                          </a:ln>
                        </pic:spPr>
                      </pic:pic>
                    </a:graphicData>
                  </a:graphic>
                </wp:inline>
              </w:drawing>
            </w:r>
          </w:p>
          <w:p w14:paraId="3A9EECCB">
            <w:pPr>
              <w:numPr>
                <w:ilvl w:val="0"/>
                <w:numId w:val="0"/>
              </w:numPr>
              <w:adjustRightInd w:val="0"/>
              <w:snapToGrid w:val="0"/>
              <w:spacing w:line="360" w:lineRule="auto"/>
              <w:jc w:val="center"/>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图2-2</w:t>
            </w:r>
            <w:r>
              <w:rPr>
                <w:rFonts w:hint="eastAsia" w:ascii="Times New Roman" w:hAnsi="Times New Roman" w:cs="Times New Roman"/>
                <w:b/>
                <w:bCs/>
                <w:color w:val="auto"/>
                <w:sz w:val="24"/>
                <w:szCs w:val="24"/>
                <w:lang w:val="en-US" w:eastAsia="zh-CN"/>
              </w:rPr>
              <w:t xml:space="preserve">  膜电极</w:t>
            </w:r>
            <w:r>
              <w:rPr>
                <w:rFonts w:hint="default" w:ascii="Times New Roman" w:hAnsi="Times New Roman" w:cs="Times New Roman"/>
                <w:b/>
                <w:bCs/>
                <w:color w:val="auto"/>
                <w:sz w:val="24"/>
                <w:szCs w:val="24"/>
                <w:lang w:val="en-US" w:eastAsia="zh-CN"/>
              </w:rPr>
              <w:t>生产工艺流程及产污环节</w:t>
            </w:r>
          </w:p>
          <w:p w14:paraId="4E7FB36C">
            <w:pPr>
              <w:numPr>
                <w:ilvl w:val="0"/>
                <w:numId w:val="0"/>
              </w:numPr>
              <w:adjustRightInd w:val="0"/>
              <w:snapToGrid w:val="0"/>
              <w:spacing w:line="360" w:lineRule="auto"/>
              <w:jc w:val="center"/>
              <w:rPr>
                <w:color w:val="auto"/>
              </w:rPr>
            </w:pPr>
            <w:r>
              <w:rPr>
                <w:color w:val="auto"/>
              </w:rPr>
              <w:drawing>
                <wp:inline distT="0" distB="0" distL="114300" distR="114300">
                  <wp:extent cx="3023870" cy="2710180"/>
                  <wp:effectExtent l="0" t="0" r="5080" b="139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3023870" cy="2710180"/>
                          </a:xfrm>
                          <a:prstGeom prst="rect">
                            <a:avLst/>
                          </a:prstGeom>
                          <a:noFill/>
                          <a:ln>
                            <a:noFill/>
                          </a:ln>
                        </pic:spPr>
                      </pic:pic>
                    </a:graphicData>
                  </a:graphic>
                </wp:inline>
              </w:drawing>
            </w:r>
          </w:p>
          <w:p w14:paraId="33FBE921">
            <w:pPr>
              <w:numPr>
                <w:ilvl w:val="-1"/>
                <w:numId w:val="0"/>
              </w:numPr>
              <w:adjustRightInd/>
              <w:snapToGrid/>
              <w:spacing w:line="240" w:lineRule="auto"/>
              <w:jc w:val="center"/>
              <w:rPr>
                <w:rFonts w:hint="default"/>
                <w:color w:val="auto"/>
                <w:lang w:val="en-US" w:eastAsia="zh-CN"/>
              </w:rPr>
            </w:pPr>
            <w:r>
              <w:rPr>
                <w:rFonts w:hint="default" w:ascii="Times New Roman" w:hAnsi="Times New Roman" w:cs="Times New Roman"/>
                <w:b/>
                <w:bCs/>
                <w:color w:val="auto"/>
                <w:sz w:val="24"/>
                <w:szCs w:val="24"/>
                <w:lang w:val="en-US" w:eastAsia="zh-CN"/>
              </w:rPr>
              <w:t>图2-</w:t>
            </w:r>
            <w:r>
              <w:rPr>
                <w:rFonts w:hint="eastAsia" w:ascii="Times New Roman" w:hAnsi="Times New Roman" w:cs="Times New Roman"/>
                <w:b/>
                <w:bCs/>
                <w:color w:val="auto"/>
                <w:sz w:val="24"/>
                <w:szCs w:val="24"/>
                <w:lang w:val="en-US" w:eastAsia="zh-CN"/>
              </w:rPr>
              <w:t>3  膜电极结构示意图</w:t>
            </w:r>
          </w:p>
          <w:p w14:paraId="5F129E57">
            <w:pPr>
              <w:numPr>
                <w:ilvl w:val="0"/>
                <w:numId w:val="0"/>
              </w:numPr>
              <w:adjustRightInd w:val="0"/>
              <w:snapToGrid w:val="0"/>
              <w:spacing w:line="360" w:lineRule="auto"/>
              <w:ind w:firstLine="482" w:firstLineChars="200"/>
              <w:jc w:val="both"/>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工艺流程简述：</w:t>
            </w:r>
          </w:p>
          <w:p w14:paraId="7E75BF34">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膜电极产线的工艺流程涉及多个步骤，主要包括催化浆料配制</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质子交换膜</w:t>
            </w:r>
            <w:r>
              <w:rPr>
                <w:rFonts w:hint="eastAsia" w:ascii="Times New Roman" w:hAnsi="Times New Roman" w:cs="Times New Roman"/>
                <w:color w:val="auto"/>
                <w:sz w:val="24"/>
                <w:szCs w:val="24"/>
                <w:lang w:val="en-US" w:eastAsia="zh-CN"/>
              </w:rPr>
              <w:t>预</w:t>
            </w:r>
            <w:r>
              <w:rPr>
                <w:rFonts w:hint="default" w:ascii="Times New Roman" w:hAnsi="Times New Roman" w:cs="Times New Roman"/>
                <w:color w:val="auto"/>
                <w:sz w:val="24"/>
                <w:szCs w:val="24"/>
                <w:lang w:val="en-US" w:eastAsia="zh-CN"/>
              </w:rPr>
              <w:t>处理、</w:t>
            </w:r>
            <w:r>
              <w:rPr>
                <w:rFonts w:hint="eastAsia"/>
                <w:color w:val="auto"/>
                <w:sz w:val="24"/>
                <w:szCs w:val="24"/>
                <w:lang w:val="en-US" w:eastAsia="zh-CN"/>
              </w:rPr>
              <w:t>催化剂涂覆膜制备、组装</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后处理与检测几个关键阶段。</w:t>
            </w:r>
          </w:p>
          <w:p w14:paraId="6A3CAE62">
            <w:pPr>
              <w:spacing w:line="360" w:lineRule="auto"/>
              <w:ind w:firstLine="480" w:firstLineChars="200"/>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val="en-US" w:eastAsia="zh-CN"/>
              </w:rPr>
              <w:t>催化浆料配制</w:t>
            </w:r>
          </w:p>
          <w:p w14:paraId="0F4FEBA8">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将全氟磺酸树脂、催化剂、</w:t>
            </w:r>
            <w:r>
              <w:rPr>
                <w:rFonts w:hint="eastAsia" w:ascii="Times New Roman" w:hAnsi="Times New Roman" w:cs="Times New Roman"/>
                <w:color w:val="auto"/>
                <w:sz w:val="24"/>
                <w:szCs w:val="24"/>
                <w:lang w:val="en-US" w:eastAsia="zh-CN"/>
              </w:rPr>
              <w:t>催化剂</w:t>
            </w:r>
            <w:r>
              <w:rPr>
                <w:rFonts w:hint="default" w:ascii="Times New Roman" w:hAnsi="Times New Roman" w:cs="Times New Roman"/>
                <w:color w:val="auto"/>
                <w:sz w:val="24"/>
                <w:szCs w:val="24"/>
                <w:lang w:val="en-US" w:eastAsia="zh-CN"/>
              </w:rPr>
              <w:t>溶剂按配比</w:t>
            </w:r>
            <w:r>
              <w:rPr>
                <w:rFonts w:hint="eastAsia" w:ascii="Times New Roman" w:hAnsi="Times New Roman" w:cs="Times New Roman"/>
                <w:color w:val="auto"/>
                <w:sz w:val="24"/>
                <w:szCs w:val="24"/>
                <w:lang w:val="en-US" w:eastAsia="zh-CN"/>
              </w:rPr>
              <w:t>2:1:7进行混合</w:t>
            </w:r>
            <w:r>
              <w:rPr>
                <w:rFonts w:hint="eastAsia"/>
                <w:color w:val="auto"/>
                <w:lang w:eastAsia="zh-CN"/>
              </w:rPr>
              <w:t>，</w:t>
            </w:r>
            <w:r>
              <w:rPr>
                <w:rFonts w:hint="eastAsia"/>
                <w:color w:val="auto"/>
                <w:sz w:val="24"/>
                <w:szCs w:val="32"/>
                <w:lang w:val="en-US" w:eastAsia="zh-CN"/>
              </w:rPr>
              <w:t>该过程在</w:t>
            </w:r>
            <w:r>
              <w:rPr>
                <w:rFonts w:hint="eastAsia" w:ascii="Times New Roman" w:hAnsi="Times New Roman" w:cs="Times New Roman"/>
                <w:color w:val="auto"/>
                <w:sz w:val="24"/>
                <w:szCs w:val="24"/>
                <w:lang w:val="en-US" w:eastAsia="zh-CN"/>
              </w:rPr>
              <w:t>在实验室通风橱内进行，将三者加入</w:t>
            </w:r>
            <w:r>
              <w:rPr>
                <w:rFonts w:hint="eastAsia"/>
                <w:color w:val="auto"/>
                <w:sz w:val="24"/>
                <w:szCs w:val="32"/>
                <w:lang w:val="en-US" w:eastAsia="zh-CN"/>
              </w:rPr>
              <w:t>搅拌机后进行</w:t>
            </w:r>
            <w:r>
              <w:rPr>
                <w:rFonts w:hint="default" w:ascii="Times New Roman" w:hAnsi="Times New Roman" w:cs="Times New Roman"/>
                <w:color w:val="auto"/>
                <w:sz w:val="24"/>
                <w:szCs w:val="24"/>
                <w:lang w:val="en-US" w:eastAsia="zh-CN"/>
              </w:rPr>
              <w:t>混合</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进行充分分散和均质化，形成稳定、粘度合适的催化浆料。浆料质量直接影响涂层均匀性和性能。配料过程均在</w:t>
            </w:r>
            <w:r>
              <w:rPr>
                <w:rFonts w:hint="eastAsia" w:ascii="Times New Roman" w:hAnsi="Times New Roman" w:cs="Times New Roman"/>
                <w:color w:val="auto"/>
                <w:sz w:val="24"/>
                <w:szCs w:val="24"/>
                <w:lang w:val="en-US" w:eastAsia="zh-CN"/>
              </w:rPr>
              <w:t>实验室进行。催化剂</w:t>
            </w:r>
            <w:r>
              <w:rPr>
                <w:rFonts w:hint="default" w:ascii="Times New Roman" w:hAnsi="Times New Roman" w:cs="Times New Roman"/>
                <w:color w:val="auto"/>
                <w:sz w:val="24"/>
                <w:szCs w:val="24"/>
                <w:lang w:val="en-US" w:eastAsia="zh-CN"/>
              </w:rPr>
              <w:t>溶剂</w:t>
            </w:r>
            <w:r>
              <w:rPr>
                <w:rFonts w:hint="eastAsia" w:ascii="Times New Roman" w:hAnsi="Times New Roman" w:cs="Times New Roman"/>
                <w:color w:val="auto"/>
                <w:sz w:val="24"/>
                <w:szCs w:val="24"/>
                <w:lang w:val="en-US" w:eastAsia="zh-CN"/>
              </w:rPr>
              <w:t>主要成分为N-甲基吡络烷酮、乙二醇二甲醚、去离子水、异丙醇。N-甲基吡络烷酮</w:t>
            </w:r>
            <w:r>
              <w:rPr>
                <w:rFonts w:hint="default" w:ascii="Times New Roman" w:hAnsi="Times New Roman" w:cs="Times New Roman"/>
                <w:color w:val="auto"/>
                <w:sz w:val="24"/>
                <w:szCs w:val="24"/>
                <w:lang w:val="en-US" w:eastAsia="zh-CN"/>
              </w:rPr>
              <w:t>常温下是稳定的，不会挥发，</w:t>
            </w:r>
            <w:r>
              <w:rPr>
                <w:rFonts w:hint="eastAsia" w:ascii="Times New Roman" w:hAnsi="Times New Roman" w:cs="Times New Roman"/>
                <w:color w:val="auto"/>
                <w:sz w:val="24"/>
                <w:szCs w:val="24"/>
                <w:lang w:val="en-US" w:eastAsia="zh-CN"/>
              </w:rPr>
              <w:t>沸点为202</w:t>
            </w:r>
            <w:r>
              <w:rPr>
                <w:rFonts w:hint="default" w:ascii="Times New Roman" w:hAnsi="Times New Roman" w:cs="Times New Roman"/>
                <w:color w:val="auto"/>
                <w:sz w:val="24"/>
                <w:szCs w:val="24"/>
                <w:lang w:val="en-US" w:eastAsia="zh-CN"/>
              </w:rPr>
              <w:t>℃；全氟磺酸树脂具有良好的热稳定性，在200℃左右的温度下长期保持稳定，其热分解温度一般在350℃以上；</w:t>
            </w:r>
            <w:r>
              <w:rPr>
                <w:rFonts w:hint="eastAsia" w:ascii="Times New Roman" w:hAnsi="Times New Roman" w:cs="Times New Roman"/>
                <w:color w:val="auto"/>
                <w:sz w:val="24"/>
                <w:szCs w:val="24"/>
                <w:lang w:val="en-US" w:eastAsia="zh-CN"/>
              </w:rPr>
              <w:t>乙二醇二甲醚</w:t>
            </w:r>
            <w:r>
              <w:rPr>
                <w:rFonts w:hint="default" w:ascii="Times New Roman" w:hAnsi="Times New Roman" w:cs="Times New Roman"/>
                <w:color w:val="auto"/>
                <w:sz w:val="24"/>
                <w:szCs w:val="24"/>
                <w:lang w:val="en-US" w:eastAsia="zh-CN"/>
              </w:rPr>
              <w:t>和异丙醇</w:t>
            </w:r>
            <w:r>
              <w:rPr>
                <w:rFonts w:hint="eastAsia" w:ascii="Times New Roman" w:hAnsi="Times New Roman" w:cs="Times New Roman"/>
                <w:color w:val="auto"/>
                <w:sz w:val="24"/>
                <w:szCs w:val="24"/>
                <w:lang w:val="en-US" w:eastAsia="zh-CN"/>
              </w:rPr>
              <w:t>易挥发，故在配制过程</w:t>
            </w:r>
            <w:r>
              <w:rPr>
                <w:rFonts w:hint="default" w:ascii="Times New Roman" w:hAnsi="Times New Roman" w:cs="Times New Roman"/>
                <w:color w:val="auto"/>
                <w:sz w:val="24"/>
                <w:szCs w:val="24"/>
                <w:lang w:val="en-US" w:eastAsia="zh-CN"/>
              </w:rPr>
              <w:t>中会挥发少量废气。此过程会产生少量的有机废气。</w:t>
            </w:r>
          </w:p>
          <w:p w14:paraId="110D8D70">
            <w:pPr>
              <w:spacing w:line="360" w:lineRule="auto"/>
              <w:ind w:firstLine="480" w:firstLineChars="200"/>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（2）</w:t>
            </w:r>
            <w:r>
              <w:rPr>
                <w:rFonts w:hint="eastAsia"/>
                <w:color w:val="auto"/>
                <w:sz w:val="24"/>
                <w:szCs w:val="24"/>
                <w:lang w:val="en-US" w:eastAsia="zh-CN"/>
              </w:rPr>
              <w:t>催化剂涂覆膜制备</w:t>
            </w:r>
          </w:p>
          <w:p w14:paraId="519BF7C7">
            <w:pPr>
              <w:spacing w:line="360" w:lineRule="auto"/>
              <w:ind w:firstLine="480" w:firstLineChars="200"/>
              <w:rPr>
                <w:rFonts w:hint="default" w:ascii="Times New Roman" w:hAnsi="Times New Roman" w:cs="Times New Roman"/>
                <w:color w:val="auto"/>
                <w:sz w:val="24"/>
                <w:szCs w:val="24"/>
                <w:lang w:val="en-US" w:eastAsia="zh-CN"/>
              </w:rPr>
            </w:pPr>
            <w:r>
              <w:rPr>
                <w:rFonts w:hint="default"/>
                <w:color w:val="auto"/>
                <w:sz w:val="24"/>
                <w:szCs w:val="24"/>
                <w:lang w:val="en-US" w:eastAsia="zh-CN"/>
              </w:rPr>
              <w:t>将</w:t>
            </w:r>
            <w:r>
              <w:rPr>
                <w:rFonts w:hint="default" w:ascii="Times New Roman" w:hAnsi="Times New Roman" w:cs="Times New Roman"/>
                <w:color w:val="auto"/>
                <w:sz w:val="24"/>
                <w:szCs w:val="24"/>
                <w:lang w:val="en-US" w:eastAsia="zh-CN"/>
              </w:rPr>
              <w:t>质子交换膜</w:t>
            </w:r>
            <w:r>
              <w:rPr>
                <w:rFonts w:hint="default"/>
                <w:color w:val="auto"/>
                <w:sz w:val="24"/>
                <w:szCs w:val="24"/>
                <w:lang w:val="en-US" w:eastAsia="zh-CN"/>
              </w:rPr>
              <w:t>以卷材形式连续进料，经过涂布</w:t>
            </w:r>
            <w:r>
              <w:rPr>
                <w:rFonts w:hint="eastAsia"/>
                <w:color w:val="auto"/>
                <w:sz w:val="24"/>
                <w:szCs w:val="24"/>
                <w:lang w:val="en-US" w:eastAsia="zh-CN"/>
              </w:rPr>
              <w:t>催化浆料</w:t>
            </w:r>
            <w:r>
              <w:rPr>
                <w:rFonts w:hint="default"/>
                <w:color w:val="auto"/>
                <w:sz w:val="24"/>
                <w:szCs w:val="24"/>
                <w:lang w:val="en-US" w:eastAsia="zh-CN"/>
              </w:rPr>
              <w:t>、干燥、</w:t>
            </w:r>
            <w:r>
              <w:rPr>
                <w:rFonts w:hint="eastAsia"/>
                <w:color w:val="auto"/>
                <w:sz w:val="24"/>
                <w:szCs w:val="24"/>
                <w:lang w:val="en-US" w:eastAsia="zh-CN"/>
              </w:rPr>
              <w:t>检测、</w:t>
            </w:r>
            <w:r>
              <w:rPr>
                <w:rFonts w:hint="default"/>
                <w:color w:val="auto"/>
                <w:sz w:val="24"/>
                <w:szCs w:val="24"/>
                <w:lang w:val="en-US" w:eastAsia="zh-CN"/>
              </w:rPr>
              <w:t>收卷等工序</w:t>
            </w:r>
            <w:r>
              <w:rPr>
                <w:rFonts w:hint="eastAsia"/>
                <w:color w:val="auto"/>
                <w:sz w:val="24"/>
                <w:szCs w:val="24"/>
                <w:lang w:val="en-US" w:eastAsia="zh-CN"/>
              </w:rPr>
              <w:t>后形成催化剂涂覆膜</w:t>
            </w:r>
            <w:r>
              <w:rPr>
                <w:rFonts w:hint="default"/>
                <w:color w:val="auto"/>
                <w:sz w:val="24"/>
                <w:szCs w:val="24"/>
                <w:lang w:val="en-US" w:eastAsia="zh-CN"/>
              </w:rPr>
              <w:t>。</w:t>
            </w:r>
            <w:r>
              <w:rPr>
                <w:rFonts w:hint="eastAsia"/>
                <w:color w:val="auto"/>
                <w:sz w:val="24"/>
                <w:szCs w:val="24"/>
                <w:lang w:val="en-US" w:eastAsia="zh-CN"/>
              </w:rPr>
              <w:t>涂布在卷</w:t>
            </w:r>
            <w:r>
              <w:rPr>
                <w:rFonts w:hint="eastAsia" w:ascii="Times New Roman" w:hAnsi="Times New Roman" w:eastAsia="宋体" w:cs="Times New Roman"/>
                <w:color w:val="auto"/>
                <w:sz w:val="24"/>
                <w:szCs w:val="24"/>
                <w:lang w:val="en-US" w:eastAsia="zh-CN"/>
              </w:rPr>
              <w:t>材涂布机上进行，涂布厚度为50-100微米，两侧均进行涂布。干燥过程在干燥箱中进行，干燥温度为120</w:t>
            </w:r>
            <w:r>
              <w:rPr>
                <w:rFonts w:hint="default" w:ascii="Times New Roman" w:hAnsi="Times New Roman"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，干燥时间约2min。此过程浆料在涂布干燥过程中乙二醇二甲醚和异丙醇挥发会产生废气。</w:t>
            </w:r>
            <w:r>
              <w:rPr>
                <w:rFonts w:hint="default" w:ascii="Times New Roman" w:hAnsi="Times New Roman" w:cs="Times New Roman"/>
                <w:color w:val="auto"/>
                <w:sz w:val="24"/>
                <w:szCs w:val="24"/>
                <w:lang w:val="en-US" w:eastAsia="zh-CN"/>
              </w:rPr>
              <w:t>此过程会产生有机废气</w:t>
            </w:r>
            <w:r>
              <w:rPr>
                <w:rFonts w:hint="eastAsia" w:ascii="Times New Roman" w:hAnsi="Times New Roman" w:cs="Times New Roman"/>
                <w:color w:val="auto"/>
                <w:sz w:val="24"/>
                <w:szCs w:val="24"/>
                <w:lang w:val="en-US" w:eastAsia="zh-CN"/>
              </w:rPr>
              <w:t>和噪声</w:t>
            </w:r>
            <w:r>
              <w:rPr>
                <w:rFonts w:hint="default" w:ascii="Times New Roman" w:hAnsi="Times New Roman" w:cs="Times New Roman"/>
                <w:color w:val="auto"/>
                <w:sz w:val="24"/>
                <w:szCs w:val="24"/>
                <w:lang w:val="en-US" w:eastAsia="zh-CN"/>
              </w:rPr>
              <w:t>。</w:t>
            </w:r>
          </w:p>
          <w:p w14:paraId="162768E5">
            <w:pPr>
              <w:spacing w:line="360" w:lineRule="auto"/>
              <w:ind w:firstLine="480" w:firstLineChars="200"/>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（3）组装</w:t>
            </w:r>
          </w:p>
          <w:p w14:paraId="26657AE0">
            <w:pPr>
              <w:spacing w:line="360" w:lineRule="auto"/>
              <w:ind w:firstLine="480" w:firstLineChars="200"/>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使用精密视觉裁切机裁切气体扩散层，使用贴合设备</w:t>
            </w:r>
            <w:r>
              <w:rPr>
                <w:rFonts w:hint="default" w:ascii="Times New Roman" w:hAnsi="Times New Roman" w:cs="Times New Roman"/>
                <w:color w:val="auto"/>
                <w:sz w:val="24"/>
                <w:szCs w:val="24"/>
                <w:lang w:val="en-US" w:eastAsia="zh-CN"/>
              </w:rPr>
              <w:t>将裁切好的</w:t>
            </w:r>
            <w:r>
              <w:rPr>
                <w:rFonts w:hint="eastAsia"/>
                <w:color w:val="auto"/>
                <w:sz w:val="24"/>
                <w:szCs w:val="24"/>
                <w:lang w:val="en-US" w:eastAsia="zh-CN"/>
              </w:rPr>
              <w:t>气体扩散层、催化剂涂覆膜、边框按照“边框-气体扩散层-催化剂涂覆膜-气体扩散层-边框”的顺序精确叠放对齐，</w:t>
            </w:r>
            <w:r>
              <w:rPr>
                <w:rFonts w:hint="default" w:ascii="Times New Roman" w:hAnsi="Times New Roman" w:cs="Times New Roman"/>
                <w:color w:val="auto"/>
                <w:sz w:val="24"/>
                <w:szCs w:val="24"/>
                <w:lang w:val="en-US" w:eastAsia="zh-CN"/>
              </w:rPr>
              <w:t>形成三明治结构。将层叠好的组件放入</w:t>
            </w:r>
            <w:r>
              <w:rPr>
                <w:rFonts w:hint="eastAsia" w:ascii="Times New Roman" w:hAnsi="Times New Roman" w:cs="Times New Roman"/>
                <w:color w:val="auto"/>
                <w:sz w:val="24"/>
                <w:szCs w:val="24"/>
                <w:lang w:val="en-US" w:eastAsia="zh-CN"/>
              </w:rPr>
              <w:t>伺服</w:t>
            </w:r>
            <w:r>
              <w:rPr>
                <w:rFonts w:hint="default" w:ascii="Times New Roman" w:hAnsi="Times New Roman" w:cs="Times New Roman"/>
                <w:color w:val="auto"/>
                <w:sz w:val="24"/>
                <w:szCs w:val="24"/>
                <w:lang w:val="en-US" w:eastAsia="zh-CN"/>
              </w:rPr>
              <w:t>热压机，</w:t>
            </w:r>
            <w:r>
              <w:rPr>
                <w:rFonts w:hint="eastAsia" w:ascii="Times New Roman" w:hAnsi="Times New Roman" w:cs="Times New Roman"/>
                <w:color w:val="auto"/>
                <w:sz w:val="24"/>
                <w:szCs w:val="24"/>
                <w:lang w:val="en-US" w:eastAsia="zh-CN"/>
              </w:rPr>
              <w:t>100</w:t>
            </w:r>
            <w:r>
              <w:rPr>
                <w:rFonts w:hint="default" w:ascii="Times New Roman" w:hAnsi="Times New Roman" w:cs="Times New Roman"/>
                <w:color w:val="auto"/>
                <w:sz w:val="24"/>
                <w:szCs w:val="24"/>
                <w:lang w:val="en-US" w:eastAsia="zh-CN"/>
              </w:rPr>
              <w:t>℃压合</w:t>
            </w:r>
            <w:r>
              <w:rPr>
                <w:rFonts w:hint="eastAsia"/>
                <w:color w:val="auto"/>
                <w:sz w:val="24"/>
                <w:szCs w:val="24"/>
                <w:lang w:val="en-US" w:eastAsia="zh-CN"/>
              </w:rPr>
              <w:t>10-20s</w:t>
            </w:r>
            <w:r>
              <w:rPr>
                <w:rFonts w:hint="default" w:ascii="Times New Roman" w:hAnsi="Times New Roman" w:cs="Times New Roman"/>
                <w:color w:val="auto"/>
                <w:sz w:val="24"/>
                <w:szCs w:val="24"/>
                <w:lang w:val="en-US" w:eastAsia="zh-CN"/>
              </w:rPr>
              <w:t>。在压力下或保压降温至安全温度后卸压</w:t>
            </w:r>
            <w:r>
              <w:rPr>
                <w:rFonts w:hint="eastAsia" w:ascii="Times New Roman" w:hAnsi="Times New Roman" w:cs="Times New Roman"/>
                <w:color w:val="auto"/>
                <w:sz w:val="24"/>
                <w:szCs w:val="24"/>
                <w:lang w:val="en-US" w:eastAsia="zh-CN"/>
              </w:rPr>
              <w:t>，组装后的成品即为膜电极</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此过程会产生噪声、废边角料。</w:t>
            </w:r>
          </w:p>
          <w:p w14:paraId="6836343C">
            <w:pPr>
              <w:numPr>
                <w:ilvl w:val="0"/>
                <w:numId w:val="0"/>
              </w:numPr>
              <w:spacing w:line="360" w:lineRule="auto"/>
              <w:ind w:firstLine="480" w:firstLineChars="200"/>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lang w:val="en-US" w:eastAsia="zh-CN"/>
              </w:rPr>
              <w:t>后处理与检测</w:t>
            </w:r>
          </w:p>
          <w:p w14:paraId="720EB36E">
            <w:pPr>
              <w:pStyle w:val="58"/>
              <w:numPr>
                <w:ilvl w:val="0"/>
                <w:numId w:val="0"/>
              </w:numPr>
              <w:autoSpaceDE w:val="0"/>
              <w:autoSpaceDN w:val="0"/>
              <w:adjustRightInd w:val="0"/>
              <w:spacing w:line="360" w:lineRule="auto"/>
              <w:ind w:firstLine="480" w:firstLineChars="200"/>
              <w:jc w:val="both"/>
              <w:rPr>
                <w:color w:val="auto"/>
              </w:rPr>
            </w:pPr>
            <w:r>
              <w:rPr>
                <w:rFonts w:hint="default" w:ascii="Times New Roman" w:hAnsi="Times New Roman" w:cs="Times New Roman"/>
                <w:color w:val="auto"/>
                <w:sz w:val="24"/>
                <w:szCs w:val="24"/>
                <w:lang w:val="en-US" w:eastAsia="zh-CN"/>
              </w:rPr>
              <w:t>将层压好的大片</w:t>
            </w:r>
            <w:r>
              <w:rPr>
                <w:rFonts w:hint="eastAsia" w:ascii="Times New Roman" w:hAnsi="Times New Roman" w:cs="Times New Roman"/>
                <w:color w:val="auto"/>
                <w:sz w:val="24"/>
                <w:szCs w:val="24"/>
                <w:lang w:val="en-US" w:eastAsia="zh-CN"/>
              </w:rPr>
              <w:t>膜电极</w:t>
            </w:r>
            <w:r>
              <w:rPr>
                <w:rFonts w:hint="default" w:ascii="Times New Roman" w:hAnsi="Times New Roman" w:cs="Times New Roman"/>
                <w:color w:val="auto"/>
                <w:sz w:val="24"/>
                <w:szCs w:val="24"/>
                <w:lang w:val="en-US" w:eastAsia="zh-CN"/>
              </w:rPr>
              <w:t>，通过伺服平板模切机裁切成最终所需的单体电池尺寸</w:t>
            </w:r>
            <w:r>
              <w:rPr>
                <w:rFonts w:hint="eastAsia" w:ascii="Times New Roman" w:hAnsi="Times New Roman" w:cs="Times New Roman"/>
                <w:color w:val="auto"/>
                <w:sz w:val="24"/>
                <w:szCs w:val="24"/>
                <w:lang w:val="en-US" w:eastAsia="zh-CN"/>
              </w:rPr>
              <w:t>。对其进行外观检查、尺寸测量等最终检测后</w:t>
            </w:r>
            <w:r>
              <w:rPr>
                <w:rFonts w:hint="default" w:ascii="Times New Roman" w:hAnsi="Times New Roman" w:cs="Times New Roman"/>
                <w:color w:val="auto"/>
                <w:sz w:val="24"/>
                <w:szCs w:val="24"/>
                <w:lang w:val="en-US" w:eastAsia="zh-CN"/>
              </w:rPr>
              <w:t>，对合格</w:t>
            </w:r>
            <w:r>
              <w:rPr>
                <w:rFonts w:hint="eastAsia" w:ascii="Times New Roman" w:hAnsi="Times New Roman" w:cs="Times New Roman"/>
                <w:color w:val="auto"/>
                <w:sz w:val="24"/>
                <w:szCs w:val="24"/>
                <w:lang w:val="en-US" w:eastAsia="zh-CN"/>
              </w:rPr>
              <w:t>膜电极</w:t>
            </w:r>
            <w:r>
              <w:rPr>
                <w:rFonts w:hint="default" w:ascii="Times New Roman" w:hAnsi="Times New Roman" w:cs="Times New Roman"/>
                <w:color w:val="auto"/>
                <w:sz w:val="24"/>
                <w:szCs w:val="24"/>
                <w:lang w:val="en-US" w:eastAsia="zh-CN"/>
              </w:rPr>
              <w:t>进行标识，记录生产批次、时间、参数等信息，实现产品追溯</w:t>
            </w:r>
            <w:r>
              <w:rPr>
                <w:rFonts w:hint="default" w:ascii="Times New Roman" w:hAnsi="Times New Roman" w:eastAsia="宋体" w:cs="Times New Roman"/>
                <w:b w:val="0"/>
                <w:bCs w:val="0"/>
                <w:color w:val="auto"/>
                <w:sz w:val="24"/>
                <w:szCs w:val="24"/>
                <w:lang w:val="en-US" w:eastAsia="zh-CN" w:bidi="ar-SA"/>
              </w:rPr>
              <w:t>。</w:t>
            </w:r>
            <w:r>
              <w:rPr>
                <w:rFonts w:hint="eastAsia" w:ascii="Times New Roman" w:hAnsi="Times New Roman" w:cs="Times New Roman"/>
                <w:b w:val="0"/>
                <w:bCs w:val="0"/>
                <w:color w:val="auto"/>
                <w:sz w:val="24"/>
                <w:szCs w:val="24"/>
                <w:lang w:val="en-US" w:eastAsia="zh-CN" w:bidi="ar-SA"/>
              </w:rPr>
              <w:t>此过程会产生噪声、废边角料、废包装材料。</w:t>
            </w:r>
          </w:p>
          <w:p w14:paraId="4001CF22">
            <w:pPr>
              <w:numPr>
                <w:ilvl w:val="0"/>
                <w:numId w:val="5"/>
              </w:numPr>
              <w:adjustRightInd w:val="0"/>
              <w:snapToGrid w:val="0"/>
              <w:spacing w:line="360" w:lineRule="auto"/>
              <w:jc w:val="both"/>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氢气泄漏检测胶带</w:t>
            </w:r>
            <w:r>
              <w:rPr>
                <w:rFonts w:hint="eastAsia" w:ascii="Times New Roman" w:hAnsi="Times New Roman" w:eastAsia="宋体" w:cs="Times New Roman"/>
                <w:b/>
                <w:bCs w:val="0"/>
                <w:color w:val="auto"/>
                <w:sz w:val="24"/>
                <w:szCs w:val="24"/>
                <w:lang w:val="en-US" w:eastAsia="zh-CN"/>
              </w:rPr>
              <w:t>生产</w:t>
            </w:r>
            <w:r>
              <w:rPr>
                <w:rFonts w:hint="default" w:ascii="Times New Roman" w:hAnsi="Times New Roman" w:eastAsia="宋体" w:cs="Times New Roman"/>
                <w:b/>
                <w:bCs w:val="0"/>
                <w:color w:val="auto"/>
                <w:sz w:val="24"/>
                <w:szCs w:val="24"/>
                <w:lang w:val="en-US" w:eastAsia="zh-CN"/>
              </w:rPr>
              <w:t>工艺流程及产污环节</w:t>
            </w:r>
          </w:p>
          <w:p w14:paraId="4D0C5CC4">
            <w:pPr>
              <w:numPr>
                <w:ilvl w:val="0"/>
                <w:numId w:val="0"/>
              </w:numPr>
              <w:adjustRightInd w:val="0"/>
              <w:snapToGrid w:val="0"/>
              <w:spacing w:line="360" w:lineRule="auto"/>
              <w:jc w:val="center"/>
              <w:rPr>
                <w:rFonts w:hint="eastAsia" w:ascii="Times New Roman" w:hAnsi="Times New Roman" w:eastAsia="宋体" w:cs="Times New Roman"/>
                <w:color w:val="auto"/>
                <w:sz w:val="21"/>
                <w:lang w:eastAsia="zh-CN"/>
              </w:rPr>
            </w:pPr>
            <w:r>
              <w:rPr>
                <w:rFonts w:hint="default" w:ascii="Times New Roman" w:hAnsi="Times New Roman" w:cs="Times New Roman"/>
                <w:b w:val="0"/>
                <w:bCs w:val="0"/>
                <w:color w:val="auto"/>
                <w:lang w:val="en-US" w:eastAsia="zh-CN"/>
              </w:rPr>
              <w:drawing>
                <wp:inline distT="0" distB="0" distL="114300" distR="114300">
                  <wp:extent cx="4887595" cy="2107565"/>
                  <wp:effectExtent l="0" t="0" r="8255" b="6985"/>
                  <wp:docPr id="5" name="F360BE8B-6686-4F3D-AEAF-501FE73E4058-3" descr="C:/Users/Lenovo/AppData/Local/Temp/绘图1(23).png绘图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360BE8B-6686-4F3D-AEAF-501FE73E4058-3" descr="C:/Users/Lenovo/AppData/Local/Temp/绘图1(23).png绘图1(23)"/>
                          <pic:cNvPicPr>
                            <a:picLocks noChangeAspect="1"/>
                          </pic:cNvPicPr>
                        </pic:nvPicPr>
                        <pic:blipFill>
                          <a:blip r:embed="rId13"/>
                          <a:stretch>
                            <a:fillRect/>
                          </a:stretch>
                        </pic:blipFill>
                        <pic:spPr>
                          <a:xfrm>
                            <a:off x="0" y="0"/>
                            <a:ext cx="4887595" cy="2107565"/>
                          </a:xfrm>
                          <a:prstGeom prst="rect">
                            <a:avLst/>
                          </a:prstGeom>
                          <a:noFill/>
                          <a:ln>
                            <a:noFill/>
                          </a:ln>
                        </pic:spPr>
                      </pic:pic>
                    </a:graphicData>
                  </a:graphic>
                </wp:inline>
              </w:drawing>
            </w:r>
          </w:p>
          <w:p w14:paraId="302E722A">
            <w:pPr>
              <w:numPr>
                <w:ilvl w:val="0"/>
                <w:numId w:val="0"/>
              </w:numPr>
              <w:adjustRightInd w:val="0"/>
              <w:snapToGrid w:val="0"/>
              <w:spacing w:line="360" w:lineRule="auto"/>
              <w:jc w:val="center"/>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图2-</w:t>
            </w:r>
            <w:r>
              <w:rPr>
                <w:rFonts w:hint="eastAsia" w:ascii="Times New Roman" w:hAnsi="Times New Roman" w:cs="Times New Roman"/>
                <w:b/>
                <w:bCs/>
                <w:color w:val="auto"/>
                <w:sz w:val="24"/>
                <w:szCs w:val="24"/>
                <w:lang w:val="en-US" w:eastAsia="zh-CN"/>
              </w:rPr>
              <w:t xml:space="preserve">4  </w:t>
            </w:r>
            <w:r>
              <w:rPr>
                <w:rFonts w:hint="default" w:ascii="Times New Roman" w:hAnsi="Times New Roman" w:cs="Times New Roman"/>
                <w:b/>
                <w:bCs/>
                <w:color w:val="auto"/>
                <w:sz w:val="24"/>
                <w:szCs w:val="24"/>
                <w:lang w:val="en-US" w:eastAsia="zh-CN"/>
              </w:rPr>
              <w:t>氢气泄漏检测胶带生产工艺流程及产污环节</w:t>
            </w:r>
          </w:p>
          <w:p w14:paraId="3BE4A573">
            <w:pPr>
              <w:jc w:val="center"/>
              <w:rPr>
                <w:color w:val="auto"/>
              </w:rPr>
            </w:pPr>
            <w:r>
              <w:rPr>
                <w:color w:val="auto"/>
              </w:rPr>
              <w:drawing>
                <wp:inline distT="0" distB="0" distL="114300" distR="114300">
                  <wp:extent cx="4495800" cy="866775"/>
                  <wp:effectExtent l="0" t="0" r="0" b="952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4"/>
                          <a:stretch>
                            <a:fillRect/>
                          </a:stretch>
                        </pic:blipFill>
                        <pic:spPr>
                          <a:xfrm>
                            <a:off x="0" y="0"/>
                            <a:ext cx="4495800" cy="866775"/>
                          </a:xfrm>
                          <a:prstGeom prst="rect">
                            <a:avLst/>
                          </a:prstGeom>
                          <a:noFill/>
                          <a:ln>
                            <a:noFill/>
                          </a:ln>
                        </pic:spPr>
                      </pic:pic>
                    </a:graphicData>
                  </a:graphic>
                </wp:inline>
              </w:drawing>
            </w:r>
          </w:p>
          <w:p w14:paraId="406B4AB2">
            <w:pPr>
              <w:pStyle w:val="5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right="0" w:rightChars="0"/>
              <w:jc w:val="center"/>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图2-</w:t>
            </w:r>
            <w:r>
              <w:rPr>
                <w:rFonts w:hint="eastAsia" w:ascii="Times New Roman" w:hAnsi="Times New Roman" w:cs="Times New Roman"/>
                <w:b/>
                <w:bCs/>
                <w:color w:val="auto"/>
                <w:sz w:val="24"/>
                <w:szCs w:val="24"/>
                <w:lang w:val="en-US" w:eastAsia="zh-CN"/>
              </w:rPr>
              <w:t xml:space="preserve">5  </w:t>
            </w:r>
            <w:r>
              <w:rPr>
                <w:rFonts w:hint="default" w:ascii="Times New Roman" w:hAnsi="Times New Roman" w:cs="Times New Roman"/>
                <w:b/>
                <w:bCs/>
                <w:color w:val="auto"/>
                <w:sz w:val="24"/>
                <w:szCs w:val="24"/>
                <w:lang w:val="en-US" w:eastAsia="zh-CN"/>
              </w:rPr>
              <w:t>氢气泄漏检测胶带</w:t>
            </w:r>
            <w:r>
              <w:rPr>
                <w:rFonts w:hint="eastAsia" w:ascii="Times New Roman" w:hAnsi="Times New Roman" w:cs="Times New Roman"/>
                <w:b/>
                <w:bCs/>
                <w:color w:val="auto"/>
                <w:sz w:val="24"/>
                <w:szCs w:val="24"/>
                <w:lang w:val="en-US" w:eastAsia="zh-CN"/>
              </w:rPr>
              <w:t>结构示意图</w:t>
            </w:r>
          </w:p>
          <w:p w14:paraId="64ED3C79">
            <w:pPr>
              <w:numPr>
                <w:ilvl w:val="0"/>
                <w:numId w:val="0"/>
              </w:numPr>
              <w:adjustRightInd w:val="0"/>
              <w:snapToGrid w:val="0"/>
              <w:spacing w:line="360" w:lineRule="auto"/>
              <w:ind w:firstLine="482" w:firstLineChars="200"/>
              <w:jc w:val="both"/>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工艺流程简述：</w:t>
            </w:r>
          </w:p>
          <w:p w14:paraId="1F9E3C71">
            <w:pPr>
              <w:pStyle w:val="5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right="0" w:rightChars="0" w:firstLine="480" w:firstLineChars="200"/>
              <w:textAlignment w:val="auto"/>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氢气泄漏检测胶带</w:t>
            </w:r>
            <w:r>
              <w:rPr>
                <w:rFonts w:hint="eastAsia"/>
                <w:color w:val="auto"/>
                <w:lang w:val="en-US" w:eastAsia="zh-CN"/>
              </w:rPr>
              <w:t>可在加氢站管道与接头处、储氢罐体与阀门区域、氢燃料运输车辆接口、科研实验平台与氢能试验台、燃料电池系统密封接口等地方进行应用。使用氢气泄漏检测胶带后，若存在氢气泄漏现象，响应</w:t>
            </w:r>
            <w:r>
              <w:rPr>
                <w:rFonts w:hint="default" w:ascii="Times New Roman" w:hAnsi="Times New Roman" w:cs="Times New Roman"/>
                <w:color w:val="auto"/>
                <w:lang w:val="en-US" w:eastAsia="zh-CN"/>
              </w:rPr>
              <w:t>时间</w:t>
            </w:r>
            <w:r>
              <w:rPr>
                <w:rFonts w:hint="eastAsia" w:ascii="Times New Roman" w:hAnsi="Times New Roman" w:cs="Times New Roman"/>
                <w:color w:val="auto"/>
                <w:lang w:val="en-US" w:eastAsia="zh-CN"/>
              </w:rPr>
              <w:t>为</w:t>
            </w:r>
            <w:r>
              <w:rPr>
                <w:rFonts w:hint="default" w:ascii="Times New Roman" w:hAnsi="Times New Roman" w:cs="Times New Roman"/>
                <w:color w:val="auto"/>
                <w:lang w:val="en-US" w:eastAsia="zh-CN"/>
              </w:rPr>
              <w:t>3秒，5秒内</w:t>
            </w:r>
            <w:r>
              <w:rPr>
                <w:rFonts w:hint="eastAsia" w:ascii="Times New Roman" w:hAnsi="Times New Roman" w:cs="Times New Roman"/>
                <w:color w:val="auto"/>
                <w:lang w:val="en-US" w:eastAsia="zh-CN"/>
              </w:rPr>
              <w:t>胶带</w:t>
            </w:r>
            <w:r>
              <w:rPr>
                <w:rFonts w:hint="eastAsia"/>
                <w:color w:val="auto"/>
                <w:lang w:val="en-US" w:eastAsia="zh-CN"/>
              </w:rPr>
              <w:t>完成完全变色（从灰色到蓝黑色），其原理是氢气分子分解为活泼的氢原子，多价态过渡金属氧化物被部分还原，吸收波长变色，颜色改变即发生泄漏。其</w:t>
            </w:r>
            <w:r>
              <w:rPr>
                <w:rFonts w:hint="default" w:ascii="Times New Roman" w:hAnsi="Times New Roman" w:cs="Times New Roman"/>
                <w:b w:val="0"/>
                <w:bCs w:val="0"/>
                <w:color w:val="auto"/>
                <w:lang w:val="en-US" w:eastAsia="zh-CN"/>
              </w:rPr>
              <w:t>工艺流程涉及多个步骤，主要包括</w:t>
            </w:r>
            <w:r>
              <w:rPr>
                <w:rFonts w:hint="eastAsia" w:ascii="Times New Roman" w:cs="Times New Roman"/>
                <w:b w:val="0"/>
                <w:bCs w:val="0"/>
                <w:color w:val="auto"/>
                <w:lang w:val="en-US" w:eastAsia="zh-CN"/>
              </w:rPr>
              <w:t>变色材料制备、敏感层制备</w:t>
            </w:r>
            <w:r>
              <w:rPr>
                <w:rFonts w:hint="default" w:ascii="Times New Roman" w:hAnsi="Times New Roman" w:cs="Times New Roman"/>
                <w:b w:val="0"/>
                <w:bCs w:val="0"/>
                <w:color w:val="auto"/>
                <w:lang w:val="en-US" w:eastAsia="zh-CN"/>
              </w:rPr>
              <w:t>、</w:t>
            </w:r>
            <w:r>
              <w:rPr>
                <w:rFonts w:hint="eastAsia" w:ascii="Times New Roman" w:cs="Times New Roman"/>
                <w:b w:val="0"/>
                <w:bCs w:val="0"/>
                <w:color w:val="auto"/>
                <w:lang w:val="en-US" w:eastAsia="zh-CN"/>
              </w:rPr>
              <w:t>胶带</w:t>
            </w:r>
            <w:r>
              <w:rPr>
                <w:rFonts w:hint="default" w:ascii="Times New Roman" w:hAnsi="Times New Roman" w:cs="Times New Roman"/>
                <w:b w:val="0"/>
                <w:bCs w:val="0"/>
                <w:color w:val="auto"/>
                <w:lang w:val="en-US" w:eastAsia="zh-CN"/>
              </w:rPr>
              <w:t>组装、测试</w:t>
            </w:r>
            <w:r>
              <w:rPr>
                <w:rFonts w:hint="eastAsia" w:ascii="Times New Roman" w:cs="Times New Roman"/>
                <w:b w:val="0"/>
                <w:bCs w:val="0"/>
                <w:color w:val="auto"/>
                <w:lang w:val="en-US" w:eastAsia="zh-CN"/>
              </w:rPr>
              <w:t>与分切包装</w:t>
            </w:r>
            <w:r>
              <w:rPr>
                <w:rFonts w:hint="default" w:ascii="Times New Roman" w:hAnsi="Times New Roman" w:cs="Times New Roman"/>
                <w:b w:val="0"/>
                <w:bCs w:val="0"/>
                <w:color w:val="auto"/>
                <w:lang w:val="en-US" w:eastAsia="zh-CN"/>
              </w:rPr>
              <w:t>。</w:t>
            </w:r>
          </w:p>
          <w:p w14:paraId="5C7993DC">
            <w:pPr>
              <w:pStyle w:val="58"/>
              <w:keepNext w:val="0"/>
              <w:keepLines w:val="0"/>
              <w:pageBreakBefore w:val="0"/>
              <w:widowControl w:val="0"/>
              <w:numPr>
                <w:ilvl w:val="0"/>
                <w:numId w:val="0"/>
              </w:numPr>
              <w:suppressLineNumbers w:val="0"/>
              <w:shd w:val="clear" w:color="auto" w:fill="auto"/>
              <w:kinsoku/>
              <w:wordWrap/>
              <w:overflowPunct/>
              <w:topLinePunct w:val="0"/>
              <w:autoSpaceDE w:val="0"/>
              <w:autoSpaceDN w:val="0"/>
              <w:bidi w:val="0"/>
              <w:adjustRightInd w:val="0"/>
              <w:snapToGrid/>
              <w:spacing w:before="0" w:beforeAutospacing="0" w:after="0" w:afterAutospacing="0" w:line="360" w:lineRule="auto"/>
              <w:ind w:right="0" w:rightChars="0" w:firstLine="480" w:firstLineChars="200"/>
              <w:textAlignment w:val="auto"/>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（1）变色材料</w:t>
            </w:r>
            <w:r>
              <w:rPr>
                <w:rFonts w:hint="default" w:ascii="Times New Roman" w:hAnsi="Times New Roman" w:eastAsia="宋体" w:cs="Times New Roman"/>
                <w:b w:val="0"/>
                <w:bCs w:val="0"/>
                <w:color w:val="auto"/>
                <w:lang w:val="en-US" w:eastAsia="zh-CN"/>
              </w:rPr>
              <w:t>制备</w:t>
            </w:r>
          </w:p>
          <w:p w14:paraId="290D4F15">
            <w:pPr>
              <w:pStyle w:val="58"/>
              <w:keepNext w:val="0"/>
              <w:keepLines w:val="0"/>
              <w:pageBreakBefore w:val="0"/>
              <w:widowControl w:val="0"/>
              <w:numPr>
                <w:ilvl w:val="0"/>
                <w:numId w:val="0"/>
              </w:numPr>
              <w:suppressLineNumbers w:val="0"/>
              <w:shd w:val="clear" w:color="auto" w:fill="auto"/>
              <w:kinsoku/>
              <w:wordWrap/>
              <w:overflowPunct/>
              <w:topLinePunct w:val="0"/>
              <w:autoSpaceDE w:val="0"/>
              <w:autoSpaceDN w:val="0"/>
              <w:bidi w:val="0"/>
              <w:adjustRightInd w:val="0"/>
              <w:snapToGrid/>
              <w:spacing w:before="0" w:beforeAutospacing="0" w:after="0" w:afterAutospacing="0" w:line="360" w:lineRule="auto"/>
              <w:ind w:right="0" w:rightChars="0" w:firstLine="480" w:firstLineChars="200"/>
              <w:jc w:val="both"/>
              <w:textAlignment w:val="auto"/>
              <w:rPr>
                <w:rFonts w:hint="default" w:ascii="Times New Roman" w:hAnsi="Times New Roman" w:eastAsia="宋体" w:cs="Times New Roman"/>
                <w:b w:val="0"/>
                <w:bCs w:val="0"/>
                <w:color w:val="auto"/>
                <w:lang w:val="en-US" w:eastAsia="zh-CN"/>
              </w:rPr>
            </w:pPr>
            <w:r>
              <w:rPr>
                <w:rFonts w:hint="eastAsia" w:ascii="宋体" w:hAnsi="宋体" w:eastAsia="宋体" w:cs="宋体"/>
                <w:b w:val="0"/>
                <w:bCs w:val="0"/>
                <w:color w:val="auto"/>
                <w:lang w:val="en-US" w:eastAsia="zh-CN"/>
              </w:rPr>
              <w:t>①</w:t>
            </w:r>
            <w:r>
              <w:rPr>
                <w:rFonts w:hint="eastAsia" w:ascii="Times New Roman" w:hAnsi="Times New Roman" w:eastAsia="宋体" w:cs="Times New Roman"/>
                <w:b w:val="0"/>
                <w:bCs w:val="0"/>
                <w:color w:val="auto"/>
                <w:lang w:val="en-US" w:eastAsia="zh-CN"/>
              </w:rPr>
              <w:t>制备氧化钼溶液</w:t>
            </w:r>
          </w:p>
          <w:p w14:paraId="46A9566A">
            <w:pPr>
              <w:pStyle w:val="58"/>
              <w:keepNext w:val="0"/>
              <w:keepLines w:val="0"/>
              <w:pageBreakBefore w:val="0"/>
              <w:widowControl w:val="0"/>
              <w:numPr>
                <w:ilvl w:val="0"/>
                <w:numId w:val="0"/>
              </w:numPr>
              <w:suppressLineNumbers w:val="0"/>
              <w:shd w:val="clear" w:color="auto" w:fill="auto"/>
              <w:kinsoku/>
              <w:wordWrap/>
              <w:overflowPunct/>
              <w:topLinePunct w:val="0"/>
              <w:autoSpaceDE w:val="0"/>
              <w:autoSpaceDN w:val="0"/>
              <w:bidi w:val="0"/>
              <w:adjustRightInd w:val="0"/>
              <w:snapToGrid/>
              <w:spacing w:before="0" w:beforeAutospacing="0" w:after="0" w:afterAutospacing="0" w:line="360" w:lineRule="auto"/>
              <w:ind w:right="0" w:rightChars="0" w:firstLine="480" w:firstLineChars="200"/>
              <w:jc w:val="both"/>
              <w:textAlignment w:val="auto"/>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将购买的成品氧化钼粉末在密闭容器中超声分散于甲醇溶液</w:t>
            </w:r>
            <w:r>
              <w:rPr>
                <w:rFonts w:hint="eastAsia"/>
                <w:color w:val="auto"/>
                <w:lang w:eastAsia="zh-CN"/>
              </w:rPr>
              <w:t>，</w:t>
            </w:r>
            <w:r>
              <w:rPr>
                <w:rFonts w:hint="default" w:ascii="Times New Roman" w:hAnsi="Times New Roman" w:cs="Times New Roman"/>
                <w:color w:val="auto"/>
                <w:lang w:val="en-US" w:eastAsia="zh-CN"/>
              </w:rPr>
              <w:t>二者比例为1:40</w:t>
            </w:r>
            <w:r>
              <w:rPr>
                <w:rFonts w:hint="default" w:ascii="Times New Roman" w:hAnsi="Times New Roman" w:eastAsia="宋体" w:cs="Times New Roman"/>
                <w:b w:val="0"/>
                <w:bCs w:val="0"/>
                <w:color w:val="auto"/>
                <w:lang w:val="en-US" w:eastAsia="zh-CN"/>
              </w:rPr>
              <w:t>，</w:t>
            </w:r>
            <w:r>
              <w:rPr>
                <w:rFonts w:hint="eastAsia" w:ascii="Times New Roman" w:hAnsi="Times New Roman" w:eastAsia="宋体" w:cs="Times New Roman"/>
                <w:b w:val="0"/>
                <w:bCs w:val="0"/>
                <w:color w:val="auto"/>
                <w:lang w:val="en-US" w:eastAsia="zh-CN"/>
              </w:rPr>
              <w:t>制得氧化钼溶液。</w:t>
            </w:r>
          </w:p>
          <w:p w14:paraId="625327F3">
            <w:pPr>
              <w:pStyle w:val="58"/>
              <w:keepNext w:val="0"/>
              <w:keepLines w:val="0"/>
              <w:pageBreakBefore w:val="0"/>
              <w:widowControl w:val="0"/>
              <w:numPr>
                <w:ilvl w:val="0"/>
                <w:numId w:val="0"/>
              </w:numPr>
              <w:suppressLineNumbers w:val="0"/>
              <w:shd w:val="clear" w:color="auto" w:fill="auto"/>
              <w:kinsoku/>
              <w:wordWrap/>
              <w:overflowPunct/>
              <w:topLinePunct w:val="0"/>
              <w:autoSpaceDE w:val="0"/>
              <w:autoSpaceDN w:val="0"/>
              <w:bidi w:val="0"/>
              <w:adjustRightInd w:val="0"/>
              <w:snapToGrid/>
              <w:spacing w:before="0" w:beforeAutospacing="0" w:after="0" w:afterAutospacing="0" w:line="360" w:lineRule="auto"/>
              <w:ind w:right="0" w:rightChars="0" w:firstLine="480" w:firstLineChars="200"/>
              <w:jc w:val="both"/>
              <w:textAlignment w:val="auto"/>
              <w:rPr>
                <w:rFonts w:hint="default" w:ascii="Times New Roman" w:hAnsi="Times New Roman" w:eastAsia="宋体" w:cs="Times New Roman"/>
                <w:b w:val="0"/>
                <w:bCs w:val="0"/>
                <w:color w:val="auto"/>
                <w:lang w:val="en-US" w:eastAsia="zh-CN"/>
              </w:rPr>
            </w:pPr>
            <w:r>
              <w:rPr>
                <w:rFonts w:hint="eastAsia" w:ascii="宋体" w:hAnsi="宋体" w:eastAsia="宋体" w:cs="宋体"/>
                <w:b w:val="0"/>
                <w:bCs w:val="0"/>
                <w:color w:val="auto"/>
                <w:lang w:val="en-US" w:eastAsia="zh-CN"/>
              </w:rPr>
              <w:t>②</w:t>
            </w:r>
            <w:r>
              <w:rPr>
                <w:rFonts w:hint="default" w:ascii="Times New Roman" w:hAnsi="Times New Roman" w:eastAsia="宋体" w:cs="Times New Roman"/>
                <w:b w:val="0"/>
                <w:bCs w:val="0"/>
                <w:color w:val="auto"/>
                <w:lang w:val="en-US" w:eastAsia="zh-CN"/>
              </w:rPr>
              <w:t>制备</w:t>
            </w:r>
            <w:r>
              <w:rPr>
                <w:rFonts w:hint="eastAsia" w:ascii="Times New Roman" w:hAnsi="Times New Roman" w:eastAsia="宋体" w:cs="Times New Roman"/>
                <w:b w:val="0"/>
                <w:bCs w:val="0"/>
                <w:color w:val="auto"/>
                <w:lang w:val="en-US" w:eastAsia="zh-CN"/>
              </w:rPr>
              <w:t>钯盐</w:t>
            </w:r>
            <w:r>
              <w:rPr>
                <w:rFonts w:hint="default" w:ascii="Times New Roman" w:hAnsi="Times New Roman" w:eastAsia="宋体" w:cs="Times New Roman"/>
                <w:b w:val="0"/>
                <w:bCs w:val="0"/>
                <w:color w:val="auto"/>
                <w:lang w:val="en-US" w:eastAsia="zh-CN"/>
              </w:rPr>
              <w:t>溶液</w:t>
            </w:r>
          </w:p>
          <w:p w14:paraId="6D1CBD7F">
            <w:pPr>
              <w:pStyle w:val="58"/>
              <w:keepNext w:val="0"/>
              <w:keepLines w:val="0"/>
              <w:pageBreakBefore w:val="0"/>
              <w:widowControl w:val="0"/>
              <w:numPr>
                <w:ilvl w:val="0"/>
                <w:numId w:val="0"/>
              </w:numPr>
              <w:suppressLineNumbers w:val="0"/>
              <w:shd w:val="clear" w:color="auto" w:fill="auto"/>
              <w:kinsoku/>
              <w:wordWrap/>
              <w:overflowPunct/>
              <w:topLinePunct w:val="0"/>
              <w:autoSpaceDE w:val="0"/>
              <w:autoSpaceDN w:val="0"/>
              <w:bidi w:val="0"/>
              <w:adjustRightInd w:val="0"/>
              <w:snapToGrid/>
              <w:spacing w:before="0" w:beforeAutospacing="0" w:after="0" w:afterAutospacing="0" w:line="360" w:lineRule="auto"/>
              <w:ind w:right="0" w:rightChars="0" w:firstLine="480" w:firstLineChars="200"/>
              <w:jc w:val="both"/>
              <w:textAlignment w:val="auto"/>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将</w:t>
            </w:r>
            <w:r>
              <w:rPr>
                <w:rFonts w:hint="eastAsia" w:ascii="Times New Roman" w:hAnsi="Times New Roman" w:eastAsia="宋体" w:cs="Times New Roman"/>
                <w:b w:val="0"/>
                <w:bCs w:val="0"/>
                <w:color w:val="auto"/>
                <w:lang w:val="en-US" w:eastAsia="zh-CN"/>
              </w:rPr>
              <w:t>称量好的</w:t>
            </w:r>
            <w:r>
              <w:rPr>
                <w:rFonts w:hint="default" w:ascii="Times New Roman" w:hAnsi="Times New Roman" w:eastAsia="宋体" w:cs="Times New Roman"/>
                <w:b w:val="0"/>
                <w:bCs w:val="0"/>
                <w:color w:val="auto"/>
                <w:lang w:val="en-US" w:eastAsia="zh-CN"/>
              </w:rPr>
              <w:t>钯盐加入</w:t>
            </w:r>
            <w:r>
              <w:rPr>
                <w:rFonts w:hint="eastAsia" w:ascii="Times New Roman" w:hAnsi="Times New Roman" w:eastAsia="宋体" w:cs="Times New Roman"/>
                <w:b w:val="0"/>
                <w:bCs w:val="0"/>
                <w:color w:val="auto"/>
                <w:lang w:val="en-US" w:eastAsia="zh-CN"/>
              </w:rPr>
              <w:t>烧杯中的</w:t>
            </w:r>
            <w:r>
              <w:rPr>
                <w:rFonts w:hint="default" w:ascii="Times New Roman" w:hAnsi="Times New Roman" w:eastAsia="宋体" w:cs="Times New Roman"/>
                <w:b w:val="0"/>
                <w:bCs w:val="0"/>
                <w:color w:val="auto"/>
                <w:lang w:val="en-US" w:eastAsia="zh-CN"/>
              </w:rPr>
              <w:t>甲醇溶液中</w:t>
            </w:r>
            <w:r>
              <w:rPr>
                <w:rFonts w:hint="eastAsia" w:ascii="Times New Roman" w:hAnsi="Times New Roman" w:eastAsia="宋体" w:cs="Times New Roman"/>
                <w:b w:val="0"/>
                <w:bCs w:val="0"/>
                <w:color w:val="auto"/>
                <w:lang w:val="en-US" w:eastAsia="zh-CN"/>
              </w:rPr>
              <w:t>，使用玻璃棒搅拌使二者</w:t>
            </w:r>
            <w:r>
              <w:rPr>
                <w:rFonts w:hint="default" w:ascii="Times New Roman" w:hAnsi="Times New Roman" w:eastAsia="宋体" w:cs="Times New Roman"/>
                <w:b w:val="0"/>
                <w:bCs w:val="0"/>
                <w:color w:val="auto"/>
                <w:lang w:val="en-US" w:eastAsia="zh-CN"/>
              </w:rPr>
              <w:t>混合均匀</w:t>
            </w:r>
            <w:r>
              <w:rPr>
                <w:rFonts w:hint="eastAsia" w:ascii="Times New Roman" w:hAnsi="Times New Roman" w:eastAsia="宋体" w:cs="Times New Roman"/>
                <w:b w:val="0"/>
                <w:bCs w:val="0"/>
                <w:color w:val="auto"/>
                <w:lang w:val="en-US" w:eastAsia="zh-CN"/>
              </w:rPr>
              <w:t>，制得钯盐溶液，钯盐为固态，此过程无粉尘产生</w:t>
            </w:r>
            <w:r>
              <w:rPr>
                <w:rFonts w:hint="default" w:ascii="Times New Roman" w:hAnsi="Times New Roman" w:eastAsia="宋体" w:cs="Times New Roman"/>
                <w:b w:val="0"/>
                <w:bCs w:val="0"/>
                <w:color w:val="auto"/>
                <w:lang w:val="en-US" w:eastAsia="zh-CN"/>
              </w:rPr>
              <w:t>。</w:t>
            </w:r>
          </w:p>
          <w:p w14:paraId="3C4A93C4">
            <w:pPr>
              <w:pStyle w:val="58"/>
              <w:keepNext w:val="0"/>
              <w:keepLines w:val="0"/>
              <w:pageBreakBefore w:val="0"/>
              <w:widowControl w:val="0"/>
              <w:numPr>
                <w:ilvl w:val="0"/>
                <w:numId w:val="0"/>
              </w:numPr>
              <w:suppressLineNumbers w:val="0"/>
              <w:shd w:val="clear" w:color="auto" w:fill="auto"/>
              <w:kinsoku/>
              <w:wordWrap/>
              <w:overflowPunct/>
              <w:topLinePunct w:val="0"/>
              <w:autoSpaceDE w:val="0"/>
              <w:autoSpaceDN w:val="0"/>
              <w:bidi w:val="0"/>
              <w:adjustRightInd w:val="0"/>
              <w:snapToGrid/>
              <w:spacing w:before="0" w:beforeAutospacing="0" w:after="0" w:afterAutospacing="0" w:line="360" w:lineRule="auto"/>
              <w:ind w:right="0" w:rightChars="0" w:firstLine="480" w:firstLineChars="200"/>
              <w:jc w:val="both"/>
              <w:textAlignment w:val="auto"/>
              <w:rPr>
                <w:rFonts w:hint="default" w:ascii="Times New Roman" w:hAnsi="Times New Roman" w:eastAsia="宋体" w:cs="Times New Roman"/>
                <w:b w:val="0"/>
                <w:bCs w:val="0"/>
                <w:color w:val="auto"/>
                <w:lang w:val="en-US" w:eastAsia="zh-CN"/>
              </w:rPr>
            </w:pPr>
            <w:r>
              <w:rPr>
                <w:rFonts w:hint="eastAsia" w:ascii="宋体" w:hAnsi="宋体" w:eastAsia="宋体" w:cs="宋体"/>
                <w:b w:val="0"/>
                <w:bCs w:val="0"/>
                <w:color w:val="auto"/>
                <w:lang w:val="en-US" w:eastAsia="zh-CN"/>
              </w:rPr>
              <w:t>③</w:t>
            </w:r>
            <w:r>
              <w:rPr>
                <w:rFonts w:hint="default" w:ascii="Times New Roman" w:hAnsi="Times New Roman" w:eastAsia="宋体" w:cs="Times New Roman"/>
                <w:b w:val="0"/>
                <w:bCs w:val="0"/>
                <w:color w:val="auto"/>
                <w:lang w:val="en-US" w:eastAsia="zh-CN"/>
              </w:rPr>
              <w:t>制备混合溶液</w:t>
            </w:r>
          </w:p>
          <w:p w14:paraId="37299826">
            <w:pPr>
              <w:pStyle w:val="58"/>
              <w:keepNext w:val="0"/>
              <w:keepLines w:val="0"/>
              <w:pageBreakBefore w:val="0"/>
              <w:widowControl w:val="0"/>
              <w:numPr>
                <w:ilvl w:val="0"/>
                <w:numId w:val="0"/>
              </w:numPr>
              <w:suppressLineNumbers w:val="0"/>
              <w:shd w:val="clear" w:color="auto" w:fill="auto"/>
              <w:kinsoku/>
              <w:wordWrap/>
              <w:overflowPunct/>
              <w:topLinePunct w:val="0"/>
              <w:autoSpaceDE w:val="0"/>
              <w:autoSpaceDN w:val="0"/>
              <w:bidi w:val="0"/>
              <w:adjustRightInd w:val="0"/>
              <w:snapToGrid/>
              <w:spacing w:before="0" w:beforeAutospacing="0" w:after="0" w:afterAutospacing="0" w:line="360" w:lineRule="auto"/>
              <w:ind w:right="0" w:rightChars="0" w:firstLine="480" w:firstLineChars="200"/>
              <w:jc w:val="both"/>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将氧化钼溶液与钯盐</w:t>
            </w:r>
            <w:r>
              <w:rPr>
                <w:rFonts w:hint="default" w:ascii="Times New Roman" w:hAnsi="Times New Roman" w:eastAsia="宋体" w:cs="Times New Roman"/>
                <w:b w:val="0"/>
                <w:bCs w:val="0"/>
                <w:color w:val="auto"/>
                <w:lang w:val="en-US" w:eastAsia="zh-CN"/>
              </w:rPr>
              <w:t>溶液</w:t>
            </w:r>
            <w:r>
              <w:rPr>
                <w:rFonts w:hint="eastAsia" w:ascii="Times New Roman" w:hAnsi="Times New Roman" w:eastAsia="宋体" w:cs="Times New Roman"/>
                <w:b w:val="0"/>
                <w:bCs w:val="0"/>
                <w:color w:val="auto"/>
                <w:lang w:val="en-US" w:eastAsia="zh-CN"/>
              </w:rPr>
              <w:t>倒入同一烧杯后，利用吸管在烧杯中继续加入甲酸，使用玻璃棒搅拌使三者混合均匀。</w:t>
            </w:r>
          </w:p>
          <w:p w14:paraId="73652C08">
            <w:pPr>
              <w:pStyle w:val="58"/>
              <w:keepNext w:val="0"/>
              <w:keepLines w:val="0"/>
              <w:pageBreakBefore w:val="0"/>
              <w:widowControl w:val="0"/>
              <w:numPr>
                <w:ilvl w:val="0"/>
                <w:numId w:val="0"/>
              </w:numPr>
              <w:suppressLineNumbers w:val="0"/>
              <w:shd w:val="clear" w:color="auto" w:fill="auto"/>
              <w:kinsoku/>
              <w:wordWrap/>
              <w:overflowPunct/>
              <w:topLinePunct w:val="0"/>
              <w:autoSpaceDE w:val="0"/>
              <w:autoSpaceDN w:val="0"/>
              <w:bidi w:val="0"/>
              <w:adjustRightInd w:val="0"/>
              <w:snapToGrid/>
              <w:spacing w:before="0" w:beforeAutospacing="0" w:after="0" w:afterAutospacing="0" w:line="360" w:lineRule="auto"/>
              <w:ind w:right="0" w:rightChars="0" w:firstLine="480" w:firstLineChars="200"/>
              <w:textAlignment w:val="auto"/>
              <w:rPr>
                <w:rFonts w:hint="default" w:ascii="Times New Roman" w:hAnsi="Times New Roman" w:eastAsia="宋体" w:cs="Times New Roman"/>
                <w:b w:val="0"/>
                <w:bCs w:val="0"/>
                <w:color w:val="auto"/>
                <w:lang w:val="en-US" w:eastAsia="zh-CN"/>
              </w:rPr>
            </w:pPr>
            <w:r>
              <w:rPr>
                <w:rFonts w:hint="eastAsia" w:ascii="宋体" w:hAnsi="宋体" w:eastAsia="宋体" w:cs="宋体"/>
                <w:b w:val="0"/>
                <w:bCs w:val="0"/>
                <w:color w:val="auto"/>
                <w:lang w:val="en-US" w:eastAsia="zh-CN"/>
              </w:rPr>
              <w:t>④将混合溶液离心后得到的沉淀物使用超纯水进行清洗，清洗掉残留的甲醇，</w:t>
            </w:r>
            <w:r>
              <w:rPr>
                <w:rFonts w:hint="eastAsia" w:ascii="Times New Roman" w:hAnsi="Times New Roman" w:eastAsia="宋体" w:cs="Times New Roman"/>
                <w:b w:val="0"/>
                <w:bCs w:val="0"/>
                <w:color w:val="auto"/>
                <w:lang w:val="en-US" w:eastAsia="zh-CN"/>
              </w:rPr>
              <w:t>得到MoO</w:t>
            </w:r>
            <w:r>
              <w:rPr>
                <w:rFonts w:hint="eastAsia" w:ascii="Times New Roman" w:hAnsi="Times New Roman" w:eastAsia="宋体" w:cs="Times New Roman"/>
                <w:b w:val="0"/>
                <w:bCs w:val="0"/>
                <w:color w:val="auto"/>
                <w:vertAlign w:val="subscript"/>
                <w:lang w:val="en-US" w:eastAsia="zh-CN"/>
              </w:rPr>
              <w:t>3</w:t>
            </w:r>
            <w:r>
              <w:rPr>
                <w:rFonts w:hint="eastAsia" w:ascii="Times New Roman" w:hAnsi="Times New Roman" w:eastAsia="宋体" w:cs="Times New Roman"/>
                <w:b w:val="0"/>
                <w:bCs w:val="0"/>
                <w:color w:val="auto"/>
                <w:lang w:val="en-US" w:eastAsia="zh-CN"/>
              </w:rPr>
              <w:t>-Pa。</w:t>
            </w:r>
          </w:p>
          <w:p w14:paraId="47CF42E7">
            <w:pPr>
              <w:pStyle w:val="58"/>
              <w:keepNext w:val="0"/>
              <w:keepLines w:val="0"/>
              <w:pageBreakBefore w:val="0"/>
              <w:widowControl w:val="0"/>
              <w:numPr>
                <w:ilvl w:val="0"/>
                <w:numId w:val="0"/>
              </w:numPr>
              <w:suppressLineNumbers w:val="0"/>
              <w:shd w:val="clear" w:color="auto" w:fill="auto"/>
              <w:kinsoku/>
              <w:wordWrap/>
              <w:overflowPunct/>
              <w:topLinePunct w:val="0"/>
              <w:autoSpaceDE w:val="0"/>
              <w:autoSpaceDN w:val="0"/>
              <w:bidi w:val="0"/>
              <w:adjustRightInd w:val="0"/>
              <w:snapToGrid/>
              <w:spacing w:before="0" w:beforeAutospacing="0" w:after="0" w:afterAutospacing="0" w:line="360" w:lineRule="auto"/>
              <w:ind w:right="0" w:rightChars="0" w:firstLine="480" w:firstLineChars="200"/>
              <w:textAlignment w:val="auto"/>
              <w:rPr>
                <w:rFonts w:hint="default" w:ascii="Times New Roman" w:hAnsi="Times New Roman" w:eastAsia="宋体" w:cs="Times New Roman"/>
                <w:b w:val="0"/>
                <w:bCs w:val="0"/>
                <w:color w:val="auto"/>
                <w:lang w:val="en-US" w:eastAsia="zh-CN"/>
              </w:rPr>
            </w:pPr>
            <w:r>
              <w:rPr>
                <w:rFonts w:hint="eastAsia" w:ascii="宋体" w:hAnsi="宋体" w:eastAsia="宋体" w:cs="宋体"/>
                <w:b w:val="0"/>
                <w:bCs w:val="0"/>
                <w:color w:val="auto"/>
                <w:lang w:val="en-US" w:eastAsia="zh-CN"/>
              </w:rPr>
              <w:t>⑤</w:t>
            </w:r>
            <w:r>
              <w:rPr>
                <w:rFonts w:hint="eastAsia" w:ascii="Times New Roman" w:hAnsi="Times New Roman" w:eastAsia="宋体" w:cs="Times New Roman"/>
                <w:b w:val="0"/>
                <w:bCs w:val="0"/>
                <w:color w:val="auto"/>
                <w:lang w:val="en-US" w:eastAsia="zh-CN"/>
              </w:rPr>
              <w:t>将得到的MoO</w:t>
            </w:r>
            <w:r>
              <w:rPr>
                <w:rFonts w:hint="eastAsia" w:ascii="Times New Roman" w:hAnsi="Times New Roman" w:eastAsia="宋体" w:cs="Times New Roman"/>
                <w:b w:val="0"/>
                <w:bCs w:val="0"/>
                <w:color w:val="auto"/>
                <w:vertAlign w:val="subscript"/>
                <w:lang w:val="en-US" w:eastAsia="zh-CN"/>
              </w:rPr>
              <w:t>3</w:t>
            </w:r>
            <w:r>
              <w:rPr>
                <w:rFonts w:hint="eastAsia" w:ascii="Times New Roman" w:hAnsi="Times New Roman" w:eastAsia="宋体" w:cs="Times New Roman"/>
                <w:b w:val="0"/>
                <w:bCs w:val="0"/>
                <w:color w:val="auto"/>
                <w:lang w:val="en-US" w:eastAsia="zh-CN"/>
              </w:rPr>
              <w:t>-Pa取出，加入双氧水，搅拌均匀，离心后使用超纯水进行清洗，清洗掉残留的双氧水，使得MoO</w:t>
            </w:r>
            <w:r>
              <w:rPr>
                <w:rFonts w:hint="eastAsia" w:ascii="Times New Roman" w:hAnsi="Times New Roman" w:eastAsia="宋体" w:cs="Times New Roman"/>
                <w:b w:val="0"/>
                <w:bCs w:val="0"/>
                <w:color w:val="auto"/>
                <w:vertAlign w:val="subscript"/>
                <w:lang w:val="en-US" w:eastAsia="zh-CN"/>
              </w:rPr>
              <w:t>3</w:t>
            </w:r>
            <w:r>
              <w:rPr>
                <w:rFonts w:hint="eastAsia" w:ascii="Times New Roman" w:hAnsi="Times New Roman" w:eastAsia="宋体" w:cs="Times New Roman"/>
                <w:b w:val="0"/>
                <w:bCs w:val="0"/>
                <w:color w:val="auto"/>
                <w:lang w:val="en-US" w:eastAsia="zh-CN"/>
              </w:rPr>
              <w:t>-Pa由深灰色变为浅灰色，由此制得变色材料</w:t>
            </w:r>
            <w:r>
              <w:rPr>
                <w:rFonts w:hint="default" w:ascii="Times New Roman" w:hAnsi="Times New Roman" w:eastAsia="宋体" w:cs="Times New Roman"/>
                <w:b w:val="0"/>
                <w:bCs w:val="0"/>
                <w:color w:val="auto"/>
                <w:lang w:val="en-US" w:eastAsia="zh-CN"/>
              </w:rPr>
              <w:t>。</w:t>
            </w:r>
          </w:p>
          <w:p w14:paraId="4439FCCE">
            <w:pPr>
              <w:pStyle w:val="58"/>
              <w:keepNext w:val="0"/>
              <w:keepLines w:val="0"/>
              <w:pageBreakBefore w:val="0"/>
              <w:widowControl w:val="0"/>
              <w:numPr>
                <w:ilvl w:val="0"/>
                <w:numId w:val="0"/>
              </w:numPr>
              <w:suppressLineNumbers w:val="0"/>
              <w:shd w:val="clear" w:color="auto" w:fill="auto"/>
              <w:kinsoku/>
              <w:wordWrap/>
              <w:overflowPunct/>
              <w:topLinePunct w:val="0"/>
              <w:autoSpaceDE w:val="0"/>
              <w:autoSpaceDN w:val="0"/>
              <w:bidi w:val="0"/>
              <w:adjustRightInd w:val="0"/>
              <w:snapToGrid/>
              <w:spacing w:before="0" w:beforeAutospacing="0" w:after="0" w:afterAutospacing="0" w:line="360" w:lineRule="auto"/>
              <w:ind w:right="0" w:rightChars="0" w:firstLine="480" w:firstLineChars="200"/>
              <w:textAlignment w:val="auto"/>
              <w:rPr>
                <w:rFonts w:hint="default"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由于甲醇</w:t>
            </w:r>
            <w:r>
              <w:rPr>
                <w:rFonts w:hint="eastAsia" w:hAnsi="宋体" w:cs="宋体"/>
                <w:b w:val="0"/>
                <w:bCs w:val="0"/>
                <w:color w:val="auto"/>
                <w:lang w:val="en-US" w:eastAsia="zh-CN"/>
              </w:rPr>
              <w:t>和甲酸</w:t>
            </w:r>
            <w:r>
              <w:rPr>
                <w:rFonts w:hint="eastAsia" w:ascii="宋体" w:hAnsi="宋体" w:eastAsia="宋体" w:cs="宋体"/>
                <w:b w:val="0"/>
                <w:bCs w:val="0"/>
                <w:color w:val="auto"/>
                <w:lang w:val="en-US" w:eastAsia="zh-CN"/>
              </w:rPr>
              <w:t>易挥发，故该过程会产生有机废气，离心和清洗产生的废液</w:t>
            </w:r>
            <w:r>
              <w:rPr>
                <w:rFonts w:hint="eastAsia" w:hAnsi="宋体" w:cs="宋体"/>
                <w:b w:val="0"/>
                <w:bCs w:val="0"/>
                <w:color w:val="auto"/>
                <w:lang w:val="en-US" w:eastAsia="zh-CN"/>
              </w:rPr>
              <w:t>、废试剂瓶</w:t>
            </w:r>
            <w:r>
              <w:rPr>
                <w:rFonts w:hint="eastAsia" w:ascii="宋体" w:hAnsi="宋体" w:eastAsia="宋体" w:cs="宋体"/>
                <w:b w:val="0"/>
                <w:bCs w:val="0"/>
                <w:color w:val="auto"/>
                <w:lang w:val="en-US" w:eastAsia="zh-CN"/>
              </w:rPr>
              <w:t>作为危险废物处置。</w:t>
            </w:r>
          </w:p>
          <w:p w14:paraId="604FCE37">
            <w:pPr>
              <w:pStyle w:val="58"/>
              <w:keepNext w:val="0"/>
              <w:keepLines w:val="0"/>
              <w:pageBreakBefore w:val="0"/>
              <w:widowControl w:val="0"/>
              <w:numPr>
                <w:ilvl w:val="0"/>
                <w:numId w:val="0"/>
              </w:numPr>
              <w:suppressLineNumbers w:val="0"/>
              <w:shd w:val="clear" w:color="auto" w:fill="auto"/>
              <w:kinsoku/>
              <w:wordWrap/>
              <w:overflowPunct/>
              <w:topLinePunct w:val="0"/>
              <w:autoSpaceDE w:val="0"/>
              <w:autoSpaceDN w:val="0"/>
              <w:bidi w:val="0"/>
              <w:adjustRightInd w:val="0"/>
              <w:snapToGrid/>
              <w:spacing w:before="0" w:beforeAutospacing="0" w:after="0" w:afterAutospacing="0" w:line="360" w:lineRule="auto"/>
              <w:ind w:right="0" w:rightChars="0" w:firstLine="480" w:firstLineChars="200"/>
              <w:textAlignment w:val="auto"/>
              <w:rPr>
                <w:rFonts w:hint="default" w:ascii="Times New Roman" w:hAnsi="Times New Roman" w:cs="Times New Roman"/>
                <w:b w:val="0"/>
                <w:bCs w:val="0"/>
                <w:color w:val="auto"/>
                <w:lang w:val="en-US" w:eastAsia="zh-CN"/>
              </w:rPr>
            </w:pPr>
            <w:r>
              <w:rPr>
                <w:rFonts w:hint="eastAsia" w:ascii="Times New Roman" w:cs="Times New Roman"/>
                <w:b w:val="0"/>
                <w:bCs w:val="0"/>
                <w:color w:val="auto"/>
                <w:lang w:val="en-US" w:eastAsia="zh-CN"/>
              </w:rPr>
              <w:t>（2）敏感层制备</w:t>
            </w:r>
          </w:p>
          <w:p w14:paraId="773D4408">
            <w:pPr>
              <w:pStyle w:val="58"/>
              <w:keepNext w:val="0"/>
              <w:keepLines w:val="0"/>
              <w:pageBreakBefore w:val="0"/>
              <w:widowControl w:val="0"/>
              <w:numPr>
                <w:ilvl w:val="0"/>
                <w:numId w:val="0"/>
              </w:numPr>
              <w:suppressLineNumbers w:val="0"/>
              <w:shd w:val="clear" w:color="auto" w:fill="auto"/>
              <w:kinsoku/>
              <w:wordWrap/>
              <w:overflowPunct/>
              <w:topLinePunct w:val="0"/>
              <w:autoSpaceDE w:val="0"/>
              <w:autoSpaceDN w:val="0"/>
              <w:bidi w:val="0"/>
              <w:adjustRightInd w:val="0"/>
              <w:snapToGrid/>
              <w:spacing w:before="0" w:beforeAutospacing="0" w:after="0" w:afterAutospacing="0" w:line="360" w:lineRule="auto"/>
              <w:ind w:right="0" w:rightChars="0" w:firstLine="480" w:firstLineChars="200"/>
              <w:textAlignment w:val="auto"/>
              <w:rPr>
                <w:rFonts w:hint="default" w:ascii="Times New Roman" w:hAnsi="Times New Roman" w:cs="Times New Roman"/>
                <w:b w:val="0"/>
                <w:bCs w:val="0"/>
                <w:color w:val="auto"/>
                <w:lang w:val="en-US" w:eastAsia="zh-CN"/>
              </w:rPr>
            </w:pPr>
            <w:r>
              <w:rPr>
                <w:rFonts w:hint="eastAsia" w:ascii="Times New Roman" w:cs="Times New Roman"/>
                <w:b w:val="0"/>
                <w:bCs w:val="0"/>
                <w:color w:val="auto"/>
                <w:lang w:val="en-US" w:eastAsia="zh-CN"/>
              </w:rPr>
              <w:t>将</w:t>
            </w:r>
            <w:r>
              <w:rPr>
                <w:rFonts w:hint="default" w:ascii="Times New Roman" w:hAnsi="Times New Roman" w:cs="Times New Roman"/>
                <w:b w:val="0"/>
                <w:bCs w:val="0"/>
                <w:color w:val="auto"/>
                <w:lang w:val="en-US" w:eastAsia="zh-CN"/>
              </w:rPr>
              <w:t>变色材料混合超纯水、有机硅压敏胶</w:t>
            </w:r>
            <w:r>
              <w:rPr>
                <w:rFonts w:hint="eastAsia" w:ascii="Times New Roman" w:cs="Times New Roman"/>
                <w:b w:val="0"/>
                <w:bCs w:val="0"/>
                <w:color w:val="auto"/>
                <w:lang w:val="en-US" w:eastAsia="zh-CN"/>
              </w:rPr>
              <w:t>按照1：1：4的比例</w:t>
            </w:r>
            <w:r>
              <w:rPr>
                <w:rFonts w:hint="default" w:ascii="Times New Roman" w:hAnsi="Times New Roman" w:cs="Times New Roman"/>
                <w:b w:val="0"/>
                <w:bCs w:val="0"/>
                <w:color w:val="auto"/>
                <w:lang w:val="en-US" w:eastAsia="zh-CN"/>
              </w:rPr>
              <w:t>超声搅拌均匀</w:t>
            </w:r>
            <w:r>
              <w:rPr>
                <w:rFonts w:hint="eastAsia" w:ascii="Times New Roman" w:cs="Times New Roman"/>
                <w:b w:val="0"/>
                <w:bCs w:val="0"/>
                <w:color w:val="auto"/>
                <w:lang w:val="en-US" w:eastAsia="zh-CN"/>
              </w:rPr>
              <w:t>制成变色胶水</w:t>
            </w:r>
            <w:r>
              <w:rPr>
                <w:rFonts w:hint="default" w:ascii="Times New Roman" w:hAnsi="Times New Roman" w:cs="Times New Roman"/>
                <w:b w:val="0"/>
                <w:bCs w:val="0"/>
                <w:color w:val="auto"/>
                <w:lang w:val="en-US" w:eastAsia="zh-CN"/>
              </w:rPr>
              <w:t>。将</w:t>
            </w:r>
            <w:r>
              <w:rPr>
                <w:rFonts w:hint="eastAsia" w:ascii="Times New Roman" w:cs="Times New Roman"/>
                <w:b w:val="0"/>
                <w:bCs w:val="0"/>
                <w:color w:val="auto"/>
                <w:lang w:val="en-US" w:eastAsia="zh-CN"/>
              </w:rPr>
              <w:t>PET膜</w:t>
            </w:r>
            <w:r>
              <w:rPr>
                <w:rFonts w:hint="default" w:ascii="Times New Roman" w:hAnsi="Times New Roman" w:cs="Times New Roman"/>
                <w:b w:val="0"/>
                <w:bCs w:val="0"/>
                <w:color w:val="auto"/>
                <w:lang w:val="en-US" w:eastAsia="zh-CN"/>
              </w:rPr>
              <w:t>放置于涂布机上，加入适量的变色胶水，调节涂布参数，将</w:t>
            </w:r>
            <w:r>
              <w:rPr>
                <w:rFonts w:hint="eastAsia" w:ascii="Times New Roman" w:cs="Times New Roman"/>
                <w:b w:val="0"/>
                <w:bCs w:val="0"/>
                <w:color w:val="auto"/>
                <w:lang w:val="en-US" w:eastAsia="zh-CN"/>
              </w:rPr>
              <w:t>变色</w:t>
            </w:r>
            <w:r>
              <w:rPr>
                <w:rFonts w:hint="default" w:ascii="Times New Roman" w:hAnsi="Times New Roman" w:cs="Times New Roman"/>
                <w:b w:val="0"/>
                <w:bCs w:val="0"/>
                <w:color w:val="auto"/>
                <w:lang w:val="en-US" w:eastAsia="zh-CN"/>
              </w:rPr>
              <w:t>胶水涂布于</w:t>
            </w:r>
            <w:r>
              <w:rPr>
                <w:rFonts w:hint="eastAsia" w:ascii="Times New Roman" w:cs="Times New Roman"/>
                <w:b w:val="0"/>
                <w:bCs w:val="0"/>
                <w:color w:val="auto"/>
                <w:lang w:val="en-US" w:eastAsia="zh-CN"/>
              </w:rPr>
              <w:t>PET膜后</w:t>
            </w:r>
            <w:r>
              <w:rPr>
                <w:rFonts w:hint="eastAsia" w:ascii="Times New Roman" w:hAnsi="Times New Roman" w:cs="Times New Roman"/>
                <w:b w:val="0"/>
                <w:bCs w:val="0"/>
                <w:color w:val="auto"/>
                <w:lang w:val="en-US" w:eastAsia="zh-CN"/>
              </w:rPr>
              <w:t>150</w:t>
            </w:r>
            <w:r>
              <w:rPr>
                <w:rFonts w:hint="default" w:ascii="Times New Roman" w:hAnsi="Times New Roman" w:cs="Times New Roman"/>
                <w:b w:val="0"/>
                <w:bCs w:val="0"/>
                <w:color w:val="auto"/>
                <w:lang w:val="en-US" w:eastAsia="zh-CN"/>
              </w:rPr>
              <w:t>℃烘箱固化10-20分钟</w:t>
            </w:r>
            <w:r>
              <w:rPr>
                <w:rFonts w:hint="eastAsia" w:ascii="Times New Roman" w:hAnsi="Times New Roman" w:cs="Times New Roman"/>
                <w:b w:val="0"/>
                <w:bCs w:val="0"/>
                <w:color w:val="auto"/>
                <w:lang w:val="en-US" w:eastAsia="zh-CN"/>
              </w:rPr>
              <w:t>，制成敏感层</w:t>
            </w:r>
            <w:r>
              <w:rPr>
                <w:rFonts w:hint="default" w:ascii="Times New Roman" w:hAnsi="Times New Roman" w:cs="Times New Roman"/>
                <w:b w:val="0"/>
                <w:bCs w:val="0"/>
                <w:color w:val="auto"/>
                <w:lang w:val="en-US" w:eastAsia="zh-CN"/>
              </w:rPr>
              <w:t>。</w:t>
            </w:r>
            <w:r>
              <w:rPr>
                <w:rFonts w:hint="eastAsia" w:ascii="Times New Roman" w:cs="Times New Roman"/>
                <w:b w:val="0"/>
                <w:bCs w:val="0"/>
                <w:color w:val="auto"/>
                <w:lang w:val="en-US" w:eastAsia="zh-CN"/>
              </w:rPr>
              <w:t>此过程产生有机废气和噪声。</w:t>
            </w:r>
          </w:p>
          <w:p w14:paraId="2B60FCC6">
            <w:pPr>
              <w:pStyle w:val="5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Chars="200" w:right="0" w:rightChars="0"/>
              <w:textAlignment w:val="auto"/>
              <w:rPr>
                <w:rFonts w:hint="default" w:ascii="Times New Roman" w:hAnsi="Times New Roman" w:cs="Times New Roman"/>
                <w:b w:val="0"/>
                <w:bCs w:val="0"/>
                <w:color w:val="auto"/>
                <w:lang w:val="en-US" w:eastAsia="zh-CN"/>
              </w:rPr>
            </w:pPr>
            <w:r>
              <w:rPr>
                <w:rFonts w:hint="eastAsia" w:ascii="Times New Roman" w:hAnsi="Times New Roman" w:cs="Times New Roman"/>
                <w:b w:val="0"/>
                <w:bCs w:val="0"/>
                <w:color w:val="auto"/>
                <w:lang w:val="en-US" w:eastAsia="zh-CN"/>
              </w:rPr>
              <w:t>（3）</w:t>
            </w:r>
            <w:r>
              <w:rPr>
                <w:rFonts w:hint="default" w:ascii="Times New Roman" w:hAnsi="Times New Roman" w:cs="Times New Roman"/>
                <w:b w:val="0"/>
                <w:bCs w:val="0"/>
                <w:color w:val="auto"/>
                <w:lang w:val="en-US" w:eastAsia="zh-CN"/>
              </w:rPr>
              <w:t>胶带组装</w:t>
            </w:r>
          </w:p>
          <w:p w14:paraId="1AAAA376">
            <w:pPr>
              <w:pStyle w:val="5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right="0" w:rightChars="0" w:firstLine="480" w:firstLineChars="200"/>
              <w:textAlignment w:val="auto"/>
              <w:rPr>
                <w:rFonts w:hint="default" w:ascii="Times New Roman" w:hAnsi="Times New Roman" w:cs="Times New Roman"/>
                <w:b w:val="0"/>
                <w:bCs w:val="0"/>
                <w:color w:val="auto"/>
                <w:lang w:val="en-US" w:eastAsia="zh-CN"/>
              </w:rPr>
            </w:pPr>
            <w:r>
              <w:rPr>
                <w:rFonts w:hint="eastAsia" w:ascii="Times New Roman" w:hAnsi="Times New Roman" w:cs="Times New Roman"/>
                <w:b w:val="0"/>
                <w:bCs w:val="0"/>
                <w:color w:val="auto"/>
                <w:lang w:val="en-US" w:eastAsia="zh-CN"/>
              </w:rPr>
              <w:t>将</w:t>
            </w:r>
            <w:r>
              <w:rPr>
                <w:rFonts w:hint="eastAsia" w:ascii="Times New Roman" w:cs="Times New Roman"/>
                <w:b w:val="0"/>
                <w:bCs w:val="0"/>
                <w:color w:val="auto"/>
                <w:lang w:val="en-US" w:eastAsia="zh-CN"/>
              </w:rPr>
              <w:t>PET膜</w:t>
            </w:r>
            <w:r>
              <w:rPr>
                <w:rFonts w:hint="default" w:ascii="Times New Roman" w:hAnsi="Times New Roman" w:cs="Times New Roman"/>
                <w:b w:val="0"/>
                <w:bCs w:val="0"/>
                <w:color w:val="auto"/>
                <w:lang w:val="en-US" w:eastAsia="zh-CN"/>
              </w:rPr>
              <w:t>→敏感层→离型膜</w:t>
            </w:r>
            <w:r>
              <w:rPr>
                <w:rFonts w:hint="eastAsia" w:ascii="Times New Roman" w:hAnsi="Times New Roman" w:cs="Times New Roman"/>
                <w:b w:val="0"/>
                <w:bCs w:val="0"/>
                <w:color w:val="auto"/>
                <w:lang w:val="en-US" w:eastAsia="zh-CN"/>
              </w:rPr>
              <w:t>按顺序</w:t>
            </w:r>
            <w:r>
              <w:rPr>
                <w:rFonts w:hint="default" w:ascii="Times New Roman" w:hAnsi="Times New Roman" w:cs="Times New Roman"/>
                <w:b w:val="0"/>
                <w:bCs w:val="0"/>
                <w:color w:val="auto"/>
                <w:lang w:val="en-US" w:eastAsia="zh-CN"/>
              </w:rPr>
              <w:t>自上而下</w:t>
            </w:r>
            <w:r>
              <w:rPr>
                <w:rFonts w:hint="eastAsia" w:ascii="Times New Roman" w:hAnsi="Times New Roman" w:cs="Times New Roman"/>
                <w:b w:val="0"/>
                <w:bCs w:val="0"/>
                <w:color w:val="auto"/>
                <w:lang w:val="en-US" w:eastAsia="zh-CN"/>
              </w:rPr>
              <w:t>使用贴合设备进行组装</w:t>
            </w:r>
            <w:r>
              <w:rPr>
                <w:rFonts w:hint="eastAsia"/>
                <w:color w:val="auto"/>
                <w:lang w:eastAsia="zh-CN"/>
              </w:rPr>
              <w:t>，</w:t>
            </w:r>
            <w:r>
              <w:rPr>
                <w:rFonts w:hint="eastAsia" w:ascii="Times New Roman" w:hAnsi="Times New Roman" w:cs="Times New Roman"/>
                <w:b w:val="0"/>
                <w:bCs w:val="0"/>
                <w:color w:val="auto"/>
                <w:lang w:val="en-US" w:eastAsia="zh-CN"/>
              </w:rPr>
              <w:t>制成</w:t>
            </w:r>
            <w:r>
              <w:rPr>
                <w:rFonts w:hint="default" w:ascii="Times New Roman" w:hAnsi="Times New Roman" w:cs="Times New Roman"/>
                <w:b w:val="0"/>
                <w:bCs w:val="0"/>
                <w:color w:val="auto"/>
                <w:lang w:val="en-US" w:eastAsia="zh-CN"/>
              </w:rPr>
              <w:t>氢气泄漏检测胶带。</w:t>
            </w:r>
            <w:r>
              <w:rPr>
                <w:rFonts w:hint="eastAsia" w:ascii="Times New Roman" w:hAnsi="Times New Roman" w:cs="Times New Roman"/>
                <w:b w:val="0"/>
                <w:bCs w:val="0"/>
                <w:color w:val="auto"/>
                <w:lang w:val="en-US" w:eastAsia="zh-CN"/>
              </w:rPr>
              <w:t>此过程产生噪声。</w:t>
            </w:r>
          </w:p>
          <w:p w14:paraId="5D117F89">
            <w:pPr>
              <w:pStyle w:val="5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right="0" w:rightChars="0" w:firstLine="480" w:firstLineChars="200"/>
              <w:textAlignment w:val="auto"/>
              <w:rPr>
                <w:rFonts w:hint="default" w:ascii="Times New Roman" w:hAnsi="Times New Roman" w:cs="Times New Roman"/>
                <w:b w:val="0"/>
                <w:bCs w:val="0"/>
                <w:color w:val="auto"/>
                <w:lang w:val="en-US" w:eastAsia="zh-CN"/>
              </w:rPr>
            </w:pPr>
            <w:r>
              <w:rPr>
                <w:rFonts w:hint="eastAsia" w:ascii="Times New Roman" w:cs="Times New Roman"/>
                <w:b w:val="0"/>
                <w:bCs w:val="0"/>
                <w:color w:val="auto"/>
                <w:lang w:val="en-US" w:eastAsia="zh-CN"/>
              </w:rPr>
              <w:t>（4）</w:t>
            </w:r>
            <w:r>
              <w:rPr>
                <w:rFonts w:hint="default" w:ascii="Times New Roman" w:hAnsi="Times New Roman" w:cs="Times New Roman"/>
                <w:b w:val="0"/>
                <w:bCs w:val="0"/>
                <w:color w:val="auto"/>
                <w:lang w:val="en-US" w:eastAsia="zh-CN"/>
              </w:rPr>
              <w:t>性能测试</w:t>
            </w:r>
            <w:r>
              <w:rPr>
                <w:rFonts w:hint="eastAsia" w:ascii="Times New Roman" w:cs="Times New Roman"/>
                <w:b w:val="0"/>
                <w:bCs w:val="0"/>
                <w:color w:val="auto"/>
                <w:lang w:val="en-US" w:eastAsia="zh-CN"/>
              </w:rPr>
              <w:t>与分切包装</w:t>
            </w:r>
          </w:p>
          <w:p w14:paraId="127A5B18">
            <w:pPr>
              <w:pStyle w:val="5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right="0" w:rightChars="0" w:firstLine="480" w:firstLineChars="200"/>
              <w:textAlignment w:val="auto"/>
              <w:rPr>
                <w:rFonts w:hint="eastAsia" w:ascii="Times New Roman" w:cs="Times New Roman"/>
                <w:b w:val="0"/>
                <w:bCs w:val="0"/>
                <w:color w:val="auto"/>
                <w:lang w:val="en-US" w:eastAsia="zh-CN"/>
              </w:rPr>
            </w:pPr>
            <w:r>
              <w:rPr>
                <w:rFonts w:hint="eastAsia" w:ascii="Times New Roman" w:cs="Times New Roman"/>
                <w:b w:val="0"/>
                <w:bCs w:val="0"/>
                <w:color w:val="auto"/>
                <w:lang w:val="en-US" w:eastAsia="zh-CN"/>
              </w:rPr>
              <w:t>对胶带通入氢气，进行</w:t>
            </w:r>
            <w:r>
              <w:rPr>
                <w:rFonts w:hint="default" w:ascii="Times New Roman" w:hAnsi="Times New Roman" w:cs="Times New Roman"/>
                <w:b w:val="0"/>
                <w:bCs w:val="0"/>
                <w:color w:val="auto"/>
                <w:lang w:val="en-US" w:eastAsia="zh-CN"/>
              </w:rPr>
              <w:t>灵敏度</w:t>
            </w:r>
            <w:r>
              <w:rPr>
                <w:rFonts w:hint="eastAsia" w:ascii="Times New Roman" w:cs="Times New Roman"/>
                <w:b w:val="0"/>
                <w:bCs w:val="0"/>
                <w:color w:val="auto"/>
                <w:lang w:val="en-US" w:eastAsia="zh-CN"/>
              </w:rPr>
              <w:t>、</w:t>
            </w:r>
            <w:r>
              <w:rPr>
                <w:rFonts w:hint="default" w:ascii="Times New Roman" w:hAnsi="Times New Roman" w:cs="Times New Roman"/>
                <w:b w:val="0"/>
                <w:bCs w:val="0"/>
                <w:color w:val="auto"/>
                <w:lang w:val="en-US" w:eastAsia="zh-CN"/>
              </w:rPr>
              <w:t>响应时间</w:t>
            </w:r>
            <w:r>
              <w:rPr>
                <w:rFonts w:hint="eastAsia" w:ascii="Times New Roman" w:cs="Times New Roman"/>
                <w:b w:val="0"/>
                <w:bCs w:val="0"/>
                <w:color w:val="auto"/>
                <w:lang w:val="en-US" w:eastAsia="zh-CN"/>
              </w:rPr>
              <w:t>等测试</w:t>
            </w:r>
            <w:r>
              <w:rPr>
                <w:rFonts w:hint="default" w:ascii="Times New Roman" w:hAnsi="Times New Roman" w:cs="Times New Roman"/>
                <w:b w:val="0"/>
                <w:bCs w:val="0"/>
                <w:color w:val="auto"/>
                <w:lang w:val="en-US" w:eastAsia="zh-CN"/>
              </w:rPr>
              <w:t>。</w:t>
            </w:r>
            <w:r>
              <w:rPr>
                <w:rFonts w:hint="eastAsia" w:ascii="Times New Roman" w:cs="Times New Roman"/>
                <w:b w:val="0"/>
                <w:bCs w:val="0"/>
                <w:color w:val="auto"/>
                <w:lang w:val="en-US" w:eastAsia="zh-CN"/>
              </w:rPr>
              <w:t>测试后</w:t>
            </w:r>
            <w:r>
              <w:rPr>
                <w:rFonts w:hint="default" w:ascii="Times New Roman" w:hAnsi="Times New Roman" w:cs="Times New Roman"/>
                <w:b w:val="0"/>
                <w:bCs w:val="0"/>
                <w:color w:val="auto"/>
                <w:lang w:val="en-US" w:eastAsia="zh-CN"/>
              </w:rPr>
              <w:t>分切为所需宽度，卷绕成盘，避光防潮包装。</w:t>
            </w:r>
            <w:r>
              <w:rPr>
                <w:rFonts w:hint="eastAsia" w:ascii="Times New Roman" w:cs="Times New Roman"/>
                <w:b w:val="0"/>
                <w:bCs w:val="0"/>
                <w:color w:val="auto"/>
                <w:lang w:val="en-US" w:eastAsia="zh-CN"/>
              </w:rPr>
              <w:t>此过程产生噪声、废边角料、废包装材料、不合格品。</w:t>
            </w:r>
          </w:p>
          <w:p w14:paraId="645A476F">
            <w:pPr>
              <w:pStyle w:val="5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right="0" w:rightChars="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bCs/>
                <w:color w:val="auto"/>
                <w:lang w:val="en-US" w:eastAsia="zh-CN"/>
              </w:rPr>
              <w:t>3、纯水制备</w:t>
            </w:r>
            <w:r>
              <w:rPr>
                <w:rFonts w:hint="default" w:ascii="Times New Roman" w:hAnsi="Times New Roman" w:eastAsia="宋体" w:cs="Times New Roman"/>
                <w:b/>
                <w:bCs/>
                <w:color w:val="auto"/>
                <w:sz w:val="24"/>
                <w:szCs w:val="24"/>
                <w:lang w:val="en-US" w:eastAsia="zh-CN"/>
              </w:rPr>
              <w:t>工</w:t>
            </w:r>
            <w:r>
              <w:rPr>
                <w:rFonts w:hint="default" w:ascii="Times New Roman" w:hAnsi="Times New Roman" w:eastAsia="宋体" w:cs="Times New Roman"/>
                <w:b/>
                <w:bCs w:val="0"/>
                <w:color w:val="auto"/>
                <w:sz w:val="24"/>
                <w:szCs w:val="24"/>
                <w:lang w:val="en-US" w:eastAsia="zh-CN"/>
              </w:rPr>
              <w:t>艺流程及产污环节</w:t>
            </w:r>
          </w:p>
          <w:p w14:paraId="50C5DF69">
            <w:pPr>
              <w:pStyle w:val="5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right="0" w:rightChars="0" w:firstLine="480" w:firstLineChars="200"/>
              <w:textAlignment w:val="auto"/>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本项目</w:t>
            </w:r>
            <w:r>
              <w:rPr>
                <w:rFonts w:hint="default" w:ascii="Times New Roman" w:hAnsi="Times New Roman" w:eastAsia="宋体" w:cs="Times New Roman"/>
                <w:b w:val="0"/>
                <w:bCs w:val="0"/>
                <w:color w:val="auto"/>
                <w:lang w:val="en-US" w:eastAsia="zh-CN"/>
              </w:rPr>
              <w:t>纯水机的核心制备流程以反渗透（RO）技术为核心阶段。系统首先对自来水等原水进行预处理，通过多级滤芯初步去除悬浮颗粒、余氯及部分有机物，以保护后续RO膜。预处理后的水在高压泵推动下进入反渗透膜组件，水分子在压力作用下穿透RO膜，而绝大部分溶解盐类、有机物、细菌及热原等杂质被高效截留，形成</w:t>
            </w:r>
            <w:r>
              <w:rPr>
                <w:rFonts w:hint="eastAsia" w:ascii="Times New Roman" w:hAnsi="Times New Roman" w:eastAsia="宋体" w:cs="Times New Roman"/>
                <w:b w:val="0"/>
                <w:bCs w:val="0"/>
                <w:color w:val="auto"/>
                <w:lang w:val="en-US" w:eastAsia="zh-CN"/>
              </w:rPr>
              <w:t>“</w:t>
            </w:r>
            <w:r>
              <w:rPr>
                <w:rFonts w:hint="default" w:ascii="Times New Roman" w:hAnsi="Times New Roman" w:eastAsia="宋体" w:cs="Times New Roman"/>
                <w:b w:val="0"/>
                <w:bCs w:val="0"/>
                <w:color w:val="auto"/>
                <w:lang w:val="en-US" w:eastAsia="zh-CN"/>
              </w:rPr>
              <w:t>浓水</w:t>
            </w:r>
            <w:r>
              <w:rPr>
                <w:rFonts w:hint="eastAsia" w:ascii="Times New Roman" w:hAnsi="Times New Roman" w:eastAsia="宋体" w:cs="Times New Roman"/>
                <w:b w:val="0"/>
                <w:bCs w:val="0"/>
                <w:color w:val="auto"/>
                <w:lang w:val="en-US" w:eastAsia="zh-CN"/>
              </w:rPr>
              <w:t>”</w:t>
            </w:r>
            <w:r>
              <w:rPr>
                <w:rFonts w:hint="default" w:ascii="Times New Roman" w:hAnsi="Times New Roman" w:eastAsia="宋体" w:cs="Times New Roman"/>
                <w:b w:val="0"/>
                <w:bCs w:val="0"/>
                <w:color w:val="auto"/>
                <w:lang w:val="en-US" w:eastAsia="zh-CN"/>
              </w:rPr>
              <w:t>排出，得到纯度显著提升的</w:t>
            </w:r>
            <w:r>
              <w:rPr>
                <w:rFonts w:hint="eastAsia" w:ascii="Times New Roman" w:hAnsi="Times New Roman" w:eastAsia="宋体" w:cs="Times New Roman"/>
                <w:b w:val="0"/>
                <w:bCs w:val="0"/>
                <w:color w:val="auto"/>
                <w:lang w:val="en-US" w:eastAsia="zh-CN"/>
              </w:rPr>
              <w:t>“</w:t>
            </w:r>
            <w:r>
              <w:rPr>
                <w:rFonts w:hint="default" w:ascii="Times New Roman" w:hAnsi="Times New Roman" w:eastAsia="宋体" w:cs="Times New Roman"/>
                <w:b w:val="0"/>
                <w:bCs w:val="0"/>
                <w:color w:val="auto"/>
                <w:lang w:val="en-US" w:eastAsia="zh-CN"/>
              </w:rPr>
              <w:t>RO纯水</w:t>
            </w:r>
            <w:r>
              <w:rPr>
                <w:rFonts w:hint="eastAsia" w:ascii="Times New Roman" w:hAnsi="Times New Roman" w:eastAsia="宋体" w:cs="Times New Roman"/>
                <w:b w:val="0"/>
                <w:bCs w:val="0"/>
                <w:color w:val="auto"/>
                <w:lang w:val="en-US" w:eastAsia="zh-CN"/>
              </w:rPr>
              <w:t>”</w:t>
            </w:r>
            <w:r>
              <w:rPr>
                <w:rFonts w:hint="default" w:ascii="Times New Roman" w:hAnsi="Times New Roman" w:eastAsia="宋体" w:cs="Times New Roman"/>
                <w:b w:val="0"/>
                <w:bCs w:val="0"/>
                <w:color w:val="auto"/>
                <w:lang w:val="en-US" w:eastAsia="zh-CN"/>
              </w:rPr>
              <w:t>。</w:t>
            </w:r>
            <w:r>
              <w:rPr>
                <w:rFonts w:hint="eastAsia" w:ascii="Times New Roman" w:hAnsi="Times New Roman" w:eastAsia="宋体" w:cs="Times New Roman"/>
                <w:b w:val="0"/>
                <w:bCs w:val="0"/>
                <w:color w:val="auto"/>
                <w:lang w:val="en-US" w:eastAsia="zh-CN"/>
              </w:rPr>
              <w:t>此过程产生纯水机浓水、废反渗透膜。</w:t>
            </w:r>
          </w:p>
          <w:p w14:paraId="70C31AD4">
            <w:pPr>
              <w:numPr>
                <w:ilvl w:val="0"/>
                <w:numId w:val="0"/>
              </w:numPr>
              <w:adjustRightInd w:val="0"/>
              <w:snapToGrid w:val="0"/>
              <w:spacing w:line="360" w:lineRule="auto"/>
              <w:jc w:val="both"/>
              <w:rPr>
                <w:rFonts w:hint="default"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en-US" w:eastAsia="zh-CN"/>
              </w:rPr>
              <w:t>4、</w:t>
            </w:r>
            <w:r>
              <w:rPr>
                <w:rFonts w:hint="default" w:ascii="Times New Roman" w:hAnsi="Times New Roman" w:eastAsia="宋体" w:cs="Times New Roman"/>
                <w:b/>
                <w:bCs w:val="0"/>
                <w:color w:val="auto"/>
                <w:sz w:val="24"/>
                <w:szCs w:val="24"/>
                <w:lang w:val="en-US" w:eastAsia="zh-CN"/>
              </w:rPr>
              <w:t>主要产污环节</w:t>
            </w:r>
          </w:p>
          <w:p w14:paraId="19908956">
            <w:pPr>
              <w:numPr>
                <w:ilvl w:val="0"/>
                <w:numId w:val="0"/>
              </w:numPr>
              <w:adjustRightInd w:val="0"/>
              <w:snapToGrid w:val="0"/>
              <w:spacing w:line="360" w:lineRule="auto"/>
              <w:ind w:firstLine="480" w:firstLineChars="200"/>
              <w:jc w:val="both"/>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本项目运营期主要产污环节见下表。</w:t>
            </w:r>
          </w:p>
          <w:p w14:paraId="042326AF">
            <w:pPr>
              <w:numPr>
                <w:ilvl w:val="0"/>
                <w:numId w:val="0"/>
              </w:numPr>
              <w:adjustRightInd w:val="0"/>
              <w:snapToGrid w:val="0"/>
              <w:spacing w:line="240" w:lineRule="auto"/>
              <w:jc w:val="center"/>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表2-7</w:t>
            </w:r>
            <w:r>
              <w:rPr>
                <w:rFonts w:hint="eastAsia" w:ascii="Times New Roman" w:hAnsi="Times New Roman" w:eastAsia="宋体" w:cs="Times New Roman"/>
                <w:b/>
                <w:bCs w:val="0"/>
                <w:color w:val="auto"/>
                <w:sz w:val="24"/>
                <w:szCs w:val="24"/>
                <w:lang w:val="en-US" w:eastAsia="zh-CN"/>
              </w:rPr>
              <w:t xml:space="preserve">  </w:t>
            </w:r>
            <w:r>
              <w:rPr>
                <w:rFonts w:hint="default" w:ascii="Times New Roman" w:hAnsi="Times New Roman" w:eastAsia="宋体" w:cs="Times New Roman"/>
                <w:b/>
                <w:bCs w:val="0"/>
                <w:color w:val="auto"/>
                <w:sz w:val="24"/>
                <w:szCs w:val="24"/>
                <w:lang w:val="en-US" w:eastAsia="zh-CN"/>
              </w:rPr>
              <w:t>运行期主要产污环节一览表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900"/>
              <w:gridCol w:w="2285"/>
              <w:gridCol w:w="3946"/>
            </w:tblGrid>
            <w:tr w14:paraId="01BFF9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pct"/>
                  <w:tcBorders>
                    <w:tl2br w:val="nil"/>
                    <w:tr2bl w:val="nil"/>
                  </w:tcBorders>
                  <w:noWrap w:val="0"/>
                  <w:vAlign w:val="center"/>
                </w:tcPr>
                <w:p w14:paraId="744A21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类别</w:t>
                  </w:r>
                </w:p>
              </w:tc>
              <w:tc>
                <w:tcPr>
                  <w:tcW w:w="1914" w:type="pct"/>
                  <w:gridSpan w:val="2"/>
                  <w:tcBorders>
                    <w:tl2br w:val="nil"/>
                    <w:tr2bl w:val="nil"/>
                  </w:tcBorders>
                  <w:noWrap w:val="0"/>
                  <w:vAlign w:val="center"/>
                </w:tcPr>
                <w:p w14:paraId="03CD04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产污环节</w:t>
                  </w:r>
                </w:p>
              </w:tc>
              <w:tc>
                <w:tcPr>
                  <w:tcW w:w="2371" w:type="pct"/>
                  <w:tcBorders>
                    <w:tl2br w:val="nil"/>
                    <w:tr2bl w:val="nil"/>
                  </w:tcBorders>
                  <w:noWrap w:val="0"/>
                  <w:vAlign w:val="center"/>
                </w:tcPr>
                <w:p w14:paraId="725704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主要污染物</w:t>
                  </w:r>
                </w:p>
              </w:tc>
            </w:tr>
            <w:tr w14:paraId="34CA3F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pct"/>
                  <w:vMerge w:val="restart"/>
                  <w:tcBorders>
                    <w:tl2br w:val="nil"/>
                    <w:tr2bl w:val="nil"/>
                  </w:tcBorders>
                  <w:noWrap w:val="0"/>
                  <w:vAlign w:val="center"/>
                </w:tcPr>
                <w:p w14:paraId="05F75C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废水</w:t>
                  </w:r>
                </w:p>
              </w:tc>
              <w:tc>
                <w:tcPr>
                  <w:tcW w:w="1914" w:type="pct"/>
                  <w:gridSpan w:val="2"/>
                  <w:tcBorders>
                    <w:tl2br w:val="nil"/>
                    <w:tr2bl w:val="nil"/>
                  </w:tcBorders>
                  <w:noWrap w:val="0"/>
                  <w:vAlign w:val="center"/>
                </w:tcPr>
                <w:p w14:paraId="5ABF17B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生活污水</w:t>
                  </w:r>
                </w:p>
              </w:tc>
              <w:tc>
                <w:tcPr>
                  <w:tcW w:w="2371" w:type="pct"/>
                  <w:tcBorders>
                    <w:tl2br w:val="nil"/>
                    <w:tr2bl w:val="nil"/>
                  </w:tcBorders>
                  <w:noWrap w:val="0"/>
                  <w:vAlign w:val="center"/>
                </w:tcPr>
                <w:p w14:paraId="2781CA7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lang w:val="en-US" w:eastAsia="zh-CN" w:bidi="ar"/>
                    </w:rPr>
                    <w:t>pH、</w:t>
                  </w:r>
                  <w:r>
                    <w:rPr>
                      <w:rFonts w:hint="default" w:ascii="Times New Roman" w:hAnsi="Times New Roman" w:eastAsia="宋体" w:cs="Times New Roman"/>
                      <w:color w:val="auto"/>
                      <w:kern w:val="0"/>
                      <w:sz w:val="21"/>
                      <w:szCs w:val="21"/>
                      <w:highlight w:val="none"/>
                      <w:lang w:val="en-US" w:eastAsia="zh-CN" w:bidi="ar"/>
                    </w:rPr>
                    <w:t>COD、SS、BOD</w:t>
                  </w:r>
                  <w:r>
                    <w:rPr>
                      <w:rFonts w:hint="default" w:ascii="Times New Roman" w:hAnsi="Times New Roman" w:eastAsia="宋体" w:cs="Times New Roman"/>
                      <w:color w:val="auto"/>
                      <w:kern w:val="0"/>
                      <w:sz w:val="21"/>
                      <w:szCs w:val="21"/>
                      <w:highlight w:val="none"/>
                      <w:vertAlign w:val="subscript"/>
                      <w:lang w:val="en-US" w:eastAsia="zh-CN" w:bidi="ar"/>
                    </w:rPr>
                    <w:t>5</w:t>
                  </w:r>
                  <w:r>
                    <w:rPr>
                      <w:rFonts w:hint="default" w:ascii="Times New Roman" w:hAnsi="Times New Roman" w:eastAsia="宋体" w:cs="Times New Roman"/>
                      <w:color w:val="auto"/>
                      <w:kern w:val="0"/>
                      <w:sz w:val="21"/>
                      <w:szCs w:val="21"/>
                      <w:highlight w:val="none"/>
                      <w:lang w:val="en-US" w:eastAsia="zh-CN" w:bidi="ar"/>
                    </w:rPr>
                    <w:t>、NH</w:t>
                  </w:r>
                  <w:r>
                    <w:rPr>
                      <w:rFonts w:hint="default" w:ascii="Times New Roman" w:hAnsi="Times New Roman" w:eastAsia="宋体" w:cs="Times New Roman"/>
                      <w:color w:val="auto"/>
                      <w:kern w:val="0"/>
                      <w:sz w:val="21"/>
                      <w:szCs w:val="21"/>
                      <w:highlight w:val="none"/>
                      <w:vertAlign w:val="subscript"/>
                      <w:lang w:val="en-US" w:eastAsia="zh-CN" w:bidi="ar"/>
                    </w:rPr>
                    <w:t>3</w:t>
                  </w:r>
                  <w:r>
                    <w:rPr>
                      <w:rFonts w:hint="default" w:ascii="Times New Roman" w:hAnsi="Times New Roman" w:eastAsia="宋体" w:cs="Times New Roman"/>
                      <w:color w:val="auto"/>
                      <w:kern w:val="0"/>
                      <w:sz w:val="21"/>
                      <w:szCs w:val="21"/>
                      <w:highlight w:val="none"/>
                      <w:lang w:val="en-US" w:eastAsia="zh-CN" w:bidi="ar"/>
                    </w:rPr>
                    <w:t>-N</w:t>
                  </w:r>
                  <w:r>
                    <w:rPr>
                      <w:rFonts w:hint="eastAsia" w:ascii="Times New Roman" w:hAnsi="Times New Roman" w:eastAsia="宋体" w:cs="Times New Roman"/>
                      <w:color w:val="auto"/>
                      <w:kern w:val="0"/>
                      <w:sz w:val="21"/>
                      <w:szCs w:val="21"/>
                      <w:highlight w:val="none"/>
                      <w:lang w:val="en-US" w:eastAsia="zh-CN" w:bidi="ar"/>
                    </w:rPr>
                    <w:t>、TP、TN</w:t>
                  </w:r>
                </w:p>
              </w:tc>
            </w:tr>
            <w:tr w14:paraId="75A7BE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pct"/>
                  <w:vMerge w:val="continue"/>
                  <w:tcBorders>
                    <w:tl2br w:val="nil"/>
                    <w:tr2bl w:val="nil"/>
                  </w:tcBorders>
                  <w:noWrap w:val="0"/>
                  <w:vAlign w:val="center"/>
                </w:tcPr>
                <w:p w14:paraId="097565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1914" w:type="pct"/>
                  <w:gridSpan w:val="2"/>
                  <w:tcBorders>
                    <w:tl2br w:val="nil"/>
                    <w:tr2bl w:val="nil"/>
                  </w:tcBorders>
                  <w:noWrap w:val="0"/>
                  <w:vAlign w:val="center"/>
                </w:tcPr>
                <w:p w14:paraId="005DD9C4">
                  <w:pPr>
                    <w:adjustRightInd w:val="0"/>
                    <w:snapToGrid w:val="0"/>
                    <w:ind w:firstLine="210" w:firstLineChars="100"/>
                    <w:jc w:val="center"/>
                    <w:rPr>
                      <w:rFonts w:hint="default"/>
                      <w:color w:val="auto"/>
                      <w:kern w:val="2"/>
                      <w:sz w:val="21"/>
                      <w:szCs w:val="21"/>
                      <w:lang w:val="en-US" w:eastAsia="zh-CN" w:bidi="ar-SA"/>
                    </w:rPr>
                  </w:pPr>
                  <w:r>
                    <w:rPr>
                      <w:rFonts w:hint="eastAsia"/>
                      <w:color w:val="auto"/>
                      <w:szCs w:val="21"/>
                    </w:rPr>
                    <w:t>实验室器皿清洗用水</w:t>
                  </w:r>
                </w:p>
              </w:tc>
              <w:tc>
                <w:tcPr>
                  <w:tcW w:w="2371" w:type="pct"/>
                  <w:tcBorders>
                    <w:tl2br w:val="nil"/>
                    <w:tr2bl w:val="nil"/>
                  </w:tcBorders>
                  <w:noWrap w:val="0"/>
                  <w:vAlign w:val="center"/>
                </w:tcPr>
                <w:p w14:paraId="536F573E">
                  <w:pPr>
                    <w:pStyle w:val="67"/>
                    <w:adjustRightInd w:val="0"/>
                    <w:snapToGrid w:val="0"/>
                    <w:jc w:val="center"/>
                    <w:rPr>
                      <w:rFonts w:hint="default" w:ascii="Times New Roman" w:hAnsi="Times New Roman"/>
                      <w:color w:val="auto"/>
                      <w:kern w:val="0"/>
                      <w:position w:val="2"/>
                      <w:sz w:val="21"/>
                      <w:szCs w:val="21"/>
                      <w:lang w:val="en-US" w:eastAsia="zh-CN" w:bidi="ar-SA"/>
                    </w:rPr>
                  </w:pPr>
                  <w:r>
                    <w:rPr>
                      <w:rFonts w:hint="eastAsia" w:ascii="Times New Roman" w:hAnsi="Times New Roman"/>
                      <w:color w:val="auto"/>
                      <w:position w:val="2"/>
                      <w:sz w:val="21"/>
                      <w:szCs w:val="21"/>
                    </w:rPr>
                    <w:t>pH、COD、SS</w:t>
                  </w:r>
                </w:p>
              </w:tc>
            </w:tr>
            <w:tr w14:paraId="2F5784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pct"/>
                  <w:vMerge w:val="continue"/>
                  <w:tcBorders>
                    <w:tl2br w:val="nil"/>
                    <w:tr2bl w:val="nil"/>
                  </w:tcBorders>
                  <w:noWrap w:val="0"/>
                  <w:vAlign w:val="center"/>
                </w:tcPr>
                <w:p w14:paraId="2B071C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1914" w:type="pct"/>
                  <w:gridSpan w:val="2"/>
                  <w:tcBorders>
                    <w:tl2br w:val="nil"/>
                    <w:tr2bl w:val="nil"/>
                  </w:tcBorders>
                  <w:noWrap w:val="0"/>
                  <w:vAlign w:val="center"/>
                </w:tcPr>
                <w:p w14:paraId="073EA7E0">
                  <w:pPr>
                    <w:adjustRightInd w:val="0"/>
                    <w:snapToGrid w:val="0"/>
                    <w:ind w:firstLine="210" w:firstLineChars="100"/>
                    <w:jc w:val="center"/>
                    <w:rPr>
                      <w:rFonts w:hint="default" w:eastAsia="宋体"/>
                      <w:color w:val="auto"/>
                      <w:szCs w:val="21"/>
                      <w:lang w:val="en-US" w:eastAsia="zh-CN"/>
                    </w:rPr>
                  </w:pPr>
                  <w:r>
                    <w:rPr>
                      <w:rFonts w:hint="eastAsia"/>
                      <w:color w:val="auto"/>
                      <w:szCs w:val="21"/>
                      <w:lang w:val="en-US" w:eastAsia="zh-CN"/>
                    </w:rPr>
                    <w:t>纯水机浓水</w:t>
                  </w:r>
                </w:p>
              </w:tc>
              <w:tc>
                <w:tcPr>
                  <w:tcW w:w="2371" w:type="pct"/>
                  <w:tcBorders>
                    <w:tl2br w:val="nil"/>
                    <w:tr2bl w:val="nil"/>
                  </w:tcBorders>
                  <w:noWrap w:val="0"/>
                  <w:vAlign w:val="center"/>
                </w:tcPr>
                <w:p w14:paraId="6746F836">
                  <w:pPr>
                    <w:pStyle w:val="67"/>
                    <w:adjustRightInd w:val="0"/>
                    <w:snapToGrid w:val="0"/>
                    <w:jc w:val="center"/>
                    <w:rPr>
                      <w:rFonts w:hint="default" w:ascii="Times New Roman" w:hAnsi="Times New Roman" w:eastAsia="宋体"/>
                      <w:color w:val="auto"/>
                      <w:position w:val="2"/>
                      <w:sz w:val="21"/>
                      <w:szCs w:val="21"/>
                      <w:lang w:val="en-US" w:eastAsia="zh-CN"/>
                    </w:rPr>
                  </w:pPr>
                  <w:r>
                    <w:rPr>
                      <w:rFonts w:hint="eastAsia" w:ascii="Times New Roman" w:hAnsi="Times New Roman"/>
                      <w:color w:val="auto"/>
                      <w:position w:val="2"/>
                      <w:sz w:val="21"/>
                      <w:szCs w:val="21"/>
                    </w:rPr>
                    <w:t>COD、</w:t>
                  </w:r>
                  <w:r>
                    <w:rPr>
                      <w:rFonts w:hint="eastAsia" w:ascii="Times New Roman" w:hAnsi="Times New Roman"/>
                      <w:color w:val="auto"/>
                      <w:position w:val="2"/>
                      <w:sz w:val="21"/>
                      <w:szCs w:val="21"/>
                      <w:lang w:val="en-US" w:eastAsia="zh-CN"/>
                    </w:rPr>
                    <w:t>TDS</w:t>
                  </w:r>
                </w:p>
              </w:tc>
            </w:tr>
            <w:tr w14:paraId="383670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pct"/>
                  <w:vMerge w:val="restart"/>
                  <w:tcBorders>
                    <w:tl2br w:val="nil"/>
                    <w:tr2bl w:val="nil"/>
                  </w:tcBorders>
                  <w:noWrap w:val="0"/>
                  <w:vAlign w:val="center"/>
                </w:tcPr>
                <w:p w14:paraId="3DACA3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废气</w:t>
                  </w:r>
                </w:p>
              </w:tc>
              <w:tc>
                <w:tcPr>
                  <w:tcW w:w="1914" w:type="pct"/>
                  <w:gridSpan w:val="2"/>
                  <w:tcBorders>
                    <w:tl2br w:val="nil"/>
                    <w:tr2bl w:val="nil"/>
                  </w:tcBorders>
                  <w:noWrap w:val="0"/>
                  <w:vAlign w:val="center"/>
                </w:tcPr>
                <w:p w14:paraId="4562277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催化浆料配制</w:t>
                  </w:r>
                  <w:r>
                    <w:rPr>
                      <w:rFonts w:hint="default" w:ascii="Times New Roman" w:hAnsi="Times New Roman" w:eastAsia="宋体" w:cs="Times New Roman"/>
                      <w:color w:val="auto"/>
                      <w:kern w:val="0"/>
                      <w:sz w:val="21"/>
                      <w:szCs w:val="21"/>
                      <w:highlight w:val="none"/>
                      <w:lang w:val="en-US" w:eastAsia="zh-CN" w:bidi="ar"/>
                    </w:rPr>
                    <w:t>工序</w:t>
                  </w:r>
                </w:p>
              </w:tc>
              <w:tc>
                <w:tcPr>
                  <w:tcW w:w="2371" w:type="pct"/>
                  <w:tcBorders>
                    <w:tl2br w:val="nil"/>
                    <w:tr2bl w:val="nil"/>
                  </w:tcBorders>
                  <w:noWrap w:val="0"/>
                  <w:vAlign w:val="center"/>
                </w:tcPr>
                <w:p w14:paraId="0A953B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非甲烷总烃</w:t>
                  </w:r>
                </w:p>
              </w:tc>
            </w:tr>
            <w:tr w14:paraId="05303B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pct"/>
                  <w:vMerge w:val="continue"/>
                  <w:tcBorders>
                    <w:tl2br w:val="nil"/>
                    <w:tr2bl w:val="nil"/>
                  </w:tcBorders>
                  <w:noWrap w:val="0"/>
                  <w:vAlign w:val="center"/>
                </w:tcPr>
                <w:p w14:paraId="1B5808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1914" w:type="pct"/>
                  <w:gridSpan w:val="2"/>
                  <w:tcBorders>
                    <w:tl2br w:val="nil"/>
                    <w:tr2bl w:val="nil"/>
                  </w:tcBorders>
                  <w:noWrap w:val="0"/>
                  <w:vAlign w:val="center"/>
                </w:tcPr>
                <w:p w14:paraId="67564A3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催化剂涂覆膜制备工序</w:t>
                  </w:r>
                </w:p>
              </w:tc>
              <w:tc>
                <w:tcPr>
                  <w:tcW w:w="2371" w:type="pct"/>
                  <w:tcBorders>
                    <w:tl2br w:val="nil"/>
                    <w:tr2bl w:val="nil"/>
                  </w:tcBorders>
                  <w:noWrap w:val="0"/>
                  <w:vAlign w:val="center"/>
                </w:tcPr>
                <w:p w14:paraId="05C166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非甲烷总烃</w:t>
                  </w:r>
                </w:p>
              </w:tc>
            </w:tr>
            <w:tr w14:paraId="3E1D32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pct"/>
                  <w:vMerge w:val="continue"/>
                  <w:tcBorders>
                    <w:tl2br w:val="nil"/>
                    <w:tr2bl w:val="nil"/>
                  </w:tcBorders>
                  <w:noWrap w:val="0"/>
                  <w:vAlign w:val="center"/>
                </w:tcPr>
                <w:p w14:paraId="39AB8D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1914" w:type="pct"/>
                  <w:gridSpan w:val="2"/>
                  <w:tcBorders>
                    <w:tl2br w:val="nil"/>
                    <w:tr2bl w:val="nil"/>
                  </w:tcBorders>
                  <w:noWrap w:val="0"/>
                  <w:vAlign w:val="center"/>
                </w:tcPr>
                <w:p w14:paraId="1DF63AA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变色材料制备</w:t>
                  </w:r>
                  <w:r>
                    <w:rPr>
                      <w:rFonts w:hint="default" w:ascii="Times New Roman" w:hAnsi="Times New Roman" w:eastAsia="宋体" w:cs="Times New Roman"/>
                      <w:color w:val="auto"/>
                      <w:kern w:val="0"/>
                      <w:sz w:val="21"/>
                      <w:szCs w:val="21"/>
                      <w:highlight w:val="none"/>
                      <w:lang w:val="en-US" w:eastAsia="zh-CN" w:bidi="ar"/>
                    </w:rPr>
                    <w:t>工序</w:t>
                  </w:r>
                </w:p>
              </w:tc>
              <w:tc>
                <w:tcPr>
                  <w:tcW w:w="2371" w:type="pct"/>
                  <w:tcBorders>
                    <w:tl2br w:val="nil"/>
                    <w:tr2bl w:val="nil"/>
                  </w:tcBorders>
                  <w:noWrap w:val="0"/>
                  <w:vAlign w:val="center"/>
                </w:tcPr>
                <w:p w14:paraId="387E1C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非甲烷总烃</w:t>
                  </w:r>
                </w:p>
              </w:tc>
            </w:tr>
            <w:tr w14:paraId="665437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pct"/>
                  <w:vMerge w:val="continue"/>
                  <w:tcBorders>
                    <w:tl2br w:val="nil"/>
                    <w:tr2bl w:val="nil"/>
                  </w:tcBorders>
                  <w:noWrap w:val="0"/>
                  <w:vAlign w:val="center"/>
                </w:tcPr>
                <w:p w14:paraId="6AF49D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1914" w:type="pct"/>
                  <w:gridSpan w:val="2"/>
                  <w:tcBorders>
                    <w:tl2br w:val="nil"/>
                    <w:tr2bl w:val="nil"/>
                  </w:tcBorders>
                  <w:noWrap w:val="0"/>
                  <w:vAlign w:val="center"/>
                </w:tcPr>
                <w:p w14:paraId="38AE4E4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敏感层制备</w:t>
                  </w:r>
                  <w:r>
                    <w:rPr>
                      <w:rFonts w:hint="default" w:ascii="Times New Roman" w:hAnsi="Times New Roman" w:cs="Times New Roman"/>
                      <w:color w:val="auto"/>
                      <w:kern w:val="0"/>
                      <w:sz w:val="21"/>
                      <w:szCs w:val="21"/>
                      <w:highlight w:val="none"/>
                      <w:lang w:val="en-US" w:eastAsia="zh-CN" w:bidi="ar"/>
                    </w:rPr>
                    <w:t>工序</w:t>
                  </w:r>
                </w:p>
              </w:tc>
              <w:tc>
                <w:tcPr>
                  <w:tcW w:w="2371" w:type="pct"/>
                  <w:tcBorders>
                    <w:tl2br w:val="nil"/>
                    <w:tr2bl w:val="nil"/>
                  </w:tcBorders>
                  <w:noWrap w:val="0"/>
                  <w:vAlign w:val="center"/>
                </w:tcPr>
                <w:p w14:paraId="61B4EA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非甲烷总烃</w:t>
                  </w:r>
                </w:p>
              </w:tc>
            </w:tr>
            <w:tr w14:paraId="536EE2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pct"/>
                  <w:tcBorders>
                    <w:tl2br w:val="nil"/>
                    <w:tr2bl w:val="nil"/>
                  </w:tcBorders>
                  <w:noWrap w:val="0"/>
                  <w:vAlign w:val="center"/>
                </w:tcPr>
                <w:p w14:paraId="5A89CE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噪声</w:t>
                  </w:r>
                </w:p>
              </w:tc>
              <w:tc>
                <w:tcPr>
                  <w:tcW w:w="1914" w:type="pct"/>
                  <w:gridSpan w:val="2"/>
                  <w:tcBorders>
                    <w:tl2br w:val="nil"/>
                    <w:tr2bl w:val="nil"/>
                  </w:tcBorders>
                  <w:noWrap w:val="0"/>
                  <w:vAlign w:val="center"/>
                </w:tcPr>
                <w:p w14:paraId="04D873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生产设备</w:t>
                  </w:r>
                </w:p>
              </w:tc>
              <w:tc>
                <w:tcPr>
                  <w:tcW w:w="2371" w:type="pct"/>
                  <w:tcBorders>
                    <w:tl2br w:val="nil"/>
                    <w:tr2bl w:val="nil"/>
                  </w:tcBorders>
                  <w:noWrap w:val="0"/>
                  <w:vAlign w:val="center"/>
                </w:tcPr>
                <w:p w14:paraId="422D80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噪声</w:t>
                  </w:r>
                </w:p>
              </w:tc>
            </w:tr>
            <w:tr w14:paraId="747141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pct"/>
                  <w:vMerge w:val="restart"/>
                  <w:tcBorders>
                    <w:tl2br w:val="nil"/>
                    <w:tr2bl w:val="nil"/>
                  </w:tcBorders>
                  <w:noWrap w:val="0"/>
                  <w:vAlign w:val="center"/>
                </w:tcPr>
                <w:p w14:paraId="78B747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固废</w:t>
                  </w:r>
                </w:p>
                <w:p w14:paraId="5AD280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废物</w:t>
                  </w:r>
                </w:p>
              </w:tc>
              <w:tc>
                <w:tcPr>
                  <w:tcW w:w="541" w:type="pct"/>
                  <w:tcBorders>
                    <w:tl2br w:val="nil"/>
                    <w:tr2bl w:val="nil"/>
                  </w:tcBorders>
                  <w:noWrap w:val="0"/>
                  <w:vAlign w:val="center"/>
                </w:tcPr>
                <w:p w14:paraId="34859D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生活</w:t>
                  </w:r>
                </w:p>
                <w:p w14:paraId="35B8DB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垃圾</w:t>
                  </w:r>
                </w:p>
              </w:tc>
              <w:tc>
                <w:tcPr>
                  <w:tcW w:w="1372" w:type="pct"/>
                  <w:tcBorders>
                    <w:tl2br w:val="nil"/>
                    <w:tr2bl w:val="nil"/>
                  </w:tcBorders>
                  <w:noWrap w:val="0"/>
                  <w:vAlign w:val="center"/>
                </w:tcPr>
                <w:p w14:paraId="2B8795C5">
                  <w:pPr>
                    <w:pStyle w:val="67"/>
                    <w:adjustRightInd w:val="0"/>
                    <w:snapToGrid w:val="0"/>
                    <w:ind w:left="125" w:leftChars="0" w:right="120" w:rightChars="0"/>
                    <w:jc w:val="center"/>
                    <w:rPr>
                      <w:rFonts w:hint="default" w:ascii="Times New Roman" w:hAnsi="Times New Roman" w:eastAsia="宋体" w:cs="Times New Roman"/>
                      <w:b w:val="0"/>
                      <w:bCs/>
                      <w:color w:val="auto"/>
                      <w:sz w:val="21"/>
                      <w:szCs w:val="21"/>
                      <w:highlight w:val="none"/>
                      <w:vertAlign w:val="baseline"/>
                      <w:lang w:val="en-US" w:eastAsia="zh-CN"/>
                    </w:rPr>
                  </w:pPr>
                  <w:r>
                    <w:rPr>
                      <w:rFonts w:ascii="Times New Roman" w:hAnsi="Times New Roman"/>
                      <w:color w:val="auto"/>
                      <w:sz w:val="21"/>
                      <w:szCs w:val="21"/>
                    </w:rPr>
                    <w:t>职工办公</w:t>
                  </w:r>
                </w:p>
              </w:tc>
              <w:tc>
                <w:tcPr>
                  <w:tcW w:w="2371" w:type="pct"/>
                  <w:tcBorders>
                    <w:tl2br w:val="nil"/>
                    <w:tr2bl w:val="nil"/>
                  </w:tcBorders>
                  <w:noWrap w:val="0"/>
                  <w:vAlign w:val="center"/>
                </w:tcPr>
                <w:p w14:paraId="55620EAA">
                  <w:pPr>
                    <w:pStyle w:val="67"/>
                    <w:adjustRightInd w:val="0"/>
                    <w:snapToGrid w:val="0"/>
                    <w:jc w:val="center"/>
                    <w:rPr>
                      <w:rFonts w:hint="default" w:ascii="Times New Roman" w:hAnsi="Times New Roman" w:eastAsia="宋体" w:cs="Times New Roman"/>
                      <w:b w:val="0"/>
                      <w:bCs/>
                      <w:color w:val="auto"/>
                      <w:sz w:val="21"/>
                      <w:szCs w:val="21"/>
                      <w:highlight w:val="none"/>
                      <w:vertAlign w:val="baseline"/>
                      <w:lang w:val="en-US" w:eastAsia="zh-CN"/>
                    </w:rPr>
                  </w:pPr>
                  <w:r>
                    <w:rPr>
                      <w:rFonts w:ascii="Times New Roman" w:hAnsi="Times New Roman"/>
                      <w:color w:val="auto"/>
                      <w:sz w:val="21"/>
                      <w:szCs w:val="21"/>
                    </w:rPr>
                    <w:t>生活垃圾</w:t>
                  </w:r>
                </w:p>
              </w:tc>
            </w:tr>
            <w:tr w14:paraId="093284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pct"/>
                  <w:vMerge w:val="continue"/>
                  <w:tcBorders>
                    <w:tl2br w:val="nil"/>
                    <w:tr2bl w:val="nil"/>
                  </w:tcBorders>
                  <w:noWrap w:val="0"/>
                  <w:vAlign w:val="center"/>
                </w:tcPr>
                <w:p w14:paraId="651D21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541" w:type="pct"/>
                  <w:vMerge w:val="restart"/>
                  <w:tcBorders>
                    <w:tl2br w:val="nil"/>
                    <w:tr2bl w:val="nil"/>
                  </w:tcBorders>
                  <w:noWrap w:val="0"/>
                  <w:vAlign w:val="center"/>
                </w:tcPr>
                <w:p w14:paraId="722FF6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一般</w:t>
                  </w:r>
                </w:p>
                <w:p w14:paraId="693E65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固废</w:t>
                  </w:r>
                </w:p>
              </w:tc>
              <w:tc>
                <w:tcPr>
                  <w:tcW w:w="1372" w:type="pct"/>
                  <w:tcBorders>
                    <w:tl2br w:val="nil"/>
                    <w:tr2bl w:val="nil"/>
                  </w:tcBorders>
                  <w:noWrap w:val="0"/>
                  <w:vAlign w:val="center"/>
                </w:tcPr>
                <w:p w14:paraId="1114A5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检测与包装工序</w:t>
                  </w:r>
                </w:p>
              </w:tc>
              <w:tc>
                <w:tcPr>
                  <w:tcW w:w="2371" w:type="pct"/>
                  <w:tcBorders>
                    <w:tl2br w:val="nil"/>
                    <w:tr2bl w:val="nil"/>
                  </w:tcBorders>
                  <w:noWrap w:val="0"/>
                  <w:vAlign w:val="center"/>
                </w:tcPr>
                <w:p w14:paraId="42C451E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废包装材料</w:t>
                  </w:r>
                  <w:r>
                    <w:rPr>
                      <w:rFonts w:hint="eastAsia" w:ascii="Times New Roman" w:hAnsi="Times New Roman" w:cs="Times New Roman"/>
                      <w:b w:val="0"/>
                      <w:bCs/>
                      <w:color w:val="auto"/>
                      <w:sz w:val="21"/>
                      <w:szCs w:val="21"/>
                      <w:highlight w:val="none"/>
                      <w:vertAlign w:val="baseline"/>
                      <w:lang w:val="en-US" w:eastAsia="zh-CN"/>
                    </w:rPr>
                    <w:t>、</w:t>
                  </w:r>
                  <w:r>
                    <w:rPr>
                      <w:rFonts w:hint="eastAsia" w:ascii="Times New Roman" w:hAnsi="Times New Roman" w:eastAsia="宋体" w:cs="Times New Roman"/>
                      <w:b w:val="0"/>
                      <w:bCs/>
                      <w:color w:val="auto"/>
                      <w:sz w:val="21"/>
                      <w:szCs w:val="21"/>
                      <w:highlight w:val="none"/>
                      <w:vertAlign w:val="baseline"/>
                      <w:lang w:val="en-US" w:eastAsia="zh-CN"/>
                    </w:rPr>
                    <w:t>不合格品</w:t>
                  </w:r>
                </w:p>
              </w:tc>
            </w:tr>
            <w:tr w14:paraId="4E1AC8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pct"/>
                  <w:vMerge w:val="continue"/>
                  <w:tcBorders>
                    <w:tl2br w:val="nil"/>
                    <w:tr2bl w:val="nil"/>
                  </w:tcBorders>
                  <w:noWrap w:val="0"/>
                  <w:vAlign w:val="center"/>
                </w:tcPr>
                <w:p w14:paraId="39930F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p>
              </w:tc>
              <w:tc>
                <w:tcPr>
                  <w:tcW w:w="541" w:type="pct"/>
                  <w:vMerge w:val="continue"/>
                  <w:tcBorders>
                    <w:tl2br w:val="nil"/>
                    <w:tr2bl w:val="nil"/>
                  </w:tcBorders>
                  <w:noWrap w:val="0"/>
                  <w:vAlign w:val="center"/>
                </w:tcPr>
                <w:p w14:paraId="7D0F97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p>
              </w:tc>
              <w:tc>
                <w:tcPr>
                  <w:tcW w:w="1372" w:type="pct"/>
                  <w:tcBorders>
                    <w:tl2br w:val="nil"/>
                    <w:tr2bl w:val="nil"/>
                  </w:tcBorders>
                  <w:noWrap w:val="0"/>
                  <w:vAlign w:val="center"/>
                </w:tcPr>
                <w:p w14:paraId="45DCE7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分切工序</w:t>
                  </w:r>
                </w:p>
              </w:tc>
              <w:tc>
                <w:tcPr>
                  <w:tcW w:w="2371" w:type="pct"/>
                  <w:tcBorders>
                    <w:tl2br w:val="nil"/>
                    <w:tr2bl w:val="nil"/>
                  </w:tcBorders>
                  <w:noWrap w:val="0"/>
                  <w:vAlign w:val="center"/>
                </w:tcPr>
                <w:p w14:paraId="2CBC5A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废边角料</w:t>
                  </w:r>
                </w:p>
              </w:tc>
            </w:tr>
            <w:tr w14:paraId="14067A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pct"/>
                  <w:vMerge w:val="continue"/>
                  <w:tcBorders>
                    <w:tl2br w:val="nil"/>
                    <w:tr2bl w:val="nil"/>
                  </w:tcBorders>
                  <w:noWrap w:val="0"/>
                  <w:vAlign w:val="center"/>
                </w:tcPr>
                <w:p w14:paraId="51555D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541" w:type="pct"/>
                  <w:vMerge w:val="continue"/>
                  <w:tcBorders>
                    <w:tl2br w:val="nil"/>
                    <w:tr2bl w:val="nil"/>
                  </w:tcBorders>
                  <w:noWrap w:val="0"/>
                  <w:vAlign w:val="center"/>
                </w:tcPr>
                <w:p w14:paraId="3CA745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1372" w:type="pct"/>
                  <w:tcBorders>
                    <w:tl2br w:val="nil"/>
                    <w:tr2bl w:val="nil"/>
                  </w:tcBorders>
                  <w:noWrap w:val="0"/>
                  <w:vAlign w:val="center"/>
                </w:tcPr>
                <w:p w14:paraId="5F3965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纯水制备</w:t>
                  </w:r>
                </w:p>
              </w:tc>
              <w:tc>
                <w:tcPr>
                  <w:tcW w:w="2371" w:type="pct"/>
                  <w:tcBorders>
                    <w:tl2br w:val="nil"/>
                    <w:tr2bl w:val="nil"/>
                  </w:tcBorders>
                  <w:noWrap w:val="0"/>
                  <w:vAlign w:val="center"/>
                </w:tcPr>
                <w:p w14:paraId="29982F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废反渗透膜</w:t>
                  </w:r>
                </w:p>
              </w:tc>
            </w:tr>
            <w:tr w14:paraId="057B4E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pct"/>
                  <w:vMerge w:val="continue"/>
                  <w:tcBorders>
                    <w:tl2br w:val="nil"/>
                    <w:tr2bl w:val="nil"/>
                  </w:tcBorders>
                  <w:noWrap w:val="0"/>
                  <w:vAlign w:val="center"/>
                </w:tcPr>
                <w:p w14:paraId="0FF947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541" w:type="pct"/>
                  <w:vMerge w:val="restart"/>
                  <w:tcBorders>
                    <w:tl2br w:val="nil"/>
                    <w:tr2bl w:val="nil"/>
                  </w:tcBorders>
                  <w:noWrap w:val="0"/>
                  <w:vAlign w:val="center"/>
                </w:tcPr>
                <w:p w14:paraId="3F6776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危险废物</w:t>
                  </w:r>
                </w:p>
              </w:tc>
              <w:tc>
                <w:tcPr>
                  <w:tcW w:w="1372" w:type="pct"/>
                  <w:tcBorders>
                    <w:tl2br w:val="nil"/>
                    <w:tr2bl w:val="nil"/>
                  </w:tcBorders>
                  <w:noWrap w:val="0"/>
                  <w:vAlign w:val="center"/>
                </w:tcPr>
                <w:p w14:paraId="18B584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溶液配制工序</w:t>
                  </w:r>
                </w:p>
              </w:tc>
              <w:tc>
                <w:tcPr>
                  <w:tcW w:w="2371" w:type="pct"/>
                  <w:tcBorders>
                    <w:tl2br w:val="nil"/>
                    <w:tr2bl w:val="nil"/>
                  </w:tcBorders>
                  <w:noWrap w:val="0"/>
                  <w:vAlign w:val="center"/>
                </w:tcPr>
                <w:p w14:paraId="51EC84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color w:val="auto"/>
                      <w:sz w:val="21"/>
                      <w:szCs w:val="21"/>
                    </w:rPr>
                    <w:t>废液、废试剂瓶</w:t>
                  </w:r>
                </w:p>
              </w:tc>
            </w:tr>
            <w:tr w14:paraId="5C68CB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pct"/>
                  <w:vMerge w:val="continue"/>
                  <w:tcBorders>
                    <w:tl2br w:val="nil"/>
                    <w:tr2bl w:val="nil"/>
                  </w:tcBorders>
                  <w:noWrap w:val="0"/>
                  <w:vAlign w:val="center"/>
                </w:tcPr>
                <w:p w14:paraId="177CDA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541" w:type="pct"/>
                  <w:vMerge w:val="continue"/>
                  <w:tcBorders>
                    <w:tl2br w:val="nil"/>
                    <w:tr2bl w:val="nil"/>
                  </w:tcBorders>
                  <w:noWrap w:val="0"/>
                  <w:vAlign w:val="center"/>
                </w:tcPr>
                <w:p w14:paraId="6E87F6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p>
              </w:tc>
              <w:tc>
                <w:tcPr>
                  <w:tcW w:w="1372" w:type="pct"/>
                  <w:tcBorders>
                    <w:tl2br w:val="nil"/>
                    <w:tr2bl w:val="nil"/>
                  </w:tcBorders>
                  <w:noWrap w:val="0"/>
                  <w:vAlign w:val="center"/>
                </w:tcPr>
                <w:p w14:paraId="41B50141">
                  <w:pPr>
                    <w:pStyle w:val="67"/>
                    <w:adjustRightInd w:val="0"/>
                    <w:snapToGrid w:val="0"/>
                    <w:ind w:left="125" w:leftChars="0" w:right="120" w:rightChars="0"/>
                    <w:jc w:val="center"/>
                    <w:rPr>
                      <w:rFonts w:hint="eastAsia" w:ascii="Times New Roman" w:hAnsi="Times New Roman"/>
                      <w:color w:val="auto"/>
                      <w:kern w:val="0"/>
                      <w:sz w:val="21"/>
                      <w:szCs w:val="21"/>
                      <w:lang w:val="en-US" w:eastAsia="zh-CN" w:bidi="ar-SA"/>
                    </w:rPr>
                  </w:pPr>
                  <w:r>
                    <w:rPr>
                      <w:rFonts w:hint="eastAsia" w:ascii="Times New Roman" w:hAnsi="Times New Roman"/>
                      <w:color w:val="auto"/>
                      <w:sz w:val="21"/>
                      <w:szCs w:val="21"/>
                    </w:rPr>
                    <w:t>废气处理</w:t>
                  </w:r>
                </w:p>
              </w:tc>
              <w:tc>
                <w:tcPr>
                  <w:tcW w:w="2371" w:type="pct"/>
                  <w:tcBorders>
                    <w:tl2br w:val="nil"/>
                    <w:tr2bl w:val="nil"/>
                  </w:tcBorders>
                  <w:noWrap w:val="0"/>
                  <w:vAlign w:val="center"/>
                </w:tcPr>
                <w:p w14:paraId="40C68DC0">
                  <w:pPr>
                    <w:pStyle w:val="67"/>
                    <w:adjustRightInd w:val="0"/>
                    <w:snapToGrid w:val="0"/>
                    <w:jc w:val="center"/>
                    <w:rPr>
                      <w:rFonts w:hint="eastAsia" w:ascii="Times New Roman" w:hAnsi="Times New Roman"/>
                      <w:color w:val="auto"/>
                      <w:kern w:val="0"/>
                      <w:sz w:val="21"/>
                      <w:szCs w:val="21"/>
                      <w:lang w:val="en-US" w:eastAsia="zh-CN" w:bidi="ar-SA"/>
                    </w:rPr>
                  </w:pPr>
                  <w:r>
                    <w:rPr>
                      <w:rFonts w:hint="eastAsia" w:ascii="Times New Roman" w:hAnsi="Times New Roman"/>
                      <w:color w:val="auto"/>
                      <w:sz w:val="21"/>
                      <w:szCs w:val="21"/>
                    </w:rPr>
                    <w:t>废活性炭</w:t>
                  </w:r>
                </w:p>
              </w:tc>
            </w:tr>
          </w:tbl>
          <w:p w14:paraId="7D6D9AD5">
            <w:pPr>
              <w:numPr>
                <w:ilvl w:val="0"/>
                <w:numId w:val="0"/>
              </w:numPr>
              <w:adjustRightInd w:val="0"/>
              <w:snapToGrid w:val="0"/>
              <w:spacing w:line="360" w:lineRule="auto"/>
              <w:jc w:val="center"/>
              <w:rPr>
                <w:rFonts w:hint="default" w:ascii="Times New Roman" w:hAnsi="Times New Roman" w:eastAsia="宋体" w:cs="Times New Roman"/>
                <w:b/>
                <w:bCs w:val="0"/>
                <w:color w:val="auto"/>
                <w:sz w:val="24"/>
                <w:szCs w:val="24"/>
                <w:lang w:val="en-US" w:eastAsia="zh-CN"/>
              </w:rPr>
            </w:pPr>
          </w:p>
        </w:tc>
      </w:tr>
      <w:tr w14:paraId="3BAC52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8" w:hRule="atLeast"/>
          <w:jc w:val="center"/>
        </w:trPr>
        <w:tc>
          <w:tcPr>
            <w:tcW w:w="446" w:type="dxa"/>
            <w:noWrap w:val="0"/>
            <w:vAlign w:val="center"/>
          </w:tcPr>
          <w:p w14:paraId="1A28D1D2">
            <w:pPr>
              <w:pStyle w:val="23"/>
              <w:adjustRightInd w:val="0"/>
              <w:snapToGrid w:val="0"/>
              <w:spacing w:before="0" w:beforeAutospacing="0" w:after="0" w:afterAutospacing="0"/>
              <w:jc w:val="center"/>
              <w:rPr>
                <w:rFonts w:hint="default" w:ascii="Times New Roman" w:hAnsi="Times New Roman" w:cs="Times New Roman"/>
                <w:b/>
                <w:bCs/>
                <w:color w:val="auto"/>
                <w:sz w:val="24"/>
                <w:szCs w:val="24"/>
              </w:rPr>
            </w:pPr>
            <w:r>
              <w:rPr>
                <w:rFonts w:hint="default" w:ascii="Times New Roman" w:hAnsi="Times New Roman" w:cs="Times New Roman"/>
                <w:b w:val="0"/>
                <w:bCs w:val="0"/>
                <w:color w:val="auto"/>
                <w:kern w:val="2"/>
                <w:sz w:val="24"/>
                <w:szCs w:val="24"/>
              </w:rPr>
              <w:t>与项目有关的原有环境污染问题</w:t>
            </w:r>
          </w:p>
        </w:tc>
        <w:tc>
          <w:tcPr>
            <w:tcW w:w="8538" w:type="dxa"/>
            <w:noWrap w:val="0"/>
            <w:vAlign w:val="center"/>
          </w:tcPr>
          <w:p w14:paraId="3F0F4599">
            <w:pPr>
              <w:pStyle w:val="5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48" w:lineRule="auto"/>
              <w:ind w:leftChars="0" w:right="0" w:rightChars="0" w:firstLine="480" w:firstLineChars="200"/>
              <w:jc w:val="both"/>
              <w:textAlignment w:val="auto"/>
              <w:rPr>
                <w:rFonts w:hint="default" w:ascii="Times New Roman" w:hAnsi="Times New Roman" w:cs="Times New Roman"/>
                <w:bCs/>
                <w:color w:val="auto"/>
                <w:sz w:val="24"/>
                <w:szCs w:val="24"/>
              </w:rPr>
            </w:pPr>
            <w:r>
              <w:rPr>
                <w:rFonts w:hint="default" w:ascii="Times New Roman" w:hAnsi="Times New Roman" w:eastAsia="宋体" w:cs="Times New Roman"/>
                <w:b w:val="0"/>
                <w:bCs w:val="0"/>
                <w:color w:val="auto"/>
                <w:sz w:val="24"/>
                <w:szCs w:val="24"/>
                <w:lang w:val="en-US" w:eastAsia="zh-CN" w:bidi="ar-SA"/>
              </w:rPr>
              <w:t>本项目位于</w:t>
            </w:r>
            <w:r>
              <w:rPr>
                <w:rFonts w:hint="eastAsia" w:ascii="Times New Roman" w:hAnsi="Times New Roman" w:eastAsia="宋体" w:cs="Times New Roman"/>
                <w:b w:val="0"/>
                <w:bCs w:val="0"/>
                <w:color w:val="auto"/>
                <w:sz w:val="24"/>
                <w:szCs w:val="24"/>
                <w:lang w:val="en-US" w:eastAsia="zh-CN" w:bidi="ar-SA"/>
              </w:rPr>
              <w:t>陕西省西咸新区泾河新城永乐镇泾河智造创新产业园18#3层</w:t>
            </w:r>
            <w:r>
              <w:rPr>
                <w:rFonts w:hint="default" w:ascii="Times New Roman" w:hAnsi="Times New Roman" w:cs="Times New Roman"/>
                <w:b w:val="0"/>
                <w:bCs w:val="0"/>
                <w:color w:val="auto"/>
                <w:sz w:val="24"/>
                <w:szCs w:val="24"/>
                <w:lang w:val="en-US" w:eastAsia="zh-CN" w:bidi="ar-SA"/>
              </w:rPr>
              <w:t>，属于新建项目。</w:t>
            </w:r>
            <w:r>
              <w:rPr>
                <w:rFonts w:hint="default" w:ascii="Times New Roman" w:hAnsi="Times New Roman" w:eastAsia="宋体" w:cs="Times New Roman"/>
                <w:b w:val="0"/>
                <w:bCs w:val="0"/>
                <w:color w:val="auto"/>
                <w:sz w:val="24"/>
                <w:szCs w:val="24"/>
                <w:lang w:val="en-US" w:eastAsia="zh-CN" w:bidi="ar-SA"/>
              </w:rPr>
              <w:t>根据现场勘查，</w:t>
            </w:r>
            <w:r>
              <w:rPr>
                <w:rFonts w:hint="default" w:ascii="Times New Roman" w:hAnsi="Times New Roman" w:cs="Times New Roman"/>
                <w:b w:val="0"/>
                <w:bCs w:val="0"/>
                <w:color w:val="auto"/>
                <w:sz w:val="24"/>
                <w:szCs w:val="24"/>
                <w:lang w:val="en-US" w:eastAsia="zh-CN" w:bidi="ar-SA"/>
              </w:rPr>
              <w:t>该厂房为标准化厂房，一直处于闲置状态，未进行任何生产活动，</w:t>
            </w:r>
            <w:r>
              <w:rPr>
                <w:rFonts w:hint="default" w:ascii="Times New Roman" w:hAnsi="Times New Roman" w:eastAsia="宋体" w:cs="Times New Roman"/>
                <w:b w:val="0"/>
                <w:bCs w:val="0"/>
                <w:color w:val="auto"/>
                <w:sz w:val="24"/>
                <w:szCs w:val="24"/>
                <w:lang w:val="en-US" w:eastAsia="zh-CN" w:bidi="ar-SA"/>
              </w:rPr>
              <w:t>原地面已做硬化，不存在与项目有关的原有环境污染问题</w:t>
            </w:r>
            <w:r>
              <w:rPr>
                <w:rFonts w:hint="default" w:ascii="Times New Roman" w:hAnsi="Times New Roman" w:eastAsia="宋体" w:cs="Times New Roman"/>
                <w:b w:val="0"/>
                <w:bCs w:val="0"/>
                <w:color w:val="auto"/>
                <w:sz w:val="24"/>
                <w:szCs w:val="24"/>
                <w:lang w:val="zh-CN" w:eastAsia="zh-CN" w:bidi="ar-SA"/>
              </w:rPr>
              <w:t>。</w:t>
            </w:r>
          </w:p>
        </w:tc>
      </w:tr>
    </w:tbl>
    <w:p w14:paraId="783ED34E">
      <w:pPr>
        <w:pStyle w:val="23"/>
        <w:jc w:val="center"/>
        <w:rPr>
          <w:rFonts w:hint="default" w:ascii="Times New Roman" w:hAnsi="Times New Roman" w:eastAsia="黑体" w:cs="Times New Roman"/>
          <w:snapToGrid w:val="0"/>
          <w:sz w:val="36"/>
          <w:szCs w:val="36"/>
        </w:rPr>
        <w:sectPr>
          <w:footerReference r:id="rId6"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3D4EB14D">
      <w:pPr>
        <w:pStyle w:val="23"/>
        <w:jc w:val="center"/>
        <w:outlineLvl w:val="0"/>
        <w:rPr>
          <w:rFonts w:hint="default" w:ascii="Times New Roman" w:hAnsi="Times New Roman" w:eastAsia="黑体" w:cs="Times New Roman"/>
          <w:snapToGrid w:val="0"/>
          <w:sz w:val="30"/>
          <w:szCs w:val="30"/>
        </w:rPr>
      </w:pPr>
      <w:bookmarkStart w:id="7" w:name="_Toc31726"/>
      <w:r>
        <w:rPr>
          <w:rFonts w:hint="default" w:ascii="Times New Roman" w:hAnsi="Times New Roman" w:eastAsia="黑体" w:cs="Times New Roman"/>
          <w:snapToGrid w:val="0"/>
          <w:sz w:val="30"/>
          <w:szCs w:val="30"/>
        </w:rPr>
        <w:t>三、区域环境质量现状、环境保护目标及评价标准</w:t>
      </w:r>
      <w:bookmarkEnd w:id="7"/>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64"/>
        <w:gridCol w:w="8526"/>
      </w:tblGrid>
      <w:tr w14:paraId="48F092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8" w:hRule="atLeast"/>
          <w:jc w:val="center"/>
        </w:trPr>
        <w:tc>
          <w:tcPr>
            <w:tcW w:w="464" w:type="dxa"/>
            <w:noWrap w:val="0"/>
            <w:vAlign w:val="center"/>
          </w:tcPr>
          <w:p w14:paraId="2277724F">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区域</w:t>
            </w:r>
          </w:p>
          <w:p w14:paraId="0036D8F3">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环境</w:t>
            </w:r>
          </w:p>
          <w:p w14:paraId="6A4AB751">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质量</w:t>
            </w:r>
          </w:p>
          <w:p w14:paraId="75EBCADC">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现状</w:t>
            </w:r>
          </w:p>
        </w:tc>
        <w:tc>
          <w:tcPr>
            <w:tcW w:w="8526" w:type="dxa"/>
            <w:noWrap w:val="0"/>
            <w:vAlign w:val="top"/>
          </w:tcPr>
          <w:p w14:paraId="03F0EBDA">
            <w:pPr>
              <w:numPr>
                <w:ilvl w:val="0"/>
                <w:numId w:val="6"/>
              </w:numPr>
              <w:adjustRightInd w:val="0"/>
              <w:snapToGrid w:val="0"/>
              <w:spacing w:line="360" w:lineRule="auto"/>
              <w:jc w:val="left"/>
              <w:rPr>
                <w:rFonts w:hint="default" w:ascii="Times New Roman" w:hAnsi="Times New Roman" w:cs="Times New Roman"/>
                <w:b/>
                <w:bCs/>
                <w:kern w:val="0"/>
                <w:sz w:val="24"/>
                <w:szCs w:val="24"/>
                <w:lang w:val="en-US" w:eastAsia="zh-CN"/>
              </w:rPr>
            </w:pPr>
            <w:r>
              <w:rPr>
                <w:rFonts w:hint="default" w:ascii="Times New Roman" w:hAnsi="Times New Roman" w:cs="Times New Roman"/>
                <w:b/>
                <w:bCs/>
                <w:kern w:val="0"/>
                <w:sz w:val="24"/>
                <w:szCs w:val="24"/>
                <w:lang w:val="en-US" w:eastAsia="zh-CN"/>
              </w:rPr>
              <w:t>大气环境质量现状</w:t>
            </w:r>
          </w:p>
          <w:p w14:paraId="05F4FA9C">
            <w:pPr>
              <w:spacing w:line="360" w:lineRule="auto"/>
              <w:ind w:firstLine="480" w:firstLineChars="200"/>
              <w:rPr>
                <w:sz w:val="24"/>
              </w:rPr>
            </w:pPr>
            <w:r>
              <w:rPr>
                <w:rFonts w:hint="eastAsia"/>
                <w:sz w:val="24"/>
              </w:rPr>
              <w:t>（1）常规污染物环境质量现状</w:t>
            </w:r>
          </w:p>
          <w:p w14:paraId="63D32532">
            <w:pPr>
              <w:spacing w:line="360" w:lineRule="auto"/>
              <w:ind w:firstLine="480" w:firstLineChars="200"/>
              <w:rPr>
                <w:sz w:val="24"/>
              </w:rPr>
            </w:pPr>
            <w:r>
              <w:rPr>
                <w:rFonts w:hint="eastAsia"/>
                <w:sz w:val="24"/>
              </w:rPr>
              <w:t>根据陕西省生态环境厅公布的《环保快报2024年12月及1~12月全省环境空气质量状况》进行评价。本评价选用2024年1~12月关中地区63个县（区）空气质量状况统计表中西咸新区的数据对该区域基本污染物环境质量现状进行评价。</w:t>
            </w:r>
          </w:p>
          <w:p w14:paraId="784FBE4B">
            <w:pPr>
              <w:pStyle w:val="65"/>
              <w:numPr>
                <w:ilvl w:val="0"/>
                <w:numId w:val="0"/>
              </w:numPr>
              <w:rPr>
                <w:szCs w:val="24"/>
              </w:rPr>
            </w:pPr>
            <w:r>
              <w:rPr>
                <w:rFonts w:hAnsi="宋体"/>
                <w:szCs w:val="24"/>
              </w:rPr>
              <w:t>表</w:t>
            </w:r>
            <w:r>
              <w:rPr>
                <w:rFonts w:hint="eastAsia"/>
                <w:szCs w:val="24"/>
              </w:rPr>
              <w:t>3</w:t>
            </w:r>
            <w:r>
              <w:rPr>
                <w:szCs w:val="24"/>
              </w:rPr>
              <w:t xml:space="preserve">-1   </w:t>
            </w:r>
            <w:r>
              <w:rPr>
                <w:rFonts w:hAnsi="宋体"/>
                <w:szCs w:val="24"/>
              </w:rPr>
              <w:t>区域空气环境质量现状评价表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6"/>
              <w:gridCol w:w="2542"/>
              <w:gridCol w:w="1300"/>
              <w:gridCol w:w="1242"/>
              <w:gridCol w:w="1194"/>
              <w:gridCol w:w="1046"/>
            </w:tblGrid>
            <w:tr w14:paraId="57C353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3" w:type="pct"/>
                  <w:tcBorders>
                    <w:tl2br w:val="nil"/>
                    <w:tr2bl w:val="nil"/>
                  </w:tcBorders>
                  <w:noWrap w:val="0"/>
                  <w:vAlign w:val="center"/>
                </w:tcPr>
                <w:p w14:paraId="3C0399A7">
                  <w:pPr>
                    <w:jc w:val="center"/>
                    <w:rPr>
                      <w:b/>
                      <w:bCs/>
                      <w:szCs w:val="21"/>
                    </w:rPr>
                  </w:pPr>
                  <w:r>
                    <w:rPr>
                      <w:b/>
                      <w:bCs/>
                      <w:szCs w:val="21"/>
                    </w:rPr>
                    <w:t>污染物</w:t>
                  </w:r>
                </w:p>
              </w:tc>
              <w:tc>
                <w:tcPr>
                  <w:tcW w:w="1529" w:type="pct"/>
                  <w:tcBorders>
                    <w:tl2br w:val="nil"/>
                    <w:tr2bl w:val="nil"/>
                  </w:tcBorders>
                  <w:noWrap w:val="0"/>
                  <w:vAlign w:val="center"/>
                </w:tcPr>
                <w:p w14:paraId="5167A8DC">
                  <w:pPr>
                    <w:jc w:val="center"/>
                    <w:rPr>
                      <w:b/>
                      <w:bCs/>
                      <w:szCs w:val="21"/>
                    </w:rPr>
                  </w:pPr>
                  <w:r>
                    <w:rPr>
                      <w:b/>
                      <w:bCs/>
                      <w:szCs w:val="21"/>
                    </w:rPr>
                    <w:t>年评价指标</w:t>
                  </w:r>
                </w:p>
              </w:tc>
              <w:tc>
                <w:tcPr>
                  <w:tcW w:w="782" w:type="pct"/>
                  <w:tcBorders>
                    <w:tl2br w:val="nil"/>
                    <w:tr2bl w:val="nil"/>
                  </w:tcBorders>
                  <w:noWrap w:val="0"/>
                  <w:vAlign w:val="center"/>
                </w:tcPr>
                <w:p w14:paraId="52386B33">
                  <w:pPr>
                    <w:jc w:val="center"/>
                    <w:rPr>
                      <w:b/>
                      <w:bCs/>
                      <w:szCs w:val="21"/>
                    </w:rPr>
                  </w:pPr>
                  <w:r>
                    <w:rPr>
                      <w:b/>
                      <w:bCs/>
                      <w:szCs w:val="21"/>
                    </w:rPr>
                    <w:t>现状浓度（μg/m</w:t>
                  </w:r>
                  <w:r>
                    <w:rPr>
                      <w:b/>
                      <w:bCs/>
                      <w:szCs w:val="21"/>
                      <w:vertAlign w:val="superscript"/>
                    </w:rPr>
                    <w:t>3</w:t>
                  </w:r>
                  <w:r>
                    <w:rPr>
                      <w:b/>
                      <w:bCs/>
                      <w:szCs w:val="21"/>
                    </w:rPr>
                    <w:t>）</w:t>
                  </w:r>
                </w:p>
              </w:tc>
              <w:tc>
                <w:tcPr>
                  <w:tcW w:w="747" w:type="pct"/>
                  <w:tcBorders>
                    <w:tl2br w:val="nil"/>
                    <w:tr2bl w:val="nil"/>
                  </w:tcBorders>
                  <w:noWrap w:val="0"/>
                  <w:vAlign w:val="center"/>
                </w:tcPr>
                <w:p w14:paraId="5535F10A">
                  <w:pPr>
                    <w:jc w:val="center"/>
                    <w:rPr>
                      <w:b/>
                      <w:bCs/>
                      <w:szCs w:val="21"/>
                    </w:rPr>
                  </w:pPr>
                  <w:r>
                    <w:rPr>
                      <w:b/>
                      <w:bCs/>
                      <w:szCs w:val="21"/>
                    </w:rPr>
                    <w:t>标准值（μg/m</w:t>
                  </w:r>
                  <w:r>
                    <w:rPr>
                      <w:b/>
                      <w:bCs/>
                      <w:szCs w:val="21"/>
                      <w:vertAlign w:val="superscript"/>
                    </w:rPr>
                    <w:t>3</w:t>
                  </w:r>
                  <w:r>
                    <w:rPr>
                      <w:b/>
                      <w:bCs/>
                      <w:szCs w:val="21"/>
                    </w:rPr>
                    <w:t>）</w:t>
                  </w:r>
                </w:p>
              </w:tc>
              <w:tc>
                <w:tcPr>
                  <w:tcW w:w="718" w:type="pct"/>
                  <w:tcBorders>
                    <w:tl2br w:val="nil"/>
                    <w:tr2bl w:val="nil"/>
                  </w:tcBorders>
                  <w:noWrap w:val="0"/>
                  <w:vAlign w:val="center"/>
                </w:tcPr>
                <w:p w14:paraId="26973B4A">
                  <w:pPr>
                    <w:jc w:val="center"/>
                    <w:rPr>
                      <w:b/>
                      <w:bCs/>
                      <w:szCs w:val="21"/>
                    </w:rPr>
                  </w:pPr>
                  <w:r>
                    <w:rPr>
                      <w:b/>
                      <w:bCs/>
                      <w:szCs w:val="21"/>
                    </w:rPr>
                    <w:t>占标率</w:t>
                  </w:r>
                </w:p>
              </w:tc>
              <w:tc>
                <w:tcPr>
                  <w:tcW w:w="629" w:type="pct"/>
                  <w:tcBorders>
                    <w:tl2br w:val="nil"/>
                    <w:tr2bl w:val="nil"/>
                  </w:tcBorders>
                  <w:noWrap w:val="0"/>
                  <w:vAlign w:val="center"/>
                </w:tcPr>
                <w:p w14:paraId="5675304F">
                  <w:pPr>
                    <w:jc w:val="center"/>
                    <w:rPr>
                      <w:b/>
                      <w:bCs/>
                      <w:szCs w:val="21"/>
                    </w:rPr>
                  </w:pPr>
                  <w:r>
                    <w:rPr>
                      <w:b/>
                      <w:bCs/>
                      <w:szCs w:val="21"/>
                    </w:rPr>
                    <w:t>达标</w:t>
                  </w:r>
                </w:p>
                <w:p w14:paraId="5D571527">
                  <w:pPr>
                    <w:jc w:val="center"/>
                    <w:rPr>
                      <w:b/>
                      <w:bCs/>
                      <w:szCs w:val="21"/>
                    </w:rPr>
                  </w:pPr>
                  <w:r>
                    <w:rPr>
                      <w:b/>
                      <w:bCs/>
                      <w:szCs w:val="21"/>
                    </w:rPr>
                    <w:t>情况</w:t>
                  </w:r>
                </w:p>
              </w:tc>
            </w:tr>
            <w:tr w14:paraId="6C866D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3" w:type="pct"/>
                  <w:tcBorders>
                    <w:tl2br w:val="nil"/>
                    <w:tr2bl w:val="nil"/>
                  </w:tcBorders>
                  <w:noWrap w:val="0"/>
                  <w:vAlign w:val="center"/>
                </w:tcPr>
                <w:p w14:paraId="54C89D85">
                  <w:pPr>
                    <w:jc w:val="center"/>
                    <w:rPr>
                      <w:szCs w:val="21"/>
                    </w:rPr>
                  </w:pPr>
                  <w:r>
                    <w:rPr>
                      <w:szCs w:val="21"/>
                    </w:rPr>
                    <w:t>SO</w:t>
                  </w:r>
                  <w:r>
                    <w:rPr>
                      <w:szCs w:val="21"/>
                      <w:vertAlign w:val="subscript"/>
                    </w:rPr>
                    <w:t>2</w:t>
                  </w:r>
                </w:p>
              </w:tc>
              <w:tc>
                <w:tcPr>
                  <w:tcW w:w="1529" w:type="pct"/>
                  <w:tcBorders>
                    <w:tl2br w:val="nil"/>
                    <w:tr2bl w:val="nil"/>
                  </w:tcBorders>
                  <w:noWrap w:val="0"/>
                  <w:vAlign w:val="center"/>
                </w:tcPr>
                <w:p w14:paraId="7B49D6C2">
                  <w:pPr>
                    <w:jc w:val="center"/>
                    <w:rPr>
                      <w:szCs w:val="21"/>
                    </w:rPr>
                  </w:pPr>
                  <w:r>
                    <w:rPr>
                      <w:szCs w:val="21"/>
                    </w:rPr>
                    <w:t>年平均质量浓度</w:t>
                  </w:r>
                </w:p>
              </w:tc>
              <w:tc>
                <w:tcPr>
                  <w:tcW w:w="782" w:type="pct"/>
                  <w:tcBorders>
                    <w:tl2br w:val="nil"/>
                    <w:tr2bl w:val="nil"/>
                  </w:tcBorders>
                  <w:noWrap w:val="0"/>
                  <w:vAlign w:val="center"/>
                </w:tcPr>
                <w:p w14:paraId="69ED4FB0">
                  <w:pPr>
                    <w:jc w:val="center"/>
                    <w:rPr>
                      <w:szCs w:val="21"/>
                    </w:rPr>
                  </w:pPr>
                  <w:r>
                    <w:rPr>
                      <w:rFonts w:hint="eastAsia"/>
                      <w:szCs w:val="21"/>
                    </w:rPr>
                    <w:t>5</w:t>
                  </w:r>
                </w:p>
              </w:tc>
              <w:tc>
                <w:tcPr>
                  <w:tcW w:w="747" w:type="pct"/>
                  <w:tcBorders>
                    <w:tl2br w:val="nil"/>
                    <w:tr2bl w:val="nil"/>
                  </w:tcBorders>
                  <w:noWrap w:val="0"/>
                  <w:vAlign w:val="center"/>
                </w:tcPr>
                <w:p w14:paraId="4395A6DB">
                  <w:pPr>
                    <w:jc w:val="center"/>
                    <w:rPr>
                      <w:szCs w:val="21"/>
                    </w:rPr>
                  </w:pPr>
                  <w:r>
                    <w:rPr>
                      <w:szCs w:val="21"/>
                    </w:rPr>
                    <w:t>60</w:t>
                  </w:r>
                </w:p>
              </w:tc>
              <w:tc>
                <w:tcPr>
                  <w:tcW w:w="718" w:type="pct"/>
                  <w:tcBorders>
                    <w:tl2br w:val="nil"/>
                    <w:tr2bl w:val="nil"/>
                  </w:tcBorders>
                  <w:noWrap w:val="0"/>
                  <w:vAlign w:val="center"/>
                </w:tcPr>
                <w:p w14:paraId="5D489D75">
                  <w:pPr>
                    <w:widowControl/>
                    <w:jc w:val="center"/>
                    <w:textAlignment w:val="center"/>
                    <w:rPr>
                      <w:szCs w:val="21"/>
                    </w:rPr>
                  </w:pPr>
                  <w:r>
                    <w:rPr>
                      <w:rFonts w:hint="eastAsia"/>
                      <w:szCs w:val="21"/>
                    </w:rPr>
                    <w:t>8.33</w:t>
                  </w:r>
                  <w:r>
                    <w:rPr>
                      <w:szCs w:val="21"/>
                    </w:rPr>
                    <w:t>%</w:t>
                  </w:r>
                </w:p>
              </w:tc>
              <w:tc>
                <w:tcPr>
                  <w:tcW w:w="629" w:type="pct"/>
                  <w:tcBorders>
                    <w:tl2br w:val="nil"/>
                    <w:tr2bl w:val="nil"/>
                  </w:tcBorders>
                  <w:noWrap w:val="0"/>
                  <w:vAlign w:val="center"/>
                </w:tcPr>
                <w:p w14:paraId="16E6F751">
                  <w:pPr>
                    <w:jc w:val="center"/>
                    <w:rPr>
                      <w:szCs w:val="21"/>
                    </w:rPr>
                  </w:pPr>
                  <w:r>
                    <w:rPr>
                      <w:szCs w:val="21"/>
                    </w:rPr>
                    <w:t>达标</w:t>
                  </w:r>
                </w:p>
              </w:tc>
            </w:tr>
            <w:tr w14:paraId="39D08B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3" w:type="pct"/>
                  <w:tcBorders>
                    <w:tl2br w:val="nil"/>
                    <w:tr2bl w:val="nil"/>
                  </w:tcBorders>
                  <w:noWrap w:val="0"/>
                  <w:vAlign w:val="center"/>
                </w:tcPr>
                <w:p w14:paraId="38671330">
                  <w:pPr>
                    <w:jc w:val="center"/>
                    <w:rPr>
                      <w:szCs w:val="21"/>
                    </w:rPr>
                  </w:pPr>
                  <w:r>
                    <w:rPr>
                      <w:szCs w:val="21"/>
                    </w:rPr>
                    <w:t>NO</w:t>
                  </w:r>
                  <w:r>
                    <w:rPr>
                      <w:szCs w:val="21"/>
                      <w:vertAlign w:val="subscript"/>
                    </w:rPr>
                    <w:t>2</w:t>
                  </w:r>
                </w:p>
              </w:tc>
              <w:tc>
                <w:tcPr>
                  <w:tcW w:w="1529" w:type="pct"/>
                  <w:tcBorders>
                    <w:tl2br w:val="nil"/>
                    <w:tr2bl w:val="nil"/>
                  </w:tcBorders>
                  <w:noWrap w:val="0"/>
                  <w:vAlign w:val="center"/>
                </w:tcPr>
                <w:p w14:paraId="5379B878">
                  <w:pPr>
                    <w:jc w:val="center"/>
                    <w:rPr>
                      <w:szCs w:val="21"/>
                    </w:rPr>
                  </w:pPr>
                  <w:r>
                    <w:rPr>
                      <w:szCs w:val="21"/>
                    </w:rPr>
                    <w:t>年平均质量浓度</w:t>
                  </w:r>
                </w:p>
              </w:tc>
              <w:tc>
                <w:tcPr>
                  <w:tcW w:w="782" w:type="pct"/>
                  <w:tcBorders>
                    <w:tl2br w:val="nil"/>
                    <w:tr2bl w:val="nil"/>
                  </w:tcBorders>
                  <w:noWrap w:val="0"/>
                  <w:vAlign w:val="center"/>
                </w:tcPr>
                <w:p w14:paraId="5E2C2179">
                  <w:pPr>
                    <w:jc w:val="center"/>
                    <w:rPr>
                      <w:szCs w:val="21"/>
                    </w:rPr>
                  </w:pPr>
                  <w:r>
                    <w:rPr>
                      <w:rFonts w:hint="eastAsia"/>
                      <w:szCs w:val="21"/>
                    </w:rPr>
                    <w:t>31</w:t>
                  </w:r>
                </w:p>
              </w:tc>
              <w:tc>
                <w:tcPr>
                  <w:tcW w:w="747" w:type="pct"/>
                  <w:tcBorders>
                    <w:tl2br w:val="nil"/>
                    <w:tr2bl w:val="nil"/>
                  </w:tcBorders>
                  <w:noWrap w:val="0"/>
                  <w:vAlign w:val="center"/>
                </w:tcPr>
                <w:p w14:paraId="0993A64A">
                  <w:pPr>
                    <w:jc w:val="center"/>
                    <w:rPr>
                      <w:szCs w:val="21"/>
                    </w:rPr>
                  </w:pPr>
                  <w:r>
                    <w:rPr>
                      <w:szCs w:val="21"/>
                    </w:rPr>
                    <w:t>40</w:t>
                  </w:r>
                </w:p>
              </w:tc>
              <w:tc>
                <w:tcPr>
                  <w:tcW w:w="718" w:type="pct"/>
                  <w:tcBorders>
                    <w:tl2br w:val="nil"/>
                    <w:tr2bl w:val="nil"/>
                  </w:tcBorders>
                  <w:noWrap w:val="0"/>
                  <w:vAlign w:val="center"/>
                </w:tcPr>
                <w:p w14:paraId="41B53B29">
                  <w:pPr>
                    <w:widowControl/>
                    <w:jc w:val="center"/>
                    <w:textAlignment w:val="center"/>
                    <w:rPr>
                      <w:szCs w:val="21"/>
                    </w:rPr>
                  </w:pPr>
                  <w:r>
                    <w:rPr>
                      <w:rFonts w:hint="eastAsia"/>
                      <w:szCs w:val="21"/>
                    </w:rPr>
                    <w:t>77.5</w:t>
                  </w:r>
                  <w:r>
                    <w:rPr>
                      <w:szCs w:val="21"/>
                    </w:rPr>
                    <w:t>%</w:t>
                  </w:r>
                </w:p>
              </w:tc>
              <w:tc>
                <w:tcPr>
                  <w:tcW w:w="629" w:type="pct"/>
                  <w:tcBorders>
                    <w:tl2br w:val="nil"/>
                    <w:tr2bl w:val="nil"/>
                  </w:tcBorders>
                  <w:noWrap w:val="0"/>
                  <w:vAlign w:val="center"/>
                </w:tcPr>
                <w:p w14:paraId="4F0B42DC">
                  <w:pPr>
                    <w:jc w:val="center"/>
                    <w:rPr>
                      <w:szCs w:val="21"/>
                    </w:rPr>
                  </w:pPr>
                  <w:r>
                    <w:rPr>
                      <w:szCs w:val="21"/>
                    </w:rPr>
                    <w:t>达标</w:t>
                  </w:r>
                </w:p>
              </w:tc>
            </w:tr>
            <w:tr w14:paraId="595753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3" w:type="pct"/>
                  <w:tcBorders>
                    <w:tl2br w:val="nil"/>
                    <w:tr2bl w:val="nil"/>
                  </w:tcBorders>
                  <w:noWrap w:val="0"/>
                  <w:vAlign w:val="center"/>
                </w:tcPr>
                <w:p w14:paraId="02F85271">
                  <w:pPr>
                    <w:jc w:val="center"/>
                    <w:rPr>
                      <w:szCs w:val="21"/>
                    </w:rPr>
                  </w:pPr>
                  <w:r>
                    <w:rPr>
                      <w:szCs w:val="21"/>
                    </w:rPr>
                    <w:t>CO</w:t>
                  </w:r>
                </w:p>
              </w:tc>
              <w:tc>
                <w:tcPr>
                  <w:tcW w:w="1529" w:type="pct"/>
                  <w:tcBorders>
                    <w:tl2br w:val="nil"/>
                    <w:tr2bl w:val="nil"/>
                  </w:tcBorders>
                  <w:noWrap w:val="0"/>
                  <w:vAlign w:val="center"/>
                </w:tcPr>
                <w:p w14:paraId="281BEB93">
                  <w:pPr>
                    <w:jc w:val="center"/>
                    <w:rPr>
                      <w:szCs w:val="21"/>
                    </w:rPr>
                  </w:pPr>
                  <w:r>
                    <w:rPr>
                      <w:szCs w:val="21"/>
                    </w:rPr>
                    <w:t>24小时平均第95百分位浓度</w:t>
                  </w:r>
                </w:p>
              </w:tc>
              <w:tc>
                <w:tcPr>
                  <w:tcW w:w="782" w:type="pct"/>
                  <w:tcBorders>
                    <w:tl2br w:val="nil"/>
                    <w:tr2bl w:val="nil"/>
                  </w:tcBorders>
                  <w:noWrap w:val="0"/>
                  <w:vAlign w:val="center"/>
                </w:tcPr>
                <w:p w14:paraId="032F144F">
                  <w:pPr>
                    <w:jc w:val="center"/>
                    <w:rPr>
                      <w:szCs w:val="21"/>
                    </w:rPr>
                  </w:pPr>
                  <w:r>
                    <w:rPr>
                      <w:rFonts w:hint="eastAsia"/>
                      <w:szCs w:val="21"/>
                    </w:rPr>
                    <w:t>1100</w:t>
                  </w:r>
                </w:p>
              </w:tc>
              <w:tc>
                <w:tcPr>
                  <w:tcW w:w="747" w:type="pct"/>
                  <w:tcBorders>
                    <w:tl2br w:val="nil"/>
                    <w:tr2bl w:val="nil"/>
                  </w:tcBorders>
                  <w:noWrap w:val="0"/>
                  <w:vAlign w:val="center"/>
                </w:tcPr>
                <w:p w14:paraId="0C3D4AF5">
                  <w:pPr>
                    <w:jc w:val="center"/>
                    <w:rPr>
                      <w:szCs w:val="21"/>
                    </w:rPr>
                  </w:pPr>
                  <w:r>
                    <w:rPr>
                      <w:szCs w:val="21"/>
                    </w:rPr>
                    <w:t>4000</w:t>
                  </w:r>
                </w:p>
              </w:tc>
              <w:tc>
                <w:tcPr>
                  <w:tcW w:w="718" w:type="pct"/>
                  <w:tcBorders>
                    <w:tl2br w:val="nil"/>
                    <w:tr2bl w:val="nil"/>
                  </w:tcBorders>
                  <w:noWrap w:val="0"/>
                  <w:vAlign w:val="center"/>
                </w:tcPr>
                <w:p w14:paraId="1F86DB73">
                  <w:pPr>
                    <w:widowControl/>
                    <w:jc w:val="center"/>
                    <w:textAlignment w:val="center"/>
                    <w:rPr>
                      <w:szCs w:val="21"/>
                    </w:rPr>
                  </w:pPr>
                  <w:r>
                    <w:rPr>
                      <w:rFonts w:hint="eastAsia"/>
                      <w:szCs w:val="21"/>
                    </w:rPr>
                    <w:t>27</w:t>
                  </w:r>
                  <w:r>
                    <w:rPr>
                      <w:szCs w:val="21"/>
                    </w:rPr>
                    <w:t>.5%</w:t>
                  </w:r>
                </w:p>
              </w:tc>
              <w:tc>
                <w:tcPr>
                  <w:tcW w:w="629" w:type="pct"/>
                  <w:tcBorders>
                    <w:tl2br w:val="nil"/>
                    <w:tr2bl w:val="nil"/>
                  </w:tcBorders>
                  <w:noWrap w:val="0"/>
                  <w:vAlign w:val="center"/>
                </w:tcPr>
                <w:p w14:paraId="5B864475">
                  <w:pPr>
                    <w:jc w:val="center"/>
                    <w:rPr>
                      <w:szCs w:val="21"/>
                    </w:rPr>
                  </w:pPr>
                  <w:r>
                    <w:rPr>
                      <w:szCs w:val="21"/>
                    </w:rPr>
                    <w:t>达标</w:t>
                  </w:r>
                </w:p>
              </w:tc>
            </w:tr>
            <w:tr w14:paraId="6F9858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3" w:type="pct"/>
                  <w:tcBorders>
                    <w:tl2br w:val="nil"/>
                    <w:tr2bl w:val="nil"/>
                  </w:tcBorders>
                  <w:noWrap w:val="0"/>
                  <w:vAlign w:val="center"/>
                </w:tcPr>
                <w:p w14:paraId="4B366DFF">
                  <w:pPr>
                    <w:jc w:val="center"/>
                    <w:rPr>
                      <w:szCs w:val="21"/>
                    </w:rPr>
                  </w:pPr>
                  <w:r>
                    <w:rPr>
                      <w:szCs w:val="21"/>
                    </w:rPr>
                    <w:t>O</w:t>
                  </w:r>
                  <w:r>
                    <w:rPr>
                      <w:szCs w:val="21"/>
                      <w:vertAlign w:val="subscript"/>
                    </w:rPr>
                    <w:t>3</w:t>
                  </w:r>
                </w:p>
              </w:tc>
              <w:tc>
                <w:tcPr>
                  <w:tcW w:w="1529" w:type="pct"/>
                  <w:tcBorders>
                    <w:tl2br w:val="nil"/>
                    <w:tr2bl w:val="nil"/>
                  </w:tcBorders>
                  <w:noWrap w:val="0"/>
                  <w:vAlign w:val="center"/>
                </w:tcPr>
                <w:p w14:paraId="13718893">
                  <w:pPr>
                    <w:jc w:val="center"/>
                    <w:rPr>
                      <w:szCs w:val="21"/>
                    </w:rPr>
                  </w:pPr>
                  <w:r>
                    <w:rPr>
                      <w:szCs w:val="21"/>
                    </w:rPr>
                    <w:t>日最大8小时平均第90百分位浓度</w:t>
                  </w:r>
                </w:p>
              </w:tc>
              <w:tc>
                <w:tcPr>
                  <w:tcW w:w="782" w:type="pct"/>
                  <w:tcBorders>
                    <w:tl2br w:val="nil"/>
                    <w:tr2bl w:val="nil"/>
                  </w:tcBorders>
                  <w:noWrap w:val="0"/>
                  <w:vAlign w:val="center"/>
                </w:tcPr>
                <w:p w14:paraId="045C392D">
                  <w:pPr>
                    <w:jc w:val="center"/>
                    <w:rPr>
                      <w:szCs w:val="21"/>
                    </w:rPr>
                  </w:pPr>
                  <w:r>
                    <w:rPr>
                      <w:rFonts w:hint="eastAsia"/>
                      <w:szCs w:val="21"/>
                    </w:rPr>
                    <w:t>168</w:t>
                  </w:r>
                </w:p>
              </w:tc>
              <w:tc>
                <w:tcPr>
                  <w:tcW w:w="747" w:type="pct"/>
                  <w:tcBorders>
                    <w:tl2br w:val="nil"/>
                    <w:tr2bl w:val="nil"/>
                  </w:tcBorders>
                  <w:noWrap w:val="0"/>
                  <w:vAlign w:val="center"/>
                </w:tcPr>
                <w:p w14:paraId="34057A9C">
                  <w:pPr>
                    <w:jc w:val="center"/>
                    <w:rPr>
                      <w:szCs w:val="21"/>
                    </w:rPr>
                  </w:pPr>
                  <w:r>
                    <w:rPr>
                      <w:szCs w:val="21"/>
                    </w:rPr>
                    <w:t>160</w:t>
                  </w:r>
                </w:p>
              </w:tc>
              <w:tc>
                <w:tcPr>
                  <w:tcW w:w="718" w:type="pct"/>
                  <w:tcBorders>
                    <w:tl2br w:val="nil"/>
                    <w:tr2bl w:val="nil"/>
                  </w:tcBorders>
                  <w:noWrap w:val="0"/>
                  <w:vAlign w:val="center"/>
                </w:tcPr>
                <w:p w14:paraId="5FF04EB6">
                  <w:pPr>
                    <w:widowControl/>
                    <w:jc w:val="center"/>
                    <w:textAlignment w:val="center"/>
                    <w:rPr>
                      <w:szCs w:val="21"/>
                    </w:rPr>
                  </w:pPr>
                  <w:r>
                    <w:rPr>
                      <w:szCs w:val="21"/>
                    </w:rPr>
                    <w:t>10</w:t>
                  </w:r>
                  <w:r>
                    <w:rPr>
                      <w:rFonts w:hint="eastAsia"/>
                      <w:szCs w:val="21"/>
                    </w:rPr>
                    <w:t>5</w:t>
                  </w:r>
                  <w:r>
                    <w:rPr>
                      <w:szCs w:val="21"/>
                    </w:rPr>
                    <w:t>%</w:t>
                  </w:r>
                </w:p>
              </w:tc>
              <w:tc>
                <w:tcPr>
                  <w:tcW w:w="629" w:type="pct"/>
                  <w:tcBorders>
                    <w:tl2br w:val="nil"/>
                    <w:tr2bl w:val="nil"/>
                  </w:tcBorders>
                  <w:noWrap w:val="0"/>
                  <w:vAlign w:val="center"/>
                </w:tcPr>
                <w:p w14:paraId="331F9803">
                  <w:pPr>
                    <w:jc w:val="center"/>
                    <w:rPr>
                      <w:szCs w:val="21"/>
                    </w:rPr>
                  </w:pPr>
                  <w:r>
                    <w:rPr>
                      <w:szCs w:val="21"/>
                    </w:rPr>
                    <w:t>不达标</w:t>
                  </w:r>
                </w:p>
              </w:tc>
            </w:tr>
            <w:tr w14:paraId="619F47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3" w:type="pct"/>
                  <w:tcBorders>
                    <w:tl2br w:val="nil"/>
                    <w:tr2bl w:val="nil"/>
                  </w:tcBorders>
                  <w:noWrap w:val="0"/>
                  <w:vAlign w:val="center"/>
                </w:tcPr>
                <w:p w14:paraId="1676203C">
                  <w:pPr>
                    <w:jc w:val="center"/>
                    <w:rPr>
                      <w:szCs w:val="21"/>
                    </w:rPr>
                  </w:pPr>
                  <w:r>
                    <w:rPr>
                      <w:szCs w:val="21"/>
                    </w:rPr>
                    <w:t>PM</w:t>
                  </w:r>
                  <w:r>
                    <w:rPr>
                      <w:szCs w:val="21"/>
                      <w:vertAlign w:val="subscript"/>
                    </w:rPr>
                    <w:t>10</w:t>
                  </w:r>
                </w:p>
              </w:tc>
              <w:tc>
                <w:tcPr>
                  <w:tcW w:w="1529" w:type="pct"/>
                  <w:tcBorders>
                    <w:tl2br w:val="nil"/>
                    <w:tr2bl w:val="nil"/>
                  </w:tcBorders>
                  <w:noWrap w:val="0"/>
                  <w:vAlign w:val="center"/>
                </w:tcPr>
                <w:p w14:paraId="7059C34A">
                  <w:pPr>
                    <w:jc w:val="center"/>
                    <w:rPr>
                      <w:szCs w:val="21"/>
                    </w:rPr>
                  </w:pPr>
                  <w:r>
                    <w:rPr>
                      <w:szCs w:val="21"/>
                    </w:rPr>
                    <w:t>年平均质量浓度</w:t>
                  </w:r>
                </w:p>
              </w:tc>
              <w:tc>
                <w:tcPr>
                  <w:tcW w:w="782" w:type="pct"/>
                  <w:tcBorders>
                    <w:tl2br w:val="nil"/>
                    <w:tr2bl w:val="nil"/>
                  </w:tcBorders>
                  <w:noWrap w:val="0"/>
                  <w:vAlign w:val="center"/>
                </w:tcPr>
                <w:p w14:paraId="0EC58B09">
                  <w:pPr>
                    <w:jc w:val="center"/>
                    <w:rPr>
                      <w:szCs w:val="21"/>
                    </w:rPr>
                  </w:pPr>
                  <w:r>
                    <w:rPr>
                      <w:rFonts w:hint="eastAsia"/>
                      <w:szCs w:val="21"/>
                    </w:rPr>
                    <w:t>74</w:t>
                  </w:r>
                </w:p>
              </w:tc>
              <w:tc>
                <w:tcPr>
                  <w:tcW w:w="747" w:type="pct"/>
                  <w:tcBorders>
                    <w:tl2br w:val="nil"/>
                    <w:tr2bl w:val="nil"/>
                  </w:tcBorders>
                  <w:noWrap w:val="0"/>
                  <w:vAlign w:val="center"/>
                </w:tcPr>
                <w:p w14:paraId="405FDC1D">
                  <w:pPr>
                    <w:jc w:val="center"/>
                    <w:rPr>
                      <w:szCs w:val="21"/>
                    </w:rPr>
                  </w:pPr>
                  <w:r>
                    <w:rPr>
                      <w:szCs w:val="21"/>
                    </w:rPr>
                    <w:t>70</w:t>
                  </w:r>
                </w:p>
              </w:tc>
              <w:tc>
                <w:tcPr>
                  <w:tcW w:w="718" w:type="pct"/>
                  <w:tcBorders>
                    <w:tl2br w:val="nil"/>
                    <w:tr2bl w:val="nil"/>
                  </w:tcBorders>
                  <w:noWrap w:val="0"/>
                  <w:vAlign w:val="center"/>
                </w:tcPr>
                <w:p w14:paraId="206625D6">
                  <w:pPr>
                    <w:widowControl/>
                    <w:jc w:val="center"/>
                    <w:textAlignment w:val="center"/>
                    <w:rPr>
                      <w:szCs w:val="21"/>
                    </w:rPr>
                  </w:pPr>
                  <w:r>
                    <w:rPr>
                      <w:szCs w:val="21"/>
                    </w:rPr>
                    <w:t>1</w:t>
                  </w:r>
                  <w:r>
                    <w:rPr>
                      <w:rFonts w:hint="eastAsia"/>
                      <w:szCs w:val="21"/>
                    </w:rPr>
                    <w:t>05.71</w:t>
                  </w:r>
                  <w:r>
                    <w:rPr>
                      <w:szCs w:val="21"/>
                    </w:rPr>
                    <w:t>%</w:t>
                  </w:r>
                </w:p>
              </w:tc>
              <w:tc>
                <w:tcPr>
                  <w:tcW w:w="629" w:type="pct"/>
                  <w:tcBorders>
                    <w:tl2br w:val="nil"/>
                    <w:tr2bl w:val="nil"/>
                  </w:tcBorders>
                  <w:noWrap w:val="0"/>
                  <w:vAlign w:val="center"/>
                </w:tcPr>
                <w:p w14:paraId="3E9B4C95">
                  <w:pPr>
                    <w:jc w:val="center"/>
                    <w:rPr>
                      <w:szCs w:val="21"/>
                    </w:rPr>
                  </w:pPr>
                  <w:r>
                    <w:rPr>
                      <w:szCs w:val="21"/>
                    </w:rPr>
                    <w:t>不达标</w:t>
                  </w:r>
                </w:p>
              </w:tc>
            </w:tr>
            <w:tr w14:paraId="58F5B6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3" w:type="pct"/>
                  <w:tcBorders>
                    <w:tl2br w:val="nil"/>
                    <w:tr2bl w:val="nil"/>
                  </w:tcBorders>
                  <w:noWrap w:val="0"/>
                  <w:vAlign w:val="center"/>
                </w:tcPr>
                <w:p w14:paraId="0D0FDB3D">
                  <w:pPr>
                    <w:jc w:val="center"/>
                    <w:rPr>
                      <w:szCs w:val="21"/>
                    </w:rPr>
                  </w:pPr>
                  <w:r>
                    <w:rPr>
                      <w:szCs w:val="21"/>
                    </w:rPr>
                    <w:t>PM</w:t>
                  </w:r>
                  <w:r>
                    <w:rPr>
                      <w:szCs w:val="21"/>
                      <w:vertAlign w:val="subscript"/>
                    </w:rPr>
                    <w:t>2.5</w:t>
                  </w:r>
                </w:p>
              </w:tc>
              <w:tc>
                <w:tcPr>
                  <w:tcW w:w="1529" w:type="pct"/>
                  <w:tcBorders>
                    <w:tl2br w:val="nil"/>
                    <w:tr2bl w:val="nil"/>
                  </w:tcBorders>
                  <w:noWrap w:val="0"/>
                  <w:vAlign w:val="center"/>
                </w:tcPr>
                <w:p w14:paraId="2D9180D0">
                  <w:pPr>
                    <w:jc w:val="center"/>
                    <w:rPr>
                      <w:szCs w:val="21"/>
                    </w:rPr>
                  </w:pPr>
                  <w:r>
                    <w:rPr>
                      <w:szCs w:val="21"/>
                    </w:rPr>
                    <w:t>年平均质量浓度</w:t>
                  </w:r>
                </w:p>
              </w:tc>
              <w:tc>
                <w:tcPr>
                  <w:tcW w:w="782" w:type="pct"/>
                  <w:tcBorders>
                    <w:tl2br w:val="nil"/>
                    <w:tr2bl w:val="nil"/>
                  </w:tcBorders>
                  <w:noWrap w:val="0"/>
                  <w:vAlign w:val="center"/>
                </w:tcPr>
                <w:p w14:paraId="70EF7489">
                  <w:pPr>
                    <w:jc w:val="center"/>
                    <w:rPr>
                      <w:szCs w:val="21"/>
                    </w:rPr>
                  </w:pPr>
                  <w:r>
                    <w:rPr>
                      <w:rFonts w:hint="eastAsia"/>
                      <w:szCs w:val="21"/>
                    </w:rPr>
                    <w:t>43</w:t>
                  </w:r>
                </w:p>
              </w:tc>
              <w:tc>
                <w:tcPr>
                  <w:tcW w:w="747" w:type="pct"/>
                  <w:tcBorders>
                    <w:tl2br w:val="nil"/>
                    <w:tr2bl w:val="nil"/>
                  </w:tcBorders>
                  <w:noWrap w:val="0"/>
                  <w:vAlign w:val="center"/>
                </w:tcPr>
                <w:p w14:paraId="1C45711D">
                  <w:pPr>
                    <w:jc w:val="center"/>
                    <w:rPr>
                      <w:szCs w:val="21"/>
                    </w:rPr>
                  </w:pPr>
                  <w:r>
                    <w:rPr>
                      <w:szCs w:val="21"/>
                    </w:rPr>
                    <w:t>35</w:t>
                  </w:r>
                </w:p>
              </w:tc>
              <w:tc>
                <w:tcPr>
                  <w:tcW w:w="718" w:type="pct"/>
                  <w:tcBorders>
                    <w:tl2br w:val="nil"/>
                    <w:tr2bl w:val="nil"/>
                  </w:tcBorders>
                  <w:noWrap w:val="0"/>
                  <w:vAlign w:val="center"/>
                </w:tcPr>
                <w:p w14:paraId="1FBD131A">
                  <w:pPr>
                    <w:widowControl/>
                    <w:jc w:val="center"/>
                    <w:textAlignment w:val="center"/>
                    <w:rPr>
                      <w:szCs w:val="21"/>
                    </w:rPr>
                  </w:pPr>
                  <w:r>
                    <w:rPr>
                      <w:rFonts w:hint="eastAsia"/>
                      <w:szCs w:val="21"/>
                    </w:rPr>
                    <w:t>122.86</w:t>
                  </w:r>
                  <w:r>
                    <w:rPr>
                      <w:szCs w:val="21"/>
                    </w:rPr>
                    <w:t>%</w:t>
                  </w:r>
                </w:p>
              </w:tc>
              <w:tc>
                <w:tcPr>
                  <w:tcW w:w="629" w:type="pct"/>
                  <w:tcBorders>
                    <w:tl2br w:val="nil"/>
                    <w:tr2bl w:val="nil"/>
                  </w:tcBorders>
                  <w:noWrap w:val="0"/>
                  <w:vAlign w:val="center"/>
                </w:tcPr>
                <w:p w14:paraId="0C33B3C4">
                  <w:pPr>
                    <w:jc w:val="center"/>
                    <w:rPr>
                      <w:szCs w:val="21"/>
                    </w:rPr>
                  </w:pPr>
                  <w:r>
                    <w:rPr>
                      <w:szCs w:val="21"/>
                    </w:rPr>
                    <w:t>不达标</w:t>
                  </w:r>
                </w:p>
              </w:tc>
            </w:tr>
          </w:tbl>
          <w:p w14:paraId="04721BC0">
            <w:pPr>
              <w:numPr>
                <w:ilvl w:val="0"/>
                <w:numId w:val="0"/>
              </w:numPr>
              <w:spacing w:line="360" w:lineRule="auto"/>
              <w:ind w:leftChars="0" w:firstLine="480" w:firstLineChars="200"/>
              <w:rPr>
                <w:rFonts w:hint="default" w:ascii="Times New Roman" w:hAnsi="Times New Roman" w:cs="Times New Roman"/>
                <w:sz w:val="24"/>
                <w:szCs w:val="24"/>
                <w:lang w:val="en-US" w:eastAsia="zh-CN"/>
              </w:rPr>
            </w:pPr>
            <w:r>
              <w:rPr>
                <w:sz w:val="24"/>
              </w:rPr>
              <w:t>由</w:t>
            </w:r>
            <w:r>
              <w:rPr>
                <w:rFonts w:hint="eastAsia"/>
                <w:sz w:val="24"/>
              </w:rPr>
              <w:t>表中数据可知</w:t>
            </w:r>
            <w:r>
              <w:rPr>
                <w:sz w:val="24"/>
              </w:rPr>
              <w:t>，项目所在区域SO</w:t>
            </w:r>
            <w:r>
              <w:rPr>
                <w:sz w:val="24"/>
                <w:vertAlign w:val="subscript"/>
              </w:rPr>
              <w:t>2</w:t>
            </w:r>
            <w:r>
              <w:rPr>
                <w:sz w:val="24"/>
              </w:rPr>
              <w:t>年平均质量浓度</w:t>
            </w:r>
            <w:r>
              <w:rPr>
                <w:rFonts w:hint="eastAsia"/>
                <w:sz w:val="24"/>
              </w:rPr>
              <w:t>、N</w:t>
            </w:r>
            <w:r>
              <w:rPr>
                <w:sz w:val="24"/>
              </w:rPr>
              <w:t>O</w:t>
            </w:r>
            <w:r>
              <w:rPr>
                <w:sz w:val="24"/>
                <w:vertAlign w:val="subscript"/>
              </w:rPr>
              <w:t>2</w:t>
            </w:r>
            <w:r>
              <w:rPr>
                <w:sz w:val="24"/>
              </w:rPr>
              <w:t>年平均质量浓度</w:t>
            </w:r>
            <w:r>
              <w:rPr>
                <w:rFonts w:hint="eastAsia"/>
                <w:sz w:val="24"/>
              </w:rPr>
              <w:t>以及</w:t>
            </w:r>
            <w:r>
              <w:rPr>
                <w:sz w:val="24"/>
              </w:rPr>
              <w:t>CO</w:t>
            </w:r>
            <w:r>
              <w:rPr>
                <w:rFonts w:hint="eastAsia"/>
                <w:sz w:val="24"/>
              </w:rPr>
              <w:t>24小时平均第95百分位浓度均</w:t>
            </w:r>
            <w:r>
              <w:rPr>
                <w:sz w:val="24"/>
              </w:rPr>
              <w:t>满足《环境空气质量标准》（GB3095-2012）中二级标准，O</w:t>
            </w:r>
            <w:r>
              <w:rPr>
                <w:rFonts w:hint="eastAsia"/>
                <w:sz w:val="24"/>
                <w:vertAlign w:val="subscript"/>
              </w:rPr>
              <w:t>3</w:t>
            </w:r>
            <w:r>
              <w:rPr>
                <w:rFonts w:hint="eastAsia"/>
                <w:sz w:val="24"/>
              </w:rPr>
              <w:t>日最大8小时平均第90百分位浓度、PM</w:t>
            </w:r>
            <w:r>
              <w:rPr>
                <w:rFonts w:hint="eastAsia"/>
                <w:sz w:val="24"/>
                <w:vertAlign w:val="subscript"/>
              </w:rPr>
              <w:t>2.5</w:t>
            </w:r>
            <w:r>
              <w:rPr>
                <w:rFonts w:hint="eastAsia"/>
                <w:sz w:val="24"/>
              </w:rPr>
              <w:t>和PM</w:t>
            </w:r>
            <w:r>
              <w:rPr>
                <w:rFonts w:hint="eastAsia"/>
                <w:sz w:val="24"/>
                <w:vertAlign w:val="subscript"/>
              </w:rPr>
              <w:t>10</w:t>
            </w:r>
            <w:r>
              <w:rPr>
                <w:sz w:val="24"/>
              </w:rPr>
              <w:t>年平均质量浓度</w:t>
            </w:r>
            <w:r>
              <w:rPr>
                <w:rFonts w:hint="eastAsia"/>
                <w:sz w:val="24"/>
              </w:rPr>
              <w:t>均不</w:t>
            </w:r>
            <w:r>
              <w:rPr>
                <w:sz w:val="24"/>
              </w:rPr>
              <w:t>满足《环境空气质量标准》（GB3095-2012）中二级标准</w:t>
            </w:r>
            <w:r>
              <w:rPr>
                <w:rFonts w:hint="eastAsia"/>
                <w:sz w:val="24"/>
              </w:rPr>
              <w:t>，所以</w:t>
            </w:r>
            <w:r>
              <w:rPr>
                <w:sz w:val="24"/>
              </w:rPr>
              <w:t>本项目所在地属于环境空气</w:t>
            </w:r>
            <w:r>
              <w:rPr>
                <w:rFonts w:hint="eastAsia"/>
                <w:sz w:val="24"/>
              </w:rPr>
              <w:t>不</w:t>
            </w:r>
            <w:r>
              <w:rPr>
                <w:sz w:val="24"/>
              </w:rPr>
              <w:t>达标区</w:t>
            </w:r>
            <w:r>
              <w:rPr>
                <w:rFonts w:hAnsi="宋体"/>
                <w:sz w:val="24"/>
              </w:rPr>
              <w:t>。</w:t>
            </w:r>
          </w:p>
          <w:p w14:paraId="2E23A699">
            <w:pPr>
              <w:numPr>
                <w:ilvl w:val="0"/>
                <w:numId w:val="0"/>
              </w:numPr>
              <w:spacing w:line="360" w:lineRule="auto"/>
              <w:ind w:leftChars="0" w:firstLine="480" w:firstLineChars="200"/>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w:t>
            </w:r>
            <w:r>
              <w:rPr>
                <w:rFonts w:hint="default" w:ascii="Times New Roman" w:hAnsi="Times New Roman" w:cs="Times New Roman"/>
                <w:sz w:val="24"/>
                <w:szCs w:val="24"/>
                <w:lang w:val="en-US" w:eastAsia="zh-CN"/>
              </w:rPr>
              <w:t>特征污染物</w:t>
            </w:r>
          </w:p>
          <w:p w14:paraId="4BAC1BEB">
            <w:pPr>
              <w:spacing w:line="360" w:lineRule="auto"/>
              <w:ind w:firstLine="480" w:firstLineChars="200"/>
              <w:rPr>
                <w:rFonts w:hint="eastAsia" w:eastAsia="宋体"/>
                <w:sz w:val="24"/>
                <w:szCs w:val="32"/>
                <w:lang w:val="en-US" w:eastAsia="zh-CN"/>
              </w:rPr>
            </w:pPr>
            <w:r>
              <w:rPr>
                <w:bCs/>
                <w:sz w:val="24"/>
              </w:rPr>
              <w:t>本项目</w:t>
            </w:r>
            <w:r>
              <w:rPr>
                <w:sz w:val="24"/>
                <w:szCs w:val="32"/>
              </w:rPr>
              <w:t>非甲烷总烃引用《陕西</w:t>
            </w:r>
            <w:r>
              <w:rPr>
                <w:rFonts w:hint="eastAsia"/>
                <w:sz w:val="24"/>
                <w:szCs w:val="32"/>
                <w:lang w:val="en-US" w:eastAsia="zh-CN"/>
              </w:rPr>
              <w:t>国久泰新材料科技有限公司塑料管生产</w:t>
            </w:r>
            <w:r>
              <w:rPr>
                <w:sz w:val="24"/>
                <w:szCs w:val="32"/>
              </w:rPr>
              <w:t>项目环境质量现状监测》（</w:t>
            </w:r>
            <w:r>
              <w:rPr>
                <w:rFonts w:hint="eastAsia"/>
                <w:sz w:val="24"/>
                <w:szCs w:val="32"/>
                <w:lang w:val="en-US" w:eastAsia="zh-CN"/>
              </w:rPr>
              <w:t>秦研（综）2212022号）</w:t>
            </w:r>
            <w:r>
              <w:rPr>
                <w:color w:val="auto"/>
                <w:sz w:val="24"/>
                <w:szCs w:val="32"/>
              </w:rPr>
              <w:t>（具体见附件</w:t>
            </w:r>
            <w:r>
              <w:rPr>
                <w:rFonts w:hint="eastAsia"/>
                <w:color w:val="auto"/>
                <w:sz w:val="24"/>
                <w:szCs w:val="32"/>
                <w:lang w:val="en-US" w:eastAsia="zh-CN"/>
              </w:rPr>
              <w:t>8</w:t>
            </w:r>
            <w:r>
              <w:rPr>
                <w:color w:val="auto"/>
                <w:sz w:val="24"/>
                <w:szCs w:val="32"/>
              </w:rPr>
              <w:t>）</w:t>
            </w:r>
            <w:r>
              <w:rPr>
                <w:sz w:val="24"/>
                <w:szCs w:val="32"/>
              </w:rPr>
              <w:t>，根据《建设项目环境影响报告表编制技术指南（污染影响类）（试行）》中</w:t>
            </w:r>
            <w:r>
              <w:rPr>
                <w:rFonts w:hint="eastAsia"/>
                <w:sz w:val="24"/>
                <w:szCs w:val="32"/>
                <w:lang w:eastAsia="zh-CN"/>
              </w:rPr>
              <w:t>“</w:t>
            </w:r>
            <w:r>
              <w:rPr>
                <w:sz w:val="24"/>
                <w:szCs w:val="32"/>
              </w:rPr>
              <w:t>排放国家、地方环境空气质量标准中有标准限值要求的特征污染物时，引用建设项目周边5千米范围内近3年的现有监测数据</w:t>
            </w:r>
            <w:r>
              <w:rPr>
                <w:rFonts w:hint="eastAsia"/>
                <w:sz w:val="24"/>
                <w:szCs w:val="32"/>
                <w:lang w:eastAsia="zh-CN"/>
              </w:rPr>
              <w:t>”</w:t>
            </w:r>
            <w:r>
              <w:rPr>
                <w:sz w:val="24"/>
                <w:szCs w:val="32"/>
              </w:rPr>
              <w:t>要求，陕西</w:t>
            </w:r>
            <w:r>
              <w:rPr>
                <w:rFonts w:hint="eastAsia"/>
                <w:sz w:val="24"/>
                <w:szCs w:val="32"/>
                <w:lang w:val="en-US" w:eastAsia="zh-CN"/>
              </w:rPr>
              <w:t>国久泰新材料科技有限公司塑料管生产</w:t>
            </w:r>
            <w:r>
              <w:rPr>
                <w:sz w:val="24"/>
                <w:szCs w:val="32"/>
              </w:rPr>
              <w:t>项目位于本项目西南方向1.</w:t>
            </w:r>
            <w:r>
              <w:rPr>
                <w:rFonts w:hint="eastAsia"/>
                <w:sz w:val="24"/>
                <w:szCs w:val="32"/>
                <w:lang w:val="en-US" w:eastAsia="zh-CN"/>
              </w:rPr>
              <w:t>6</w:t>
            </w:r>
            <w:r>
              <w:rPr>
                <w:sz w:val="24"/>
                <w:szCs w:val="32"/>
              </w:rPr>
              <w:t>km处，环境质量现状监测时间为202</w:t>
            </w:r>
            <w:r>
              <w:rPr>
                <w:rFonts w:hint="eastAsia"/>
                <w:sz w:val="24"/>
                <w:szCs w:val="32"/>
                <w:lang w:val="en-US" w:eastAsia="zh-CN"/>
              </w:rPr>
              <w:t>3</w:t>
            </w:r>
            <w:r>
              <w:rPr>
                <w:sz w:val="24"/>
                <w:szCs w:val="32"/>
              </w:rPr>
              <w:t>年</w:t>
            </w:r>
            <w:r>
              <w:rPr>
                <w:rFonts w:hint="eastAsia"/>
                <w:sz w:val="24"/>
                <w:szCs w:val="32"/>
                <w:lang w:val="en-US" w:eastAsia="zh-CN"/>
              </w:rPr>
              <w:t>1</w:t>
            </w:r>
            <w:r>
              <w:rPr>
                <w:sz w:val="24"/>
                <w:szCs w:val="32"/>
              </w:rPr>
              <w:t>月，符合引用监测数据要求。</w:t>
            </w:r>
          </w:p>
          <w:p w14:paraId="49B00B4E">
            <w:pPr>
              <w:spacing w:line="360" w:lineRule="auto"/>
              <w:ind w:firstLine="480" w:firstLineChars="200"/>
              <w:rPr>
                <w:sz w:val="24"/>
              </w:rPr>
            </w:pPr>
            <w:r>
              <w:rPr>
                <w:rFonts w:hint="eastAsia"/>
                <w:sz w:val="24"/>
                <w:szCs w:val="32"/>
              </w:rPr>
              <w:t>①</w:t>
            </w:r>
            <w:r>
              <w:rPr>
                <w:sz w:val="24"/>
              </w:rPr>
              <w:t>监测频次和监测点位</w:t>
            </w:r>
          </w:p>
          <w:p w14:paraId="000FCA0D">
            <w:pPr>
              <w:spacing w:line="360" w:lineRule="auto"/>
              <w:ind w:firstLine="480" w:firstLineChars="200"/>
              <w:rPr>
                <w:sz w:val="24"/>
              </w:rPr>
            </w:pPr>
            <w:r>
              <w:rPr>
                <w:sz w:val="24"/>
              </w:rPr>
              <w:t>监测频次：</w:t>
            </w:r>
            <w:r>
              <w:rPr>
                <w:rFonts w:hint="eastAsia"/>
                <w:sz w:val="24"/>
                <w:szCs w:val="32"/>
              </w:rPr>
              <w:t>监测时间为</w:t>
            </w:r>
            <w:r>
              <w:rPr>
                <w:sz w:val="24"/>
                <w:szCs w:val="32"/>
              </w:rPr>
              <w:t>202</w:t>
            </w:r>
            <w:r>
              <w:rPr>
                <w:rFonts w:hint="eastAsia"/>
                <w:sz w:val="24"/>
                <w:szCs w:val="32"/>
                <w:lang w:val="en-US" w:eastAsia="zh-CN"/>
              </w:rPr>
              <w:t>3</w:t>
            </w:r>
            <w:r>
              <w:rPr>
                <w:rFonts w:hint="eastAsia"/>
                <w:sz w:val="24"/>
                <w:szCs w:val="32"/>
              </w:rPr>
              <w:t>年</w:t>
            </w:r>
            <w:r>
              <w:rPr>
                <w:rFonts w:hint="eastAsia"/>
                <w:sz w:val="24"/>
                <w:szCs w:val="32"/>
                <w:lang w:val="en-US" w:eastAsia="zh-CN"/>
              </w:rPr>
              <w:t>1</w:t>
            </w:r>
            <w:r>
              <w:rPr>
                <w:rFonts w:hint="eastAsia"/>
                <w:sz w:val="24"/>
                <w:szCs w:val="32"/>
              </w:rPr>
              <w:t>月</w:t>
            </w:r>
            <w:r>
              <w:rPr>
                <w:rFonts w:hint="eastAsia"/>
                <w:sz w:val="24"/>
                <w:szCs w:val="32"/>
                <w:lang w:val="en-US" w:eastAsia="zh-CN"/>
              </w:rPr>
              <w:t>12</w:t>
            </w:r>
            <w:r>
              <w:rPr>
                <w:rFonts w:hint="eastAsia"/>
                <w:sz w:val="24"/>
                <w:szCs w:val="32"/>
              </w:rPr>
              <w:t>日至</w:t>
            </w:r>
            <w:r>
              <w:rPr>
                <w:rFonts w:hint="eastAsia"/>
                <w:sz w:val="24"/>
                <w:szCs w:val="32"/>
                <w:lang w:val="en-US" w:eastAsia="zh-CN"/>
              </w:rPr>
              <w:t>1</w:t>
            </w:r>
            <w:r>
              <w:rPr>
                <w:rFonts w:hint="eastAsia"/>
                <w:sz w:val="24"/>
                <w:szCs w:val="32"/>
              </w:rPr>
              <w:t>月</w:t>
            </w:r>
            <w:r>
              <w:rPr>
                <w:rFonts w:hint="eastAsia"/>
                <w:sz w:val="24"/>
                <w:szCs w:val="32"/>
                <w:lang w:val="en-US" w:eastAsia="zh-CN"/>
              </w:rPr>
              <w:t>1</w:t>
            </w:r>
            <w:r>
              <w:rPr>
                <w:rFonts w:hint="eastAsia"/>
                <w:sz w:val="24"/>
                <w:szCs w:val="32"/>
              </w:rPr>
              <w:t>9日，连续监测</w:t>
            </w:r>
            <w:r>
              <w:rPr>
                <w:rFonts w:hint="eastAsia"/>
                <w:sz w:val="24"/>
                <w:szCs w:val="32"/>
                <w:lang w:val="en-US" w:eastAsia="zh-CN"/>
              </w:rPr>
              <w:t>7</w:t>
            </w:r>
            <w:r>
              <w:rPr>
                <w:rFonts w:hint="eastAsia"/>
                <w:sz w:val="24"/>
                <w:szCs w:val="32"/>
              </w:rPr>
              <w:t>天</w:t>
            </w:r>
            <w:r>
              <w:rPr>
                <w:sz w:val="24"/>
              </w:rPr>
              <w:t>。</w:t>
            </w:r>
          </w:p>
          <w:p w14:paraId="132CB74B">
            <w:pPr>
              <w:adjustRightInd w:val="0"/>
              <w:snapToGrid w:val="0"/>
              <w:spacing w:line="360" w:lineRule="auto"/>
              <w:ind w:firstLine="480" w:firstLineChars="200"/>
              <w:jc w:val="left"/>
              <w:rPr>
                <w:sz w:val="24"/>
              </w:rPr>
            </w:pPr>
            <w:r>
              <w:rPr>
                <w:sz w:val="24"/>
              </w:rPr>
              <w:t>监测点位：</w:t>
            </w:r>
            <w:r>
              <w:rPr>
                <w:sz w:val="24"/>
                <w:szCs w:val="32"/>
              </w:rPr>
              <w:t>陕西</w:t>
            </w:r>
            <w:r>
              <w:rPr>
                <w:rFonts w:hint="eastAsia"/>
                <w:sz w:val="24"/>
                <w:szCs w:val="32"/>
                <w:lang w:val="en-US" w:eastAsia="zh-CN"/>
              </w:rPr>
              <w:t>国久泰新材料科技有限公司塑料管生产</w:t>
            </w:r>
            <w:r>
              <w:rPr>
                <w:sz w:val="24"/>
                <w:szCs w:val="32"/>
              </w:rPr>
              <w:t>项目</w:t>
            </w:r>
            <w:r>
              <w:rPr>
                <w:rFonts w:hint="eastAsia"/>
                <w:sz w:val="24"/>
                <w:szCs w:val="32"/>
              </w:rPr>
              <w:t>下风向</w:t>
            </w:r>
            <w:r>
              <w:rPr>
                <w:rFonts w:hint="eastAsia"/>
                <w:sz w:val="24"/>
                <w:szCs w:val="32"/>
                <w:lang w:val="en-US" w:eastAsia="zh-CN"/>
              </w:rPr>
              <w:t>皮张村</w:t>
            </w:r>
            <w:r>
              <w:rPr>
                <w:sz w:val="24"/>
              </w:rPr>
              <w:t>。</w:t>
            </w:r>
          </w:p>
          <w:p w14:paraId="0A31357B">
            <w:pPr>
              <w:spacing w:line="360" w:lineRule="auto"/>
              <w:ind w:firstLine="480" w:firstLineChars="200"/>
              <w:rPr>
                <w:sz w:val="24"/>
              </w:rPr>
            </w:pPr>
            <w:r>
              <w:rPr>
                <w:rFonts w:hint="eastAsia"/>
                <w:sz w:val="24"/>
              </w:rPr>
              <w:t>②</w:t>
            </w:r>
            <w:r>
              <w:rPr>
                <w:sz w:val="24"/>
              </w:rPr>
              <w:t>监测结果</w:t>
            </w:r>
          </w:p>
          <w:p w14:paraId="1D1AF7E0">
            <w:pPr>
              <w:spacing w:line="360" w:lineRule="auto"/>
              <w:ind w:firstLine="480" w:firstLineChars="200"/>
              <w:rPr>
                <w:sz w:val="24"/>
              </w:rPr>
            </w:pPr>
            <w:r>
              <w:rPr>
                <w:sz w:val="24"/>
              </w:rPr>
              <w:t>项目监测结果</w:t>
            </w:r>
            <w:r>
              <w:rPr>
                <w:rFonts w:hint="eastAsia"/>
                <w:sz w:val="24"/>
              </w:rPr>
              <w:t>见</w:t>
            </w:r>
            <w:r>
              <w:rPr>
                <w:sz w:val="24"/>
              </w:rPr>
              <w:t>表3-</w:t>
            </w:r>
            <w:r>
              <w:rPr>
                <w:rFonts w:hint="eastAsia"/>
                <w:sz w:val="24"/>
              </w:rPr>
              <w:t>2</w:t>
            </w:r>
            <w:r>
              <w:rPr>
                <w:sz w:val="24"/>
              </w:rPr>
              <w:t>。</w:t>
            </w:r>
          </w:p>
          <w:p w14:paraId="022A95FB">
            <w:pPr>
              <w:widowControl/>
              <w:jc w:val="center"/>
              <w:rPr>
                <w:sz w:val="24"/>
              </w:rPr>
            </w:pPr>
            <w:r>
              <w:rPr>
                <w:b/>
                <w:sz w:val="24"/>
              </w:rPr>
              <w:t>表3-2  特征污染物监测结果一览表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47"/>
              <w:gridCol w:w="1857"/>
              <w:gridCol w:w="816"/>
              <w:gridCol w:w="1797"/>
              <w:gridCol w:w="1267"/>
              <w:gridCol w:w="1123"/>
            </w:tblGrid>
            <w:tr w14:paraId="1B37F4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0" w:type="pct"/>
                  <w:tcBorders>
                    <w:tl2br w:val="nil"/>
                    <w:tr2bl w:val="nil"/>
                  </w:tcBorders>
                  <w:noWrap w:val="0"/>
                  <w:vAlign w:val="center"/>
                </w:tcPr>
                <w:p w14:paraId="3212B145">
                  <w:pPr>
                    <w:widowControl/>
                    <w:jc w:val="center"/>
                    <w:rPr>
                      <w:b/>
                      <w:bCs/>
                      <w:szCs w:val="21"/>
                    </w:rPr>
                  </w:pPr>
                  <w:r>
                    <w:rPr>
                      <w:b/>
                      <w:bCs/>
                      <w:szCs w:val="21"/>
                    </w:rPr>
                    <w:t>污染物</w:t>
                  </w:r>
                </w:p>
              </w:tc>
              <w:tc>
                <w:tcPr>
                  <w:tcW w:w="1117" w:type="pct"/>
                  <w:tcBorders>
                    <w:tl2br w:val="nil"/>
                    <w:tr2bl w:val="nil"/>
                  </w:tcBorders>
                  <w:noWrap w:val="0"/>
                  <w:vAlign w:val="center"/>
                </w:tcPr>
                <w:p w14:paraId="2D9EAE2F">
                  <w:pPr>
                    <w:widowControl/>
                    <w:jc w:val="center"/>
                    <w:rPr>
                      <w:b/>
                      <w:bCs/>
                      <w:szCs w:val="21"/>
                    </w:rPr>
                  </w:pPr>
                  <w:r>
                    <w:rPr>
                      <w:b/>
                      <w:bCs/>
                      <w:szCs w:val="21"/>
                    </w:rPr>
                    <w:t>采样日期</w:t>
                  </w:r>
                </w:p>
              </w:tc>
              <w:tc>
                <w:tcPr>
                  <w:tcW w:w="491" w:type="pct"/>
                  <w:tcBorders>
                    <w:tl2br w:val="nil"/>
                    <w:tr2bl w:val="nil"/>
                  </w:tcBorders>
                  <w:noWrap w:val="0"/>
                  <w:vAlign w:val="center"/>
                </w:tcPr>
                <w:p w14:paraId="1DB392F0">
                  <w:pPr>
                    <w:widowControl/>
                    <w:jc w:val="center"/>
                    <w:rPr>
                      <w:b/>
                      <w:bCs/>
                      <w:szCs w:val="21"/>
                    </w:rPr>
                  </w:pPr>
                  <w:r>
                    <w:rPr>
                      <w:b/>
                      <w:bCs/>
                      <w:szCs w:val="21"/>
                    </w:rPr>
                    <w:t>单位</w:t>
                  </w:r>
                </w:p>
              </w:tc>
              <w:tc>
                <w:tcPr>
                  <w:tcW w:w="1081" w:type="pct"/>
                  <w:tcBorders>
                    <w:tl2br w:val="nil"/>
                    <w:tr2bl w:val="nil"/>
                  </w:tcBorders>
                  <w:noWrap w:val="0"/>
                  <w:vAlign w:val="center"/>
                </w:tcPr>
                <w:p w14:paraId="2D3F8612">
                  <w:pPr>
                    <w:widowControl/>
                    <w:jc w:val="center"/>
                    <w:rPr>
                      <w:b/>
                      <w:bCs/>
                      <w:szCs w:val="21"/>
                    </w:rPr>
                  </w:pPr>
                  <w:r>
                    <w:rPr>
                      <w:rFonts w:hint="eastAsia"/>
                      <w:b/>
                      <w:bCs/>
                      <w:szCs w:val="21"/>
                    </w:rPr>
                    <w:t>监测</w:t>
                  </w:r>
                  <w:r>
                    <w:rPr>
                      <w:b/>
                      <w:bCs/>
                      <w:szCs w:val="21"/>
                    </w:rPr>
                    <w:t>结果</w:t>
                  </w:r>
                  <w:r>
                    <w:rPr>
                      <w:rFonts w:hint="eastAsia"/>
                      <w:b/>
                      <w:bCs/>
                      <w:szCs w:val="21"/>
                    </w:rPr>
                    <w:t>平均值</w:t>
                  </w:r>
                </w:p>
              </w:tc>
              <w:tc>
                <w:tcPr>
                  <w:tcW w:w="762" w:type="pct"/>
                  <w:tcBorders>
                    <w:tl2br w:val="nil"/>
                    <w:tr2bl w:val="nil"/>
                  </w:tcBorders>
                  <w:noWrap w:val="0"/>
                  <w:vAlign w:val="center"/>
                </w:tcPr>
                <w:p w14:paraId="15BAD332">
                  <w:pPr>
                    <w:widowControl/>
                    <w:jc w:val="center"/>
                    <w:rPr>
                      <w:b/>
                      <w:bCs/>
                      <w:szCs w:val="21"/>
                    </w:rPr>
                  </w:pPr>
                  <w:r>
                    <w:rPr>
                      <w:b/>
                      <w:bCs/>
                      <w:szCs w:val="21"/>
                    </w:rPr>
                    <w:t>标准</w:t>
                  </w:r>
                  <w:r>
                    <w:rPr>
                      <w:rFonts w:hint="eastAsia"/>
                      <w:b/>
                      <w:bCs/>
                      <w:szCs w:val="21"/>
                    </w:rPr>
                    <w:t>限</w:t>
                  </w:r>
                  <w:r>
                    <w:rPr>
                      <w:b/>
                      <w:bCs/>
                      <w:szCs w:val="21"/>
                    </w:rPr>
                    <w:t>值</w:t>
                  </w:r>
                </w:p>
              </w:tc>
              <w:tc>
                <w:tcPr>
                  <w:tcW w:w="675" w:type="pct"/>
                  <w:tcBorders>
                    <w:tl2br w:val="nil"/>
                    <w:tr2bl w:val="nil"/>
                  </w:tcBorders>
                  <w:noWrap w:val="0"/>
                  <w:vAlign w:val="center"/>
                </w:tcPr>
                <w:p w14:paraId="6B0F0D50">
                  <w:pPr>
                    <w:widowControl/>
                    <w:jc w:val="center"/>
                    <w:rPr>
                      <w:b/>
                      <w:bCs/>
                      <w:szCs w:val="21"/>
                    </w:rPr>
                  </w:pPr>
                  <w:r>
                    <w:rPr>
                      <w:b/>
                      <w:bCs/>
                      <w:szCs w:val="21"/>
                    </w:rPr>
                    <w:t>达标情况</w:t>
                  </w:r>
                </w:p>
              </w:tc>
            </w:tr>
            <w:tr w14:paraId="33BC24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0" w:type="pct"/>
                  <w:vMerge w:val="restart"/>
                  <w:tcBorders>
                    <w:tl2br w:val="nil"/>
                    <w:tr2bl w:val="nil"/>
                  </w:tcBorders>
                  <w:noWrap w:val="0"/>
                  <w:vAlign w:val="center"/>
                </w:tcPr>
                <w:p w14:paraId="7F01BE40">
                  <w:pPr>
                    <w:widowControl/>
                    <w:jc w:val="center"/>
                    <w:rPr>
                      <w:szCs w:val="21"/>
                    </w:rPr>
                  </w:pPr>
                  <w:r>
                    <w:rPr>
                      <w:rFonts w:hint="eastAsia"/>
                      <w:szCs w:val="21"/>
                    </w:rPr>
                    <w:t>非甲烷总烃</w:t>
                  </w:r>
                </w:p>
              </w:tc>
              <w:tc>
                <w:tcPr>
                  <w:tcW w:w="1117" w:type="pct"/>
                  <w:tcBorders>
                    <w:tl2br w:val="nil"/>
                    <w:tr2bl w:val="nil"/>
                  </w:tcBorders>
                  <w:noWrap w:val="0"/>
                  <w:vAlign w:val="center"/>
                </w:tcPr>
                <w:p w14:paraId="78CF6571">
                  <w:pPr>
                    <w:widowControl/>
                    <w:jc w:val="center"/>
                    <w:textAlignment w:val="center"/>
                    <w:rPr>
                      <w:rFonts w:hint="default" w:eastAsia="宋体"/>
                      <w:szCs w:val="21"/>
                      <w:lang w:val="en-US" w:eastAsia="zh-CN"/>
                    </w:rPr>
                  </w:pPr>
                  <w:r>
                    <w:rPr>
                      <w:rFonts w:hint="eastAsia"/>
                      <w:szCs w:val="21"/>
                      <w:lang w:val="en-US" w:eastAsia="zh-CN"/>
                    </w:rPr>
                    <w:t>1.12~1.13</w:t>
                  </w:r>
                </w:p>
              </w:tc>
              <w:tc>
                <w:tcPr>
                  <w:tcW w:w="491" w:type="pct"/>
                  <w:vMerge w:val="restart"/>
                  <w:tcBorders>
                    <w:tl2br w:val="nil"/>
                    <w:tr2bl w:val="nil"/>
                  </w:tcBorders>
                  <w:noWrap w:val="0"/>
                  <w:vAlign w:val="center"/>
                </w:tcPr>
                <w:p w14:paraId="65965464">
                  <w:pPr>
                    <w:widowControl/>
                    <w:jc w:val="center"/>
                    <w:textAlignment w:val="center"/>
                    <w:rPr>
                      <w:szCs w:val="21"/>
                    </w:rPr>
                  </w:pPr>
                  <w:r>
                    <w:rPr>
                      <w:szCs w:val="21"/>
                    </w:rPr>
                    <w:t>mg/m³</w:t>
                  </w:r>
                </w:p>
              </w:tc>
              <w:tc>
                <w:tcPr>
                  <w:tcW w:w="1081" w:type="pct"/>
                  <w:tcBorders>
                    <w:tl2br w:val="nil"/>
                    <w:tr2bl w:val="nil"/>
                  </w:tcBorders>
                  <w:noWrap w:val="0"/>
                  <w:vAlign w:val="center"/>
                </w:tcPr>
                <w:p w14:paraId="38A4A007">
                  <w:pPr>
                    <w:widowControl/>
                    <w:jc w:val="center"/>
                    <w:rPr>
                      <w:rFonts w:hint="default" w:eastAsia="宋体"/>
                      <w:szCs w:val="21"/>
                      <w:lang w:val="en-US" w:eastAsia="zh-CN"/>
                    </w:rPr>
                  </w:pPr>
                  <w:r>
                    <w:rPr>
                      <w:rFonts w:hint="eastAsia"/>
                      <w:szCs w:val="21"/>
                      <w:lang w:val="en-US" w:eastAsia="zh-CN"/>
                    </w:rPr>
                    <w:t>0.91</w:t>
                  </w:r>
                </w:p>
              </w:tc>
              <w:tc>
                <w:tcPr>
                  <w:tcW w:w="762" w:type="pct"/>
                  <w:vMerge w:val="restart"/>
                  <w:tcBorders>
                    <w:tl2br w:val="nil"/>
                    <w:tr2bl w:val="nil"/>
                  </w:tcBorders>
                  <w:noWrap w:val="0"/>
                  <w:vAlign w:val="center"/>
                </w:tcPr>
                <w:p w14:paraId="0818650E">
                  <w:pPr>
                    <w:widowControl/>
                    <w:jc w:val="center"/>
                    <w:rPr>
                      <w:szCs w:val="21"/>
                    </w:rPr>
                  </w:pPr>
                  <w:r>
                    <w:rPr>
                      <w:rFonts w:hint="eastAsia"/>
                      <w:szCs w:val="21"/>
                    </w:rPr>
                    <w:t>2.0</w:t>
                  </w:r>
                </w:p>
              </w:tc>
              <w:tc>
                <w:tcPr>
                  <w:tcW w:w="675" w:type="pct"/>
                  <w:vMerge w:val="restart"/>
                  <w:tcBorders>
                    <w:tl2br w:val="nil"/>
                    <w:tr2bl w:val="nil"/>
                  </w:tcBorders>
                  <w:noWrap w:val="0"/>
                  <w:vAlign w:val="center"/>
                </w:tcPr>
                <w:p w14:paraId="3A1B6121">
                  <w:pPr>
                    <w:widowControl/>
                    <w:jc w:val="center"/>
                    <w:rPr>
                      <w:szCs w:val="21"/>
                    </w:rPr>
                  </w:pPr>
                  <w:r>
                    <w:rPr>
                      <w:szCs w:val="21"/>
                    </w:rPr>
                    <w:t>达标</w:t>
                  </w:r>
                </w:p>
              </w:tc>
            </w:tr>
            <w:tr w14:paraId="0D6FCE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0" w:type="pct"/>
                  <w:vMerge w:val="continue"/>
                  <w:tcBorders>
                    <w:tl2br w:val="nil"/>
                    <w:tr2bl w:val="nil"/>
                  </w:tcBorders>
                  <w:noWrap w:val="0"/>
                  <w:vAlign w:val="center"/>
                </w:tcPr>
                <w:p w14:paraId="45607681">
                  <w:pPr>
                    <w:widowControl/>
                    <w:jc w:val="center"/>
                    <w:rPr>
                      <w:szCs w:val="21"/>
                    </w:rPr>
                  </w:pPr>
                </w:p>
              </w:tc>
              <w:tc>
                <w:tcPr>
                  <w:tcW w:w="1117" w:type="pct"/>
                  <w:tcBorders>
                    <w:tl2br w:val="nil"/>
                    <w:tr2bl w:val="nil"/>
                  </w:tcBorders>
                  <w:noWrap w:val="0"/>
                  <w:vAlign w:val="center"/>
                </w:tcPr>
                <w:p w14:paraId="5136FADB">
                  <w:pPr>
                    <w:widowControl/>
                    <w:jc w:val="center"/>
                    <w:textAlignment w:val="center"/>
                    <w:rPr>
                      <w:rFonts w:hint="default" w:eastAsia="宋体"/>
                      <w:szCs w:val="21"/>
                      <w:lang w:val="en-US" w:eastAsia="zh-CN"/>
                    </w:rPr>
                  </w:pPr>
                  <w:r>
                    <w:rPr>
                      <w:rFonts w:hint="eastAsia"/>
                      <w:szCs w:val="21"/>
                      <w:lang w:val="en-US" w:eastAsia="zh-CN"/>
                    </w:rPr>
                    <w:t>1.13~1.14</w:t>
                  </w:r>
                </w:p>
              </w:tc>
              <w:tc>
                <w:tcPr>
                  <w:tcW w:w="491" w:type="pct"/>
                  <w:vMerge w:val="continue"/>
                  <w:tcBorders>
                    <w:tl2br w:val="nil"/>
                    <w:tr2bl w:val="nil"/>
                  </w:tcBorders>
                  <w:noWrap w:val="0"/>
                  <w:vAlign w:val="center"/>
                </w:tcPr>
                <w:p w14:paraId="63CEF02C">
                  <w:pPr>
                    <w:widowControl/>
                    <w:jc w:val="center"/>
                    <w:textAlignment w:val="center"/>
                    <w:rPr>
                      <w:szCs w:val="21"/>
                    </w:rPr>
                  </w:pPr>
                </w:p>
              </w:tc>
              <w:tc>
                <w:tcPr>
                  <w:tcW w:w="1081" w:type="pct"/>
                  <w:tcBorders>
                    <w:tl2br w:val="nil"/>
                    <w:tr2bl w:val="nil"/>
                  </w:tcBorders>
                  <w:noWrap w:val="0"/>
                  <w:vAlign w:val="center"/>
                </w:tcPr>
                <w:p w14:paraId="2B5AE1DE">
                  <w:pPr>
                    <w:widowControl/>
                    <w:jc w:val="center"/>
                    <w:rPr>
                      <w:rFonts w:hint="default" w:eastAsia="宋体"/>
                      <w:szCs w:val="21"/>
                      <w:lang w:val="en-US" w:eastAsia="zh-CN"/>
                    </w:rPr>
                  </w:pPr>
                  <w:r>
                    <w:rPr>
                      <w:rFonts w:hint="eastAsia"/>
                      <w:szCs w:val="21"/>
                      <w:lang w:val="en-US" w:eastAsia="zh-CN"/>
                    </w:rPr>
                    <w:t>0.85</w:t>
                  </w:r>
                </w:p>
              </w:tc>
              <w:tc>
                <w:tcPr>
                  <w:tcW w:w="762" w:type="pct"/>
                  <w:vMerge w:val="continue"/>
                  <w:tcBorders>
                    <w:tl2br w:val="nil"/>
                    <w:tr2bl w:val="nil"/>
                  </w:tcBorders>
                  <w:noWrap w:val="0"/>
                  <w:vAlign w:val="center"/>
                </w:tcPr>
                <w:p w14:paraId="22A62895">
                  <w:pPr>
                    <w:widowControl/>
                    <w:jc w:val="center"/>
                    <w:rPr>
                      <w:szCs w:val="21"/>
                    </w:rPr>
                  </w:pPr>
                </w:p>
              </w:tc>
              <w:tc>
                <w:tcPr>
                  <w:tcW w:w="675" w:type="pct"/>
                  <w:vMerge w:val="continue"/>
                  <w:tcBorders>
                    <w:tl2br w:val="nil"/>
                    <w:tr2bl w:val="nil"/>
                  </w:tcBorders>
                  <w:noWrap w:val="0"/>
                  <w:vAlign w:val="center"/>
                </w:tcPr>
                <w:p w14:paraId="6F1903F3">
                  <w:pPr>
                    <w:widowControl/>
                    <w:jc w:val="center"/>
                    <w:rPr>
                      <w:szCs w:val="21"/>
                    </w:rPr>
                  </w:pPr>
                </w:p>
              </w:tc>
            </w:tr>
            <w:tr w14:paraId="3DE8AE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0" w:type="pct"/>
                  <w:vMerge w:val="continue"/>
                  <w:tcBorders>
                    <w:tl2br w:val="nil"/>
                    <w:tr2bl w:val="nil"/>
                  </w:tcBorders>
                  <w:noWrap w:val="0"/>
                  <w:vAlign w:val="center"/>
                </w:tcPr>
                <w:p w14:paraId="57C69676">
                  <w:pPr>
                    <w:widowControl/>
                    <w:jc w:val="center"/>
                    <w:rPr>
                      <w:szCs w:val="21"/>
                    </w:rPr>
                  </w:pPr>
                </w:p>
              </w:tc>
              <w:tc>
                <w:tcPr>
                  <w:tcW w:w="1117" w:type="pct"/>
                  <w:tcBorders>
                    <w:tl2br w:val="nil"/>
                    <w:tr2bl w:val="nil"/>
                  </w:tcBorders>
                  <w:noWrap w:val="0"/>
                  <w:vAlign w:val="center"/>
                </w:tcPr>
                <w:p w14:paraId="6750F4B5">
                  <w:pPr>
                    <w:widowControl/>
                    <w:jc w:val="center"/>
                    <w:textAlignment w:val="center"/>
                    <w:rPr>
                      <w:rFonts w:hint="default" w:eastAsia="宋体"/>
                      <w:szCs w:val="21"/>
                      <w:lang w:val="en-US" w:eastAsia="zh-CN"/>
                    </w:rPr>
                  </w:pPr>
                  <w:r>
                    <w:rPr>
                      <w:rFonts w:hint="eastAsia"/>
                      <w:szCs w:val="21"/>
                      <w:lang w:val="en-US" w:eastAsia="zh-CN"/>
                    </w:rPr>
                    <w:t>1.14~1.15</w:t>
                  </w:r>
                </w:p>
              </w:tc>
              <w:tc>
                <w:tcPr>
                  <w:tcW w:w="491" w:type="pct"/>
                  <w:vMerge w:val="continue"/>
                  <w:tcBorders>
                    <w:tl2br w:val="nil"/>
                    <w:tr2bl w:val="nil"/>
                  </w:tcBorders>
                  <w:noWrap w:val="0"/>
                  <w:vAlign w:val="center"/>
                </w:tcPr>
                <w:p w14:paraId="772F6A72">
                  <w:pPr>
                    <w:widowControl/>
                    <w:jc w:val="center"/>
                    <w:textAlignment w:val="center"/>
                    <w:rPr>
                      <w:szCs w:val="21"/>
                    </w:rPr>
                  </w:pPr>
                </w:p>
              </w:tc>
              <w:tc>
                <w:tcPr>
                  <w:tcW w:w="1081" w:type="pct"/>
                  <w:tcBorders>
                    <w:tl2br w:val="nil"/>
                    <w:tr2bl w:val="nil"/>
                  </w:tcBorders>
                  <w:noWrap w:val="0"/>
                  <w:vAlign w:val="center"/>
                </w:tcPr>
                <w:p w14:paraId="5A4062D2">
                  <w:pPr>
                    <w:widowControl/>
                    <w:jc w:val="center"/>
                    <w:rPr>
                      <w:rFonts w:hint="default" w:eastAsia="宋体"/>
                      <w:szCs w:val="21"/>
                      <w:lang w:val="en-US" w:eastAsia="zh-CN"/>
                    </w:rPr>
                  </w:pPr>
                  <w:r>
                    <w:rPr>
                      <w:rFonts w:hint="eastAsia"/>
                      <w:szCs w:val="21"/>
                      <w:lang w:val="en-US" w:eastAsia="zh-CN"/>
                    </w:rPr>
                    <w:t>0.86</w:t>
                  </w:r>
                </w:p>
              </w:tc>
              <w:tc>
                <w:tcPr>
                  <w:tcW w:w="762" w:type="pct"/>
                  <w:vMerge w:val="continue"/>
                  <w:tcBorders>
                    <w:tl2br w:val="nil"/>
                    <w:tr2bl w:val="nil"/>
                  </w:tcBorders>
                  <w:noWrap w:val="0"/>
                  <w:vAlign w:val="center"/>
                </w:tcPr>
                <w:p w14:paraId="532C0022">
                  <w:pPr>
                    <w:widowControl/>
                    <w:jc w:val="center"/>
                    <w:rPr>
                      <w:szCs w:val="21"/>
                    </w:rPr>
                  </w:pPr>
                </w:p>
              </w:tc>
              <w:tc>
                <w:tcPr>
                  <w:tcW w:w="675" w:type="pct"/>
                  <w:vMerge w:val="continue"/>
                  <w:tcBorders>
                    <w:tl2br w:val="nil"/>
                    <w:tr2bl w:val="nil"/>
                  </w:tcBorders>
                  <w:noWrap w:val="0"/>
                  <w:vAlign w:val="center"/>
                </w:tcPr>
                <w:p w14:paraId="379FD133">
                  <w:pPr>
                    <w:widowControl/>
                    <w:jc w:val="center"/>
                    <w:rPr>
                      <w:szCs w:val="21"/>
                    </w:rPr>
                  </w:pPr>
                </w:p>
              </w:tc>
            </w:tr>
            <w:tr w14:paraId="41D068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0" w:type="pct"/>
                  <w:vMerge w:val="continue"/>
                  <w:tcBorders>
                    <w:tl2br w:val="nil"/>
                    <w:tr2bl w:val="nil"/>
                  </w:tcBorders>
                  <w:noWrap w:val="0"/>
                  <w:vAlign w:val="center"/>
                </w:tcPr>
                <w:p w14:paraId="1EBD2C3F">
                  <w:pPr>
                    <w:widowControl/>
                    <w:jc w:val="center"/>
                    <w:rPr>
                      <w:szCs w:val="21"/>
                    </w:rPr>
                  </w:pPr>
                </w:p>
              </w:tc>
              <w:tc>
                <w:tcPr>
                  <w:tcW w:w="1117" w:type="pct"/>
                  <w:tcBorders>
                    <w:tl2br w:val="nil"/>
                    <w:tr2bl w:val="nil"/>
                  </w:tcBorders>
                  <w:noWrap w:val="0"/>
                  <w:vAlign w:val="center"/>
                </w:tcPr>
                <w:p w14:paraId="1079BDDE">
                  <w:pPr>
                    <w:widowControl/>
                    <w:jc w:val="center"/>
                    <w:textAlignment w:val="center"/>
                    <w:rPr>
                      <w:rFonts w:hint="default" w:eastAsia="宋体"/>
                      <w:szCs w:val="21"/>
                      <w:lang w:val="en-US" w:eastAsia="zh-CN"/>
                    </w:rPr>
                  </w:pPr>
                  <w:r>
                    <w:rPr>
                      <w:rFonts w:hint="eastAsia"/>
                      <w:szCs w:val="21"/>
                      <w:lang w:val="en-US" w:eastAsia="zh-CN"/>
                    </w:rPr>
                    <w:t>1.15~1.16</w:t>
                  </w:r>
                </w:p>
              </w:tc>
              <w:tc>
                <w:tcPr>
                  <w:tcW w:w="491" w:type="pct"/>
                  <w:vMerge w:val="continue"/>
                  <w:tcBorders>
                    <w:tl2br w:val="nil"/>
                    <w:tr2bl w:val="nil"/>
                  </w:tcBorders>
                  <w:noWrap w:val="0"/>
                  <w:vAlign w:val="center"/>
                </w:tcPr>
                <w:p w14:paraId="082D6B59">
                  <w:pPr>
                    <w:widowControl/>
                    <w:jc w:val="center"/>
                    <w:textAlignment w:val="center"/>
                    <w:rPr>
                      <w:szCs w:val="21"/>
                    </w:rPr>
                  </w:pPr>
                </w:p>
              </w:tc>
              <w:tc>
                <w:tcPr>
                  <w:tcW w:w="1081" w:type="pct"/>
                  <w:tcBorders>
                    <w:tl2br w:val="nil"/>
                    <w:tr2bl w:val="nil"/>
                  </w:tcBorders>
                  <w:noWrap w:val="0"/>
                  <w:vAlign w:val="center"/>
                </w:tcPr>
                <w:p w14:paraId="12D72C63">
                  <w:pPr>
                    <w:widowControl/>
                    <w:jc w:val="center"/>
                    <w:rPr>
                      <w:rFonts w:hint="default" w:eastAsia="宋体"/>
                      <w:szCs w:val="21"/>
                      <w:lang w:val="en-US" w:eastAsia="zh-CN"/>
                    </w:rPr>
                  </w:pPr>
                  <w:r>
                    <w:rPr>
                      <w:rFonts w:hint="eastAsia"/>
                      <w:szCs w:val="21"/>
                      <w:lang w:val="en-US" w:eastAsia="zh-CN"/>
                    </w:rPr>
                    <w:t>0.89</w:t>
                  </w:r>
                </w:p>
              </w:tc>
              <w:tc>
                <w:tcPr>
                  <w:tcW w:w="762" w:type="pct"/>
                  <w:vMerge w:val="continue"/>
                  <w:tcBorders>
                    <w:tl2br w:val="nil"/>
                    <w:tr2bl w:val="nil"/>
                  </w:tcBorders>
                  <w:noWrap w:val="0"/>
                  <w:vAlign w:val="center"/>
                </w:tcPr>
                <w:p w14:paraId="30C31A05">
                  <w:pPr>
                    <w:widowControl/>
                    <w:jc w:val="center"/>
                    <w:rPr>
                      <w:szCs w:val="21"/>
                    </w:rPr>
                  </w:pPr>
                </w:p>
              </w:tc>
              <w:tc>
                <w:tcPr>
                  <w:tcW w:w="675" w:type="pct"/>
                  <w:vMerge w:val="continue"/>
                  <w:tcBorders>
                    <w:tl2br w:val="nil"/>
                    <w:tr2bl w:val="nil"/>
                  </w:tcBorders>
                  <w:noWrap w:val="0"/>
                  <w:vAlign w:val="center"/>
                </w:tcPr>
                <w:p w14:paraId="1366A220">
                  <w:pPr>
                    <w:widowControl/>
                    <w:jc w:val="center"/>
                    <w:rPr>
                      <w:szCs w:val="21"/>
                    </w:rPr>
                  </w:pPr>
                </w:p>
              </w:tc>
            </w:tr>
            <w:tr w14:paraId="68E3A0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0" w:type="pct"/>
                  <w:vMerge w:val="continue"/>
                  <w:tcBorders>
                    <w:tl2br w:val="nil"/>
                    <w:tr2bl w:val="nil"/>
                  </w:tcBorders>
                  <w:noWrap w:val="0"/>
                  <w:vAlign w:val="center"/>
                </w:tcPr>
                <w:p w14:paraId="2BF1B5B9">
                  <w:pPr>
                    <w:widowControl/>
                    <w:jc w:val="center"/>
                    <w:rPr>
                      <w:szCs w:val="21"/>
                    </w:rPr>
                  </w:pPr>
                </w:p>
              </w:tc>
              <w:tc>
                <w:tcPr>
                  <w:tcW w:w="1117" w:type="pct"/>
                  <w:tcBorders>
                    <w:tl2br w:val="nil"/>
                    <w:tr2bl w:val="nil"/>
                  </w:tcBorders>
                  <w:noWrap w:val="0"/>
                  <w:vAlign w:val="center"/>
                </w:tcPr>
                <w:p w14:paraId="6FD3A296">
                  <w:pPr>
                    <w:widowControl/>
                    <w:jc w:val="center"/>
                    <w:textAlignment w:val="center"/>
                    <w:rPr>
                      <w:rFonts w:hint="default" w:eastAsia="宋体"/>
                      <w:szCs w:val="21"/>
                      <w:lang w:val="en-US" w:eastAsia="zh-CN"/>
                    </w:rPr>
                  </w:pPr>
                  <w:r>
                    <w:rPr>
                      <w:rFonts w:hint="eastAsia"/>
                      <w:szCs w:val="21"/>
                      <w:lang w:val="en-US" w:eastAsia="zh-CN"/>
                    </w:rPr>
                    <w:t>1.16~1.17</w:t>
                  </w:r>
                </w:p>
              </w:tc>
              <w:tc>
                <w:tcPr>
                  <w:tcW w:w="491" w:type="pct"/>
                  <w:vMerge w:val="continue"/>
                  <w:tcBorders>
                    <w:tl2br w:val="nil"/>
                    <w:tr2bl w:val="nil"/>
                  </w:tcBorders>
                  <w:noWrap w:val="0"/>
                  <w:vAlign w:val="center"/>
                </w:tcPr>
                <w:p w14:paraId="680C17EA">
                  <w:pPr>
                    <w:widowControl/>
                    <w:jc w:val="center"/>
                    <w:textAlignment w:val="center"/>
                    <w:rPr>
                      <w:szCs w:val="21"/>
                    </w:rPr>
                  </w:pPr>
                </w:p>
              </w:tc>
              <w:tc>
                <w:tcPr>
                  <w:tcW w:w="1081" w:type="pct"/>
                  <w:tcBorders>
                    <w:tl2br w:val="nil"/>
                    <w:tr2bl w:val="nil"/>
                  </w:tcBorders>
                  <w:noWrap w:val="0"/>
                  <w:vAlign w:val="center"/>
                </w:tcPr>
                <w:p w14:paraId="4B7EB528">
                  <w:pPr>
                    <w:widowControl/>
                    <w:jc w:val="center"/>
                    <w:rPr>
                      <w:rFonts w:hint="default" w:eastAsia="宋体"/>
                      <w:szCs w:val="21"/>
                      <w:lang w:val="en-US" w:eastAsia="zh-CN"/>
                    </w:rPr>
                  </w:pPr>
                  <w:r>
                    <w:rPr>
                      <w:rFonts w:hint="eastAsia"/>
                      <w:szCs w:val="21"/>
                      <w:lang w:val="en-US" w:eastAsia="zh-CN"/>
                    </w:rPr>
                    <w:t>0.86</w:t>
                  </w:r>
                </w:p>
              </w:tc>
              <w:tc>
                <w:tcPr>
                  <w:tcW w:w="762" w:type="pct"/>
                  <w:vMerge w:val="continue"/>
                  <w:tcBorders>
                    <w:tl2br w:val="nil"/>
                    <w:tr2bl w:val="nil"/>
                  </w:tcBorders>
                  <w:noWrap w:val="0"/>
                  <w:vAlign w:val="center"/>
                </w:tcPr>
                <w:p w14:paraId="16FEFCA4">
                  <w:pPr>
                    <w:widowControl/>
                    <w:jc w:val="center"/>
                    <w:rPr>
                      <w:szCs w:val="21"/>
                    </w:rPr>
                  </w:pPr>
                </w:p>
              </w:tc>
              <w:tc>
                <w:tcPr>
                  <w:tcW w:w="675" w:type="pct"/>
                  <w:vMerge w:val="continue"/>
                  <w:tcBorders>
                    <w:tl2br w:val="nil"/>
                    <w:tr2bl w:val="nil"/>
                  </w:tcBorders>
                  <w:noWrap w:val="0"/>
                  <w:vAlign w:val="center"/>
                </w:tcPr>
                <w:p w14:paraId="3EE520CA">
                  <w:pPr>
                    <w:widowControl/>
                    <w:jc w:val="center"/>
                    <w:rPr>
                      <w:szCs w:val="21"/>
                    </w:rPr>
                  </w:pPr>
                </w:p>
              </w:tc>
            </w:tr>
            <w:tr w14:paraId="4E8276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0" w:type="pct"/>
                  <w:vMerge w:val="continue"/>
                  <w:tcBorders>
                    <w:tl2br w:val="nil"/>
                    <w:tr2bl w:val="nil"/>
                  </w:tcBorders>
                  <w:noWrap w:val="0"/>
                  <w:vAlign w:val="center"/>
                </w:tcPr>
                <w:p w14:paraId="40E0D6A1">
                  <w:pPr>
                    <w:widowControl/>
                    <w:jc w:val="center"/>
                    <w:rPr>
                      <w:szCs w:val="21"/>
                    </w:rPr>
                  </w:pPr>
                </w:p>
              </w:tc>
              <w:tc>
                <w:tcPr>
                  <w:tcW w:w="1117" w:type="pct"/>
                  <w:tcBorders>
                    <w:tl2br w:val="nil"/>
                    <w:tr2bl w:val="nil"/>
                  </w:tcBorders>
                  <w:noWrap w:val="0"/>
                  <w:vAlign w:val="center"/>
                </w:tcPr>
                <w:p w14:paraId="018EAED4">
                  <w:pPr>
                    <w:widowControl/>
                    <w:jc w:val="center"/>
                    <w:textAlignment w:val="center"/>
                    <w:rPr>
                      <w:rFonts w:hint="default" w:eastAsia="宋体"/>
                      <w:szCs w:val="21"/>
                      <w:lang w:val="en-US" w:eastAsia="zh-CN"/>
                    </w:rPr>
                  </w:pPr>
                  <w:r>
                    <w:rPr>
                      <w:rFonts w:hint="eastAsia"/>
                      <w:szCs w:val="21"/>
                      <w:lang w:val="en-US" w:eastAsia="zh-CN"/>
                    </w:rPr>
                    <w:t>1.17~1.18</w:t>
                  </w:r>
                </w:p>
              </w:tc>
              <w:tc>
                <w:tcPr>
                  <w:tcW w:w="491" w:type="pct"/>
                  <w:vMerge w:val="continue"/>
                  <w:tcBorders>
                    <w:tl2br w:val="nil"/>
                    <w:tr2bl w:val="nil"/>
                  </w:tcBorders>
                  <w:noWrap w:val="0"/>
                  <w:vAlign w:val="center"/>
                </w:tcPr>
                <w:p w14:paraId="09D5EEA7">
                  <w:pPr>
                    <w:widowControl/>
                    <w:jc w:val="center"/>
                    <w:textAlignment w:val="center"/>
                    <w:rPr>
                      <w:szCs w:val="21"/>
                    </w:rPr>
                  </w:pPr>
                </w:p>
              </w:tc>
              <w:tc>
                <w:tcPr>
                  <w:tcW w:w="1081" w:type="pct"/>
                  <w:tcBorders>
                    <w:tl2br w:val="nil"/>
                    <w:tr2bl w:val="nil"/>
                  </w:tcBorders>
                  <w:noWrap w:val="0"/>
                  <w:vAlign w:val="center"/>
                </w:tcPr>
                <w:p w14:paraId="554BC033">
                  <w:pPr>
                    <w:widowControl/>
                    <w:jc w:val="center"/>
                    <w:rPr>
                      <w:rFonts w:hint="default" w:eastAsia="宋体"/>
                      <w:szCs w:val="21"/>
                      <w:lang w:val="en-US" w:eastAsia="zh-CN"/>
                    </w:rPr>
                  </w:pPr>
                  <w:r>
                    <w:rPr>
                      <w:rFonts w:hint="eastAsia"/>
                      <w:szCs w:val="21"/>
                      <w:lang w:val="en-US" w:eastAsia="zh-CN"/>
                    </w:rPr>
                    <w:t>0.90</w:t>
                  </w:r>
                </w:p>
              </w:tc>
              <w:tc>
                <w:tcPr>
                  <w:tcW w:w="762" w:type="pct"/>
                  <w:vMerge w:val="continue"/>
                  <w:tcBorders>
                    <w:tl2br w:val="nil"/>
                    <w:tr2bl w:val="nil"/>
                  </w:tcBorders>
                  <w:noWrap w:val="0"/>
                  <w:vAlign w:val="center"/>
                </w:tcPr>
                <w:p w14:paraId="07291D06">
                  <w:pPr>
                    <w:widowControl/>
                    <w:jc w:val="center"/>
                    <w:rPr>
                      <w:szCs w:val="21"/>
                    </w:rPr>
                  </w:pPr>
                </w:p>
              </w:tc>
              <w:tc>
                <w:tcPr>
                  <w:tcW w:w="675" w:type="pct"/>
                  <w:vMerge w:val="continue"/>
                  <w:tcBorders>
                    <w:tl2br w:val="nil"/>
                    <w:tr2bl w:val="nil"/>
                  </w:tcBorders>
                  <w:noWrap w:val="0"/>
                  <w:vAlign w:val="center"/>
                </w:tcPr>
                <w:p w14:paraId="34448D39">
                  <w:pPr>
                    <w:widowControl/>
                    <w:jc w:val="center"/>
                    <w:rPr>
                      <w:szCs w:val="21"/>
                    </w:rPr>
                  </w:pPr>
                </w:p>
              </w:tc>
            </w:tr>
            <w:tr w14:paraId="441A2A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0" w:type="pct"/>
                  <w:vMerge w:val="continue"/>
                  <w:tcBorders>
                    <w:tl2br w:val="nil"/>
                    <w:tr2bl w:val="nil"/>
                  </w:tcBorders>
                  <w:noWrap w:val="0"/>
                  <w:vAlign w:val="center"/>
                </w:tcPr>
                <w:p w14:paraId="5CC9375D">
                  <w:pPr>
                    <w:widowControl/>
                    <w:jc w:val="center"/>
                    <w:rPr>
                      <w:szCs w:val="21"/>
                    </w:rPr>
                  </w:pPr>
                </w:p>
              </w:tc>
              <w:tc>
                <w:tcPr>
                  <w:tcW w:w="1117" w:type="pct"/>
                  <w:tcBorders>
                    <w:tl2br w:val="nil"/>
                    <w:tr2bl w:val="nil"/>
                  </w:tcBorders>
                  <w:noWrap w:val="0"/>
                  <w:vAlign w:val="center"/>
                </w:tcPr>
                <w:p w14:paraId="7250DD69">
                  <w:pPr>
                    <w:widowControl/>
                    <w:jc w:val="center"/>
                    <w:textAlignment w:val="center"/>
                    <w:rPr>
                      <w:rFonts w:hint="default" w:eastAsia="宋体"/>
                      <w:szCs w:val="21"/>
                      <w:lang w:val="en-US" w:eastAsia="zh-CN"/>
                    </w:rPr>
                  </w:pPr>
                  <w:r>
                    <w:rPr>
                      <w:rFonts w:hint="eastAsia"/>
                      <w:szCs w:val="21"/>
                      <w:lang w:val="en-US" w:eastAsia="zh-CN"/>
                    </w:rPr>
                    <w:t>1.18~1.19</w:t>
                  </w:r>
                </w:p>
              </w:tc>
              <w:tc>
                <w:tcPr>
                  <w:tcW w:w="491" w:type="pct"/>
                  <w:vMerge w:val="continue"/>
                  <w:tcBorders>
                    <w:tl2br w:val="nil"/>
                    <w:tr2bl w:val="nil"/>
                  </w:tcBorders>
                  <w:noWrap w:val="0"/>
                  <w:vAlign w:val="center"/>
                </w:tcPr>
                <w:p w14:paraId="57F5221B">
                  <w:pPr>
                    <w:widowControl/>
                    <w:jc w:val="center"/>
                    <w:textAlignment w:val="center"/>
                    <w:rPr>
                      <w:szCs w:val="21"/>
                    </w:rPr>
                  </w:pPr>
                </w:p>
              </w:tc>
              <w:tc>
                <w:tcPr>
                  <w:tcW w:w="1081" w:type="pct"/>
                  <w:tcBorders>
                    <w:tl2br w:val="nil"/>
                    <w:tr2bl w:val="nil"/>
                  </w:tcBorders>
                  <w:noWrap w:val="0"/>
                  <w:vAlign w:val="center"/>
                </w:tcPr>
                <w:p w14:paraId="57426936">
                  <w:pPr>
                    <w:widowControl/>
                    <w:jc w:val="center"/>
                    <w:rPr>
                      <w:rFonts w:hint="default" w:eastAsia="宋体"/>
                      <w:szCs w:val="21"/>
                      <w:lang w:val="en-US" w:eastAsia="zh-CN"/>
                    </w:rPr>
                  </w:pPr>
                  <w:r>
                    <w:rPr>
                      <w:rFonts w:hint="eastAsia"/>
                      <w:szCs w:val="21"/>
                      <w:lang w:val="en-US" w:eastAsia="zh-CN"/>
                    </w:rPr>
                    <w:t>0.88</w:t>
                  </w:r>
                </w:p>
              </w:tc>
              <w:tc>
                <w:tcPr>
                  <w:tcW w:w="762" w:type="pct"/>
                  <w:vMerge w:val="continue"/>
                  <w:tcBorders>
                    <w:tl2br w:val="nil"/>
                    <w:tr2bl w:val="nil"/>
                  </w:tcBorders>
                  <w:noWrap w:val="0"/>
                  <w:vAlign w:val="center"/>
                </w:tcPr>
                <w:p w14:paraId="1656BFB7">
                  <w:pPr>
                    <w:widowControl/>
                    <w:jc w:val="center"/>
                    <w:rPr>
                      <w:szCs w:val="21"/>
                    </w:rPr>
                  </w:pPr>
                </w:p>
              </w:tc>
              <w:tc>
                <w:tcPr>
                  <w:tcW w:w="675" w:type="pct"/>
                  <w:vMerge w:val="continue"/>
                  <w:tcBorders>
                    <w:tl2br w:val="nil"/>
                    <w:tr2bl w:val="nil"/>
                  </w:tcBorders>
                  <w:noWrap w:val="0"/>
                  <w:vAlign w:val="center"/>
                </w:tcPr>
                <w:p w14:paraId="4F5B5EF2">
                  <w:pPr>
                    <w:widowControl/>
                    <w:jc w:val="center"/>
                    <w:rPr>
                      <w:szCs w:val="21"/>
                    </w:rPr>
                  </w:pPr>
                </w:p>
              </w:tc>
            </w:tr>
          </w:tbl>
          <w:p w14:paraId="7FF8D0BB">
            <w:pPr>
              <w:spacing w:line="360" w:lineRule="auto"/>
              <w:ind w:firstLine="480" w:firstLineChars="200"/>
              <w:rPr>
                <w:rFonts w:hint="default" w:ascii="Times New Roman" w:hAnsi="Times New Roman" w:cs="Times New Roman"/>
                <w:lang w:val="en-US" w:eastAsia="zh-CN"/>
              </w:rPr>
            </w:pPr>
            <w:r>
              <w:rPr>
                <w:rFonts w:hint="eastAsia"/>
                <w:sz w:val="24"/>
                <w:szCs w:val="32"/>
              </w:rPr>
              <w:t>由引用监测结果可知，项目所在区域非甲烷总烃满足《大气污染物综合排放标准详解》限值要求。</w:t>
            </w:r>
          </w:p>
          <w:p w14:paraId="20B0FD25">
            <w:pPr>
              <w:pStyle w:val="4"/>
              <w:numPr>
                <w:ilvl w:val="0"/>
                <w:numId w:val="6"/>
              </w:numPr>
              <w:spacing w:line="360" w:lineRule="auto"/>
              <w:rPr>
                <w:rFonts w:hint="default" w:ascii="Times New Roman" w:hAnsi="Times New Roman" w:cs="Times New Roman"/>
                <w:b/>
                <w:bCs/>
                <w:sz w:val="24"/>
                <w:szCs w:val="24"/>
                <w:lang w:val="en-US" w:eastAsia="zh-CN"/>
              </w:rPr>
            </w:pPr>
            <w:bookmarkStart w:id="8" w:name="_Toc18978"/>
            <w:r>
              <w:rPr>
                <w:rFonts w:hint="default" w:ascii="Times New Roman" w:hAnsi="Times New Roman" w:cs="Times New Roman"/>
                <w:b/>
                <w:bCs/>
                <w:sz w:val="24"/>
                <w:szCs w:val="24"/>
                <w:lang w:val="en-US" w:eastAsia="zh-CN"/>
              </w:rPr>
              <w:t>声环境质量现状</w:t>
            </w:r>
            <w:bookmarkEnd w:id="8"/>
          </w:p>
          <w:p w14:paraId="07AA1416">
            <w:pPr>
              <w:spacing w:line="360" w:lineRule="auto"/>
              <w:ind w:firstLine="480" w:firstLineChars="200"/>
              <w:rPr>
                <w:rFonts w:hint="default" w:ascii="Times New Roman" w:hAnsi="Times New Roman" w:eastAsia="宋体" w:cs="Times New Roman"/>
                <w:color w:val="000000"/>
                <w:sz w:val="24"/>
                <w:szCs w:val="24"/>
                <w:lang w:val="en-US"/>
              </w:rPr>
            </w:pPr>
            <w:r>
              <w:rPr>
                <w:rFonts w:hint="default" w:ascii="Times New Roman" w:hAnsi="Times New Roman" w:cs="Times New Roman"/>
                <w:color w:val="auto"/>
                <w:sz w:val="24"/>
                <w:szCs w:val="24"/>
                <w:lang w:val="en-US" w:eastAsia="zh-CN"/>
              </w:rPr>
              <w:t>根据《建设项目环境影响报告表编制技术指南（污染影响类）（试行）》中</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厂界外周边50米范围内存在声环境保护目标的建设项目，应监测保护目标声环境质量现状并评价达标情况</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w:t>
            </w:r>
          </w:p>
          <w:p w14:paraId="338C08EC">
            <w:pPr>
              <w:spacing w:line="360" w:lineRule="auto"/>
              <w:ind w:firstLine="480" w:firstLineChars="200"/>
              <w:rPr>
                <w:rFonts w:hint="default" w:ascii="Times New Roman" w:hAnsi="Times New Roman" w:cs="Times New Roman"/>
                <w:b/>
                <w:bCs/>
                <w:lang w:val="en-US" w:eastAsia="zh-CN"/>
              </w:rPr>
            </w:pPr>
            <w:r>
              <w:rPr>
                <w:rFonts w:hint="default" w:ascii="Times New Roman" w:hAnsi="Times New Roman" w:eastAsia="宋体" w:cs="Times New Roman"/>
                <w:color w:val="000000"/>
                <w:sz w:val="24"/>
                <w:szCs w:val="24"/>
              </w:rPr>
              <w:t>本项目位于</w:t>
            </w:r>
            <w:r>
              <w:rPr>
                <w:rFonts w:hint="eastAsia" w:ascii="Times New Roman" w:hAnsi="Times New Roman" w:eastAsia="宋体" w:cs="Times New Roman"/>
                <w:color w:val="000000"/>
                <w:sz w:val="24"/>
                <w:szCs w:val="24"/>
                <w:lang w:val="en-US" w:eastAsia="zh-CN"/>
              </w:rPr>
              <w:t>陕西省西咸新区泾河新城永乐镇泾河智造创新产业园18#3层</w:t>
            </w:r>
            <w:r>
              <w:rPr>
                <w:rFonts w:hint="default" w:ascii="Times New Roman" w:hAnsi="Times New Roman" w:cs="Times New Roman"/>
                <w:color w:val="000000"/>
                <w:kern w:val="0"/>
                <w:sz w:val="24"/>
                <w:szCs w:val="22"/>
                <w:lang w:val="zh-CN" w:bidi="zh-CN"/>
              </w:rPr>
              <w:t>，</w:t>
            </w:r>
            <w:r>
              <w:rPr>
                <w:rFonts w:hint="default" w:ascii="Times New Roman" w:hAnsi="Times New Roman" w:cs="Times New Roman"/>
                <w:color w:val="000000"/>
                <w:kern w:val="0"/>
                <w:sz w:val="24"/>
                <w:szCs w:val="22"/>
                <w:lang w:val="en-US" w:bidi="zh-CN"/>
              </w:rPr>
              <w:t>根据现场踏勘，项目</w:t>
            </w:r>
            <w:r>
              <w:rPr>
                <w:rFonts w:hint="default" w:ascii="Times New Roman" w:hAnsi="Times New Roman" w:eastAsia="宋体" w:cs="Times New Roman"/>
                <w:color w:val="000000"/>
                <w:sz w:val="24"/>
                <w:szCs w:val="24"/>
              </w:rPr>
              <w:t>周围为</w:t>
            </w:r>
            <w:r>
              <w:rPr>
                <w:rFonts w:hint="default" w:ascii="Times New Roman" w:hAnsi="Times New Roman" w:eastAsia="宋体" w:cs="Times New Roman"/>
                <w:color w:val="000000"/>
                <w:sz w:val="24"/>
                <w:szCs w:val="24"/>
                <w:lang w:val="en-US" w:eastAsia="zh-CN"/>
              </w:rPr>
              <w:t>工业企业</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厂界外50m范围内无声环境保护目标</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因此</w:t>
            </w:r>
            <w:r>
              <w:rPr>
                <w:rFonts w:hint="eastAsia" w:ascii="Times New Roman" w:hAnsi="Times New Roman" w:eastAsia="宋体" w:cs="Times New Roman"/>
                <w:color w:val="000000"/>
                <w:sz w:val="24"/>
                <w:szCs w:val="24"/>
                <w:lang w:val="en-US" w:eastAsia="zh-CN"/>
              </w:rPr>
              <w:t>可不</w:t>
            </w:r>
            <w:r>
              <w:rPr>
                <w:rFonts w:hint="default" w:ascii="Times New Roman" w:hAnsi="Times New Roman" w:eastAsia="宋体" w:cs="Times New Roman"/>
                <w:color w:val="000000"/>
                <w:sz w:val="24"/>
                <w:szCs w:val="24"/>
                <w:lang w:val="en-US" w:eastAsia="zh-CN"/>
              </w:rPr>
              <w:t>进行声环境质量现状</w:t>
            </w:r>
            <w:r>
              <w:rPr>
                <w:rFonts w:hint="default" w:ascii="Times New Roman" w:hAnsi="Times New Roman" w:eastAsia="宋体" w:cs="Times New Roman"/>
                <w:color w:val="000000"/>
                <w:sz w:val="24"/>
                <w:szCs w:val="24"/>
              </w:rPr>
              <w:t>监测。</w:t>
            </w:r>
          </w:p>
          <w:p w14:paraId="71B4AF23">
            <w:pPr>
              <w:numPr>
                <w:ilvl w:val="0"/>
                <w:numId w:val="6"/>
              </w:numPr>
              <w:spacing w:line="360" w:lineRule="auto"/>
              <w:ind w:left="0" w:leftChars="0" w:firstLine="0" w:firstLineChars="0"/>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地表水环境质量现状</w:t>
            </w:r>
          </w:p>
          <w:p w14:paraId="0448BD3A">
            <w:pPr>
              <w:pStyle w:val="4"/>
              <w:spacing w:line="360" w:lineRule="auto"/>
              <w:ind w:firstLine="480" w:firstLineChars="200"/>
              <w:rPr>
                <w:rFonts w:hint="default" w:ascii="Times New Roman" w:hAnsi="Times New Roman" w:cs="Times New Roman"/>
                <w:b/>
                <w:bCs/>
                <w:lang w:val="en-US" w:eastAsia="zh-CN"/>
              </w:rPr>
            </w:pPr>
            <w:bookmarkStart w:id="9" w:name="_Toc8760"/>
            <w:r>
              <w:rPr>
                <w:rFonts w:hint="default" w:ascii="Times New Roman" w:hAnsi="Times New Roman" w:eastAsia="宋体" w:cs="Times New Roman"/>
                <w:color w:val="000000"/>
                <w:sz w:val="24"/>
                <w:szCs w:val="24"/>
              </w:rPr>
              <w:t>本项目位于</w:t>
            </w:r>
            <w:r>
              <w:rPr>
                <w:rFonts w:hint="eastAsia" w:ascii="Times New Roman" w:hAnsi="Times New Roman" w:eastAsia="宋体" w:cs="Times New Roman"/>
                <w:color w:val="000000"/>
                <w:sz w:val="24"/>
                <w:szCs w:val="24"/>
                <w:lang w:val="en-US" w:eastAsia="zh-CN"/>
              </w:rPr>
              <w:t>陕西省西咸新区泾河新城永乐镇泾河智造创新产业园18#3层</w:t>
            </w:r>
            <w:r>
              <w:rPr>
                <w:rFonts w:hint="default" w:ascii="Times New Roman" w:hAnsi="Times New Roman" w:cs="Times New Roman"/>
                <w:color w:val="000000"/>
                <w:kern w:val="0"/>
                <w:sz w:val="24"/>
                <w:szCs w:val="22"/>
                <w:lang w:val="zh-CN" w:bidi="zh-CN"/>
              </w:rPr>
              <w:t>，</w:t>
            </w:r>
            <w:r>
              <w:rPr>
                <w:rFonts w:hint="default" w:ascii="Times New Roman" w:hAnsi="Times New Roman" w:cs="Times New Roman"/>
                <w:color w:val="000000"/>
                <w:kern w:val="0"/>
                <w:sz w:val="24"/>
                <w:szCs w:val="22"/>
                <w:lang w:val="en-US" w:bidi="zh-CN"/>
              </w:rPr>
              <w:t>周围为工业企业，500m范围内无地表水体，生活污水依托园区化粪池处理后经市政污水管网排入泾河新城第二污水处理厂处理。根据</w:t>
            </w:r>
            <w:r>
              <w:rPr>
                <w:rFonts w:hint="default" w:ascii="Times New Roman" w:hAnsi="Times New Roman" w:cs="Times New Roman"/>
                <w:color w:val="auto"/>
                <w:sz w:val="24"/>
                <w:szCs w:val="24"/>
                <w:lang w:val="en-US" w:eastAsia="zh-CN"/>
              </w:rPr>
              <w:t>《建设项目环境影响报告表编制技术指南（污染影响类）（试行）》，可不开展地表水环境质量现状监测。</w:t>
            </w:r>
            <w:bookmarkEnd w:id="9"/>
          </w:p>
          <w:p w14:paraId="505D5438">
            <w:pPr>
              <w:pStyle w:val="4"/>
              <w:numPr>
                <w:ilvl w:val="0"/>
                <w:numId w:val="6"/>
              </w:numPr>
              <w:spacing w:line="360" w:lineRule="auto"/>
              <w:ind w:left="0" w:leftChars="0" w:firstLine="0" w:firstLineChars="0"/>
              <w:rPr>
                <w:rFonts w:hint="default" w:ascii="Times New Roman" w:hAnsi="Times New Roman" w:cs="Times New Roman"/>
                <w:b/>
                <w:bCs/>
                <w:sz w:val="24"/>
                <w:szCs w:val="24"/>
                <w:lang w:val="en-US" w:eastAsia="zh-CN"/>
              </w:rPr>
            </w:pPr>
            <w:bookmarkStart w:id="10" w:name="_Toc27847"/>
            <w:r>
              <w:rPr>
                <w:rFonts w:hint="default" w:ascii="Times New Roman" w:hAnsi="Times New Roman" w:cs="Times New Roman"/>
                <w:b/>
                <w:bCs/>
                <w:sz w:val="24"/>
                <w:szCs w:val="24"/>
                <w:lang w:val="en-US" w:eastAsia="zh-CN"/>
              </w:rPr>
              <w:t>生态环境质量现状</w:t>
            </w:r>
            <w:bookmarkEnd w:id="10"/>
          </w:p>
          <w:p w14:paraId="58AEC69D">
            <w:pPr>
              <w:spacing w:line="360" w:lineRule="auto"/>
              <w:ind w:firstLine="480" w:firstLineChars="200"/>
              <w:rPr>
                <w:rFonts w:hint="default" w:ascii="Times New Roman" w:hAnsi="Times New Roman" w:cs="Times New Roman"/>
                <w:b/>
                <w:bCs/>
                <w:lang w:val="en-US" w:eastAsia="zh-CN"/>
              </w:rPr>
            </w:pPr>
            <w:r>
              <w:rPr>
                <w:rFonts w:hint="default" w:ascii="Times New Roman" w:hAnsi="Times New Roman" w:eastAsia="宋体" w:cs="Times New Roman"/>
                <w:color w:val="000000"/>
                <w:sz w:val="24"/>
                <w:szCs w:val="24"/>
              </w:rPr>
              <w:t>本项目</w:t>
            </w:r>
            <w:r>
              <w:rPr>
                <w:rFonts w:hint="default" w:ascii="Times New Roman" w:hAnsi="Times New Roman" w:eastAsia="宋体" w:cs="Times New Roman"/>
                <w:color w:val="000000"/>
                <w:sz w:val="24"/>
                <w:szCs w:val="24"/>
                <w:lang w:eastAsia="zh-CN"/>
              </w:rPr>
              <w:t>位于</w:t>
            </w:r>
            <w:r>
              <w:rPr>
                <w:rFonts w:hint="eastAsia" w:ascii="Times New Roman" w:hAnsi="Times New Roman" w:eastAsia="宋体" w:cs="Times New Roman"/>
                <w:color w:val="000000"/>
                <w:sz w:val="24"/>
                <w:szCs w:val="24"/>
                <w:lang w:val="en-US" w:eastAsia="zh-CN"/>
              </w:rPr>
              <w:t>陕西省西咸新区泾河新城永乐镇泾河智造创新产业园18#3层</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lang w:val="en-US" w:eastAsia="zh-CN"/>
              </w:rPr>
              <w:t>根据现场踏勘，</w:t>
            </w:r>
            <w:r>
              <w:rPr>
                <w:rFonts w:hint="default" w:ascii="Times New Roman" w:hAnsi="Times New Roman" w:cs="Times New Roman"/>
                <w:color w:val="000000"/>
                <w:sz w:val="24"/>
                <w:szCs w:val="24"/>
                <w:lang w:val="en-US" w:eastAsia="zh-CN"/>
              </w:rPr>
              <w:t>现有</w:t>
            </w:r>
            <w:r>
              <w:rPr>
                <w:rFonts w:hint="default" w:ascii="Times New Roman" w:hAnsi="Times New Roman" w:eastAsia="宋体" w:cs="Times New Roman"/>
                <w:color w:val="000000"/>
                <w:sz w:val="24"/>
              </w:rPr>
              <w:t>厂房</w:t>
            </w:r>
            <w:r>
              <w:rPr>
                <w:rFonts w:hint="default" w:ascii="Times New Roman" w:hAnsi="Times New Roman" w:eastAsia="宋体" w:cs="Times New Roman"/>
                <w:color w:val="000000"/>
                <w:sz w:val="24"/>
                <w:lang w:val="en-US" w:eastAsia="zh-CN"/>
              </w:rPr>
              <w:t>已进行硬化</w:t>
            </w:r>
            <w:r>
              <w:rPr>
                <w:rFonts w:hint="default" w:ascii="Times New Roman" w:hAnsi="Times New Roman" w:eastAsia="宋体" w:cs="Times New Roman"/>
                <w:color w:val="000000"/>
                <w:sz w:val="24"/>
              </w:rPr>
              <w:t>，</w:t>
            </w:r>
            <w:r>
              <w:rPr>
                <w:rFonts w:hint="default" w:ascii="Times New Roman" w:hAnsi="Times New Roman" w:eastAsia="宋体" w:cs="Times New Roman"/>
                <w:color w:val="000000"/>
                <w:sz w:val="24"/>
                <w:lang w:val="en-US" w:eastAsia="zh-CN"/>
              </w:rPr>
              <w:t>不新增用地，</w:t>
            </w:r>
            <w:r>
              <w:rPr>
                <w:rFonts w:hint="default" w:ascii="Times New Roman" w:hAnsi="Times New Roman" w:eastAsia="宋体" w:cs="Times New Roman"/>
                <w:color w:val="000000"/>
                <w:sz w:val="24"/>
                <w:szCs w:val="24"/>
              </w:rPr>
              <w:t>用地范围内不涉及生态环境保护目标，</w:t>
            </w:r>
            <w:r>
              <w:rPr>
                <w:rFonts w:hint="default" w:ascii="Times New Roman" w:hAnsi="Times New Roman" w:eastAsia="宋体" w:cs="Times New Roman"/>
                <w:color w:val="000000"/>
                <w:sz w:val="24"/>
                <w:szCs w:val="24"/>
                <w:lang w:val="en-US" w:eastAsia="zh-CN"/>
              </w:rPr>
              <w:t>因此</w:t>
            </w:r>
            <w:r>
              <w:rPr>
                <w:rFonts w:hint="default" w:ascii="Times New Roman" w:hAnsi="Times New Roman" w:eastAsia="宋体" w:cs="Times New Roman"/>
                <w:color w:val="000000"/>
                <w:sz w:val="24"/>
                <w:szCs w:val="24"/>
              </w:rPr>
              <w:t>无需进行生态</w:t>
            </w:r>
            <w:r>
              <w:rPr>
                <w:rFonts w:hint="default" w:ascii="Times New Roman" w:hAnsi="Times New Roman" w:eastAsia="宋体" w:cs="Times New Roman"/>
                <w:color w:val="000000"/>
                <w:sz w:val="24"/>
                <w:szCs w:val="24"/>
                <w:lang w:val="en-US" w:eastAsia="zh-CN"/>
              </w:rPr>
              <w:t>环境</w:t>
            </w:r>
            <w:r>
              <w:rPr>
                <w:rFonts w:hint="default" w:ascii="Times New Roman" w:hAnsi="Times New Roman" w:eastAsia="宋体" w:cs="Times New Roman"/>
                <w:color w:val="000000"/>
                <w:sz w:val="24"/>
                <w:szCs w:val="24"/>
              </w:rPr>
              <w:t>现状调查。</w:t>
            </w:r>
          </w:p>
          <w:p w14:paraId="1CC3E795">
            <w:pPr>
              <w:pStyle w:val="4"/>
              <w:numPr>
                <w:ilvl w:val="0"/>
                <w:numId w:val="6"/>
              </w:numPr>
              <w:spacing w:line="360" w:lineRule="auto"/>
              <w:ind w:left="0" w:leftChars="0" w:firstLine="0" w:firstLineChars="0"/>
              <w:rPr>
                <w:rFonts w:hint="default" w:ascii="Times New Roman" w:hAnsi="Times New Roman" w:cs="Times New Roman"/>
                <w:lang w:val="en-US" w:eastAsia="zh-CN"/>
              </w:rPr>
            </w:pPr>
            <w:bookmarkStart w:id="11" w:name="_Toc9683"/>
            <w:r>
              <w:rPr>
                <w:rFonts w:hint="default" w:ascii="Times New Roman" w:hAnsi="Times New Roman" w:cs="Times New Roman"/>
                <w:b/>
                <w:bCs/>
                <w:sz w:val="24"/>
                <w:szCs w:val="24"/>
                <w:lang w:val="en-US" w:eastAsia="zh-CN"/>
              </w:rPr>
              <w:t>地下水、土壤环境质量现状</w:t>
            </w:r>
            <w:bookmarkEnd w:id="11"/>
          </w:p>
          <w:p w14:paraId="1EFD27C7">
            <w:pPr>
              <w:spacing w:line="360" w:lineRule="auto"/>
              <w:ind w:firstLine="480" w:firstLineChars="200"/>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根据《建设项目环境影响报告表编制技术指南（污染影响类）（试行）》，地下水、土壤环境原则上不开展环境质量现状调查。建设项目存在土壤、地下水环境污染途径的，应结合污染源、保护目标分布情况开展现状调查以留作背景值。</w:t>
            </w:r>
          </w:p>
          <w:p w14:paraId="41115180">
            <w:pPr>
              <w:pStyle w:val="4"/>
              <w:spacing w:line="360" w:lineRule="auto"/>
              <w:ind w:firstLine="480" w:firstLineChars="200"/>
              <w:rPr>
                <w:rFonts w:hint="default" w:ascii="Times New Roman" w:hAnsi="Times New Roman" w:cs="Times New Roman"/>
                <w:lang w:val="en-US" w:eastAsia="zh-CN"/>
              </w:rPr>
            </w:pPr>
            <w:bookmarkStart w:id="12" w:name="_Toc15606"/>
            <w:r>
              <w:rPr>
                <w:rFonts w:hint="default" w:ascii="Times New Roman" w:hAnsi="Times New Roman" w:eastAsia="宋体" w:cs="Times New Roman"/>
                <w:color w:val="000000"/>
                <w:kern w:val="2"/>
                <w:sz w:val="24"/>
                <w:szCs w:val="24"/>
                <w:lang w:val="en-US" w:eastAsia="zh-CN" w:bidi="ar-SA"/>
              </w:rPr>
              <w:t>本项目位于</w:t>
            </w:r>
            <w:r>
              <w:rPr>
                <w:rFonts w:hint="eastAsia" w:ascii="Times New Roman" w:hAnsi="Times New Roman" w:eastAsia="宋体" w:cs="Times New Roman"/>
                <w:color w:val="000000"/>
                <w:kern w:val="2"/>
                <w:sz w:val="24"/>
                <w:szCs w:val="24"/>
                <w:lang w:val="en-US" w:eastAsia="zh-CN" w:bidi="ar-SA"/>
              </w:rPr>
              <w:t>陕西省西咸新区泾河新城永乐镇泾河智造创新产业园18#3层</w:t>
            </w:r>
            <w:r>
              <w:rPr>
                <w:rFonts w:hint="default" w:ascii="Times New Roman" w:hAnsi="Times New Roman" w:eastAsia="宋体" w:cs="Times New Roman"/>
                <w:color w:val="000000"/>
                <w:kern w:val="2"/>
                <w:sz w:val="24"/>
                <w:szCs w:val="24"/>
                <w:lang w:val="en-US" w:eastAsia="zh-CN" w:bidi="ar-SA"/>
              </w:rPr>
              <w:t>，根据现场踏勘，现有厂房已进行硬化，无裸露土壤，不具备监测条件</w:t>
            </w:r>
            <w:r>
              <w:rPr>
                <w:rFonts w:hint="default" w:ascii="Times New Roman" w:hAnsi="Times New Roman" w:eastAsia="宋体" w:cs="Times New Roman"/>
                <w:color w:val="000000"/>
                <w:kern w:val="0"/>
                <w:sz w:val="24"/>
                <w:szCs w:val="22"/>
                <w:lang w:val="en-US" w:eastAsia="zh-CN" w:bidi="zh-CN"/>
              </w:rPr>
              <w:t>；</w:t>
            </w:r>
            <w:r>
              <w:rPr>
                <w:rFonts w:hint="eastAsia" w:ascii="Times New Roman" w:hAnsi="Times New Roman" w:eastAsia="宋体" w:cs="Times New Roman"/>
                <w:color w:val="000000"/>
                <w:kern w:val="0"/>
                <w:sz w:val="24"/>
                <w:szCs w:val="22"/>
                <w:lang w:val="en-US" w:eastAsia="zh-CN" w:bidi="zh-CN"/>
              </w:rPr>
              <w:t>项目</w:t>
            </w:r>
            <w:r>
              <w:rPr>
                <w:rFonts w:hint="eastAsia" w:ascii="Times New Roman" w:hAnsi="Times New Roman" w:eastAsia="宋体" w:cs="Times New Roman"/>
                <w:color w:val="000000"/>
                <w:kern w:val="0"/>
                <w:sz w:val="24"/>
                <w:szCs w:val="22"/>
                <w:lang w:val="en-US" w:bidi="zh-CN"/>
              </w:rPr>
              <w:t>中实验室器皿后段清洗废水经pH调节池收集处理后</w:t>
            </w:r>
            <w:r>
              <w:rPr>
                <w:rFonts w:hint="default" w:ascii="Times New Roman" w:hAnsi="Times New Roman" w:eastAsia="宋体" w:cs="Times New Roman"/>
                <w:color w:val="000000"/>
                <w:kern w:val="0"/>
                <w:sz w:val="24"/>
                <w:szCs w:val="22"/>
                <w:lang w:val="en-US" w:bidi="zh-CN"/>
              </w:rPr>
              <w:t>与生活污水</w:t>
            </w:r>
            <w:r>
              <w:rPr>
                <w:rFonts w:hint="eastAsia" w:ascii="Times New Roman" w:hAnsi="Times New Roman" w:eastAsia="宋体" w:cs="Times New Roman"/>
                <w:color w:val="000000"/>
                <w:kern w:val="0"/>
                <w:sz w:val="24"/>
                <w:szCs w:val="22"/>
                <w:lang w:val="en-US" w:eastAsia="zh-CN" w:bidi="zh-CN"/>
              </w:rPr>
              <w:t>、清洁用水、纯水机浓水</w:t>
            </w:r>
            <w:r>
              <w:rPr>
                <w:rFonts w:hint="default" w:ascii="Times New Roman" w:hAnsi="Times New Roman" w:eastAsia="宋体" w:cs="Times New Roman"/>
                <w:color w:val="000000"/>
                <w:kern w:val="0"/>
                <w:sz w:val="24"/>
                <w:szCs w:val="22"/>
                <w:lang w:val="en-US" w:bidi="zh-CN"/>
              </w:rPr>
              <w:t>一起进入</w:t>
            </w:r>
            <w:r>
              <w:rPr>
                <w:rFonts w:hint="eastAsia" w:ascii="Times New Roman" w:hAnsi="Times New Roman" w:eastAsia="宋体" w:cs="Times New Roman"/>
                <w:color w:val="000000"/>
                <w:kern w:val="0"/>
                <w:sz w:val="24"/>
                <w:szCs w:val="22"/>
                <w:lang w:val="en-US" w:eastAsia="zh-CN" w:bidi="zh-CN"/>
              </w:rPr>
              <w:t>园区</w:t>
            </w:r>
            <w:r>
              <w:rPr>
                <w:rFonts w:hint="default" w:ascii="Times New Roman" w:hAnsi="Times New Roman" w:eastAsia="宋体" w:cs="Times New Roman"/>
                <w:color w:val="000000"/>
                <w:kern w:val="0"/>
                <w:sz w:val="24"/>
                <w:szCs w:val="22"/>
                <w:lang w:val="en-US" w:bidi="zh-CN"/>
              </w:rPr>
              <w:t>化粪池处理达标后排入市政污水管网；危废</w:t>
            </w:r>
            <w:r>
              <w:rPr>
                <w:rFonts w:hint="default" w:ascii="Times New Roman" w:hAnsi="Times New Roman" w:cs="Times New Roman"/>
                <w:color w:val="000000"/>
                <w:kern w:val="0"/>
                <w:sz w:val="24"/>
                <w:szCs w:val="22"/>
                <w:lang w:val="en-US" w:bidi="zh-CN"/>
              </w:rPr>
              <w:t>贮存库等均做防渗处理且位于硬化厂房内，不存在地下水、土壤环境影响途径。因此无需开展地下水、土壤环境质量现状调查。</w:t>
            </w:r>
            <w:bookmarkEnd w:id="12"/>
          </w:p>
        </w:tc>
      </w:tr>
      <w:tr w14:paraId="22F032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98" w:hRule="atLeast"/>
          <w:jc w:val="center"/>
        </w:trPr>
        <w:tc>
          <w:tcPr>
            <w:tcW w:w="464" w:type="dxa"/>
            <w:noWrap w:val="0"/>
            <w:vAlign w:val="center"/>
          </w:tcPr>
          <w:p w14:paraId="0184832C">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环境</w:t>
            </w:r>
          </w:p>
          <w:p w14:paraId="1D7FCD68">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保护</w:t>
            </w:r>
          </w:p>
          <w:p w14:paraId="565F4F55">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目标</w:t>
            </w:r>
          </w:p>
        </w:tc>
        <w:tc>
          <w:tcPr>
            <w:tcW w:w="8526" w:type="dxa"/>
            <w:noWrap w:val="0"/>
            <w:vAlign w:val="top"/>
          </w:tcPr>
          <w:p w14:paraId="77C1C846">
            <w:pPr>
              <w:numPr>
                <w:ilvl w:val="0"/>
                <w:numId w:val="7"/>
              </w:numPr>
              <w:adjustRightInd w:val="0"/>
              <w:snapToGrid w:val="0"/>
              <w:spacing w:line="360" w:lineRule="auto"/>
              <w:jc w:val="both"/>
              <w:rPr>
                <w:rFonts w:hint="default" w:ascii="Times New Roman" w:hAnsi="Times New Roman" w:cs="Times New Roman"/>
                <w:b/>
                <w:bCs/>
                <w:kern w:val="0"/>
                <w:sz w:val="24"/>
                <w:szCs w:val="24"/>
                <w:lang w:val="en-US" w:eastAsia="zh-CN"/>
              </w:rPr>
            </w:pPr>
            <w:r>
              <w:rPr>
                <w:rFonts w:hint="default" w:ascii="Times New Roman" w:hAnsi="Times New Roman" w:cs="Times New Roman"/>
                <w:b/>
                <w:bCs/>
                <w:kern w:val="0"/>
                <w:sz w:val="24"/>
                <w:szCs w:val="24"/>
                <w:lang w:val="en-US" w:eastAsia="zh-CN"/>
              </w:rPr>
              <w:t>大气环境</w:t>
            </w:r>
          </w:p>
          <w:p w14:paraId="6D4612DC">
            <w:pPr>
              <w:pStyle w:val="4"/>
              <w:spacing w:line="360" w:lineRule="auto"/>
              <w:ind w:firstLine="480" w:firstLineChars="200"/>
              <w:rPr>
                <w:rFonts w:hint="default" w:ascii="Times New Roman" w:hAnsi="Times New Roman" w:cs="Times New Roman"/>
                <w:sz w:val="24"/>
                <w:szCs w:val="24"/>
                <w:lang w:val="en-US" w:eastAsia="zh-CN"/>
              </w:rPr>
            </w:pPr>
            <w:bookmarkStart w:id="13" w:name="_Toc19306"/>
            <w:r>
              <w:rPr>
                <w:rFonts w:hint="default" w:ascii="Times New Roman" w:hAnsi="Times New Roman" w:cs="Times New Roman"/>
                <w:sz w:val="24"/>
                <w:szCs w:val="24"/>
                <w:lang w:val="en-US" w:eastAsia="zh-CN"/>
              </w:rPr>
              <w:t>本项目厂界外500米范围内无自然保护区、风景名胜区、居住区、文化区和农村地区中人群较集中的区域等保护目标。</w:t>
            </w:r>
            <w:bookmarkEnd w:id="13"/>
          </w:p>
          <w:p w14:paraId="0B0465DA">
            <w:pPr>
              <w:pStyle w:val="4"/>
              <w:numPr>
                <w:ilvl w:val="0"/>
                <w:numId w:val="7"/>
              </w:numPr>
              <w:spacing w:line="360" w:lineRule="auto"/>
              <w:rPr>
                <w:rFonts w:hint="default" w:ascii="Times New Roman" w:hAnsi="Times New Roman" w:cs="Times New Roman"/>
                <w:b/>
                <w:bCs/>
                <w:sz w:val="24"/>
                <w:szCs w:val="24"/>
                <w:lang w:val="en-US" w:eastAsia="zh-CN"/>
              </w:rPr>
            </w:pPr>
            <w:bookmarkStart w:id="14" w:name="_Toc5228"/>
            <w:r>
              <w:rPr>
                <w:rFonts w:hint="default" w:ascii="Times New Roman" w:hAnsi="Times New Roman" w:cs="Times New Roman"/>
                <w:b/>
                <w:bCs/>
                <w:sz w:val="24"/>
                <w:szCs w:val="24"/>
                <w:lang w:val="en-US" w:eastAsia="zh-CN"/>
              </w:rPr>
              <w:t>声环境</w:t>
            </w:r>
            <w:bookmarkEnd w:id="14"/>
          </w:p>
          <w:p w14:paraId="0A951E74">
            <w:pPr>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本项目厂界外50米范围内无声环境保护目标。</w:t>
            </w:r>
          </w:p>
          <w:p w14:paraId="5EDCA683">
            <w:pPr>
              <w:numPr>
                <w:ilvl w:val="0"/>
                <w:numId w:val="7"/>
              </w:numPr>
              <w:spacing w:line="360" w:lineRule="auto"/>
              <w:ind w:left="0" w:leftChars="0" w:firstLine="0" w:firstLineChars="0"/>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地下水环境</w:t>
            </w:r>
          </w:p>
          <w:p w14:paraId="7EA8371E">
            <w:pPr>
              <w:pStyle w:val="4"/>
              <w:spacing w:line="360" w:lineRule="auto"/>
              <w:ind w:firstLine="480" w:firstLineChars="200"/>
              <w:rPr>
                <w:rFonts w:hint="default" w:ascii="Times New Roman" w:hAnsi="Times New Roman" w:cs="Times New Roman"/>
                <w:sz w:val="24"/>
                <w:szCs w:val="24"/>
                <w:lang w:val="en-US" w:eastAsia="zh-CN"/>
              </w:rPr>
            </w:pPr>
            <w:bookmarkStart w:id="15" w:name="_Toc19578"/>
            <w:r>
              <w:rPr>
                <w:rFonts w:hint="default" w:ascii="Times New Roman" w:hAnsi="Times New Roman" w:cs="Times New Roman"/>
                <w:sz w:val="24"/>
                <w:szCs w:val="24"/>
                <w:lang w:val="en-US" w:eastAsia="zh-CN"/>
              </w:rPr>
              <w:t>本项目厂界外500米范围内无地下水集中式饮用水水源和热水、矿泉水、温泉等特殊地下水资源。</w:t>
            </w:r>
            <w:bookmarkEnd w:id="15"/>
          </w:p>
          <w:p w14:paraId="5C56BC19">
            <w:pPr>
              <w:pStyle w:val="4"/>
              <w:numPr>
                <w:ilvl w:val="0"/>
                <w:numId w:val="7"/>
              </w:numPr>
              <w:spacing w:line="360" w:lineRule="auto"/>
              <w:ind w:left="0" w:leftChars="0" w:firstLine="0" w:firstLineChars="0"/>
              <w:rPr>
                <w:rFonts w:hint="default" w:ascii="Times New Roman" w:hAnsi="Times New Roman" w:cs="Times New Roman"/>
                <w:sz w:val="24"/>
                <w:szCs w:val="24"/>
                <w:lang w:val="en-US" w:eastAsia="zh-CN"/>
              </w:rPr>
            </w:pPr>
            <w:bookmarkStart w:id="16" w:name="_Toc23167"/>
            <w:r>
              <w:rPr>
                <w:rFonts w:hint="default" w:ascii="Times New Roman" w:hAnsi="Times New Roman" w:cs="Times New Roman"/>
                <w:b/>
                <w:bCs/>
                <w:sz w:val="24"/>
                <w:szCs w:val="24"/>
                <w:lang w:val="en-US" w:eastAsia="zh-CN"/>
              </w:rPr>
              <w:t>生态环境</w:t>
            </w:r>
            <w:bookmarkEnd w:id="16"/>
          </w:p>
          <w:p w14:paraId="33B1F56B">
            <w:pPr>
              <w:spacing w:line="360" w:lineRule="auto"/>
              <w:ind w:firstLine="480" w:firstLineChars="200"/>
              <w:rPr>
                <w:rFonts w:hint="default" w:ascii="Times New Roman" w:hAnsi="Times New Roman" w:cs="Times New Roman"/>
                <w:lang w:val="en-US" w:eastAsia="zh-CN"/>
              </w:rPr>
            </w:pPr>
            <w:r>
              <w:rPr>
                <w:rFonts w:hint="default" w:ascii="Times New Roman" w:hAnsi="Times New Roman" w:eastAsia="宋体" w:cs="Times New Roman"/>
                <w:kern w:val="2"/>
                <w:sz w:val="24"/>
                <w:szCs w:val="24"/>
                <w:lang w:val="en-US" w:eastAsia="zh-CN" w:bidi="ar-SA"/>
              </w:rPr>
              <w:t>本项目位于</w:t>
            </w:r>
            <w:r>
              <w:rPr>
                <w:rFonts w:hint="eastAsia" w:ascii="Times New Roman" w:hAnsi="Times New Roman" w:eastAsia="宋体" w:cs="Times New Roman"/>
                <w:kern w:val="2"/>
                <w:sz w:val="24"/>
                <w:szCs w:val="24"/>
                <w:lang w:val="en-US" w:eastAsia="zh-CN" w:bidi="ar-SA"/>
              </w:rPr>
              <w:t>陕西省西咸新区泾河新城永乐镇泾河智造创新产业园18#3层</w:t>
            </w:r>
            <w:r>
              <w:rPr>
                <w:rFonts w:hint="default" w:ascii="Times New Roman" w:hAnsi="Times New Roman" w:eastAsia="宋体" w:cs="Times New Roman"/>
                <w:kern w:val="2"/>
                <w:sz w:val="24"/>
                <w:szCs w:val="24"/>
                <w:lang w:val="en-US" w:eastAsia="zh-CN" w:bidi="ar-SA"/>
              </w:rPr>
              <w:t>，</w:t>
            </w:r>
            <w:r>
              <w:rPr>
                <w:rFonts w:hint="default" w:ascii="Times New Roman" w:hAnsi="Times New Roman" w:eastAsia="宋体" w:cs="Times New Roman"/>
                <w:color w:val="000000"/>
                <w:sz w:val="24"/>
                <w:szCs w:val="24"/>
                <w:lang w:val="en-US" w:eastAsia="zh-CN"/>
              </w:rPr>
              <w:t>根据现场踏勘，项目租用</w:t>
            </w:r>
            <w:r>
              <w:rPr>
                <w:rFonts w:hint="default" w:ascii="Times New Roman" w:hAnsi="Times New Roman" w:cs="Times New Roman"/>
                <w:color w:val="000000"/>
                <w:sz w:val="24"/>
                <w:szCs w:val="24"/>
                <w:lang w:val="en-US" w:eastAsia="zh-CN"/>
              </w:rPr>
              <w:t>现有</w:t>
            </w:r>
            <w:r>
              <w:rPr>
                <w:rFonts w:hint="default" w:ascii="Times New Roman" w:hAnsi="Times New Roman" w:eastAsia="宋体" w:cs="Times New Roman"/>
                <w:color w:val="000000"/>
                <w:sz w:val="24"/>
              </w:rPr>
              <w:t>厂房</w:t>
            </w:r>
            <w:r>
              <w:rPr>
                <w:rFonts w:hint="default" w:ascii="Times New Roman" w:hAnsi="Times New Roman" w:eastAsia="宋体" w:cs="Times New Roman"/>
                <w:color w:val="000000"/>
                <w:sz w:val="24"/>
                <w:lang w:val="en-US" w:eastAsia="zh-CN"/>
              </w:rPr>
              <w:t>已进行硬化</w:t>
            </w:r>
            <w:r>
              <w:rPr>
                <w:rFonts w:hint="default" w:ascii="Times New Roman" w:hAnsi="Times New Roman" w:eastAsia="宋体" w:cs="Times New Roman"/>
                <w:color w:val="000000"/>
                <w:sz w:val="24"/>
              </w:rPr>
              <w:t>，</w:t>
            </w:r>
            <w:r>
              <w:rPr>
                <w:rFonts w:hint="default" w:ascii="Times New Roman" w:hAnsi="Times New Roman" w:eastAsia="宋体" w:cs="Times New Roman"/>
                <w:color w:val="000000"/>
                <w:sz w:val="24"/>
                <w:lang w:val="en-US" w:eastAsia="zh-CN"/>
              </w:rPr>
              <w:t>不新增用地，因此用地范围内无生态环境保护目标。</w:t>
            </w:r>
          </w:p>
        </w:tc>
      </w:tr>
      <w:tr w14:paraId="1AA4DB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64" w:type="dxa"/>
            <w:noWrap w:val="0"/>
            <w:tcMar>
              <w:left w:w="28" w:type="dxa"/>
              <w:right w:w="28" w:type="dxa"/>
            </w:tcMar>
            <w:vAlign w:val="center"/>
          </w:tcPr>
          <w:p w14:paraId="0244525D">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污染</w:t>
            </w:r>
          </w:p>
          <w:p w14:paraId="4B6BCB66">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物排</w:t>
            </w:r>
          </w:p>
          <w:p w14:paraId="5FF44EAE">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放控</w:t>
            </w:r>
          </w:p>
          <w:p w14:paraId="39A045C4">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制标</w:t>
            </w:r>
          </w:p>
          <w:p w14:paraId="122A43CD">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准</w:t>
            </w:r>
          </w:p>
        </w:tc>
        <w:tc>
          <w:tcPr>
            <w:tcW w:w="8526" w:type="dxa"/>
            <w:noWrap w:val="0"/>
            <w:vAlign w:val="top"/>
          </w:tcPr>
          <w:p w14:paraId="4C58027B">
            <w:pPr>
              <w:numPr>
                <w:ilvl w:val="0"/>
                <w:numId w:val="8"/>
              </w:numPr>
              <w:adjustRightInd w:val="0"/>
              <w:snapToGrid w:val="0"/>
              <w:spacing w:line="360" w:lineRule="auto"/>
              <w:jc w:val="both"/>
              <w:rPr>
                <w:rFonts w:hint="default" w:ascii="Times New Roman" w:hAnsi="Times New Roman" w:cs="Times New Roman"/>
                <w:b/>
                <w:bCs/>
                <w:color w:val="auto"/>
                <w:kern w:val="0"/>
                <w:sz w:val="24"/>
                <w:szCs w:val="24"/>
                <w:lang w:val="en-US" w:eastAsia="zh-CN"/>
              </w:rPr>
            </w:pPr>
            <w:r>
              <w:rPr>
                <w:rFonts w:hint="default" w:ascii="Times New Roman" w:hAnsi="Times New Roman" w:cs="Times New Roman"/>
                <w:b/>
                <w:bCs/>
                <w:color w:val="auto"/>
                <w:kern w:val="0"/>
                <w:sz w:val="24"/>
                <w:szCs w:val="24"/>
                <w:lang w:val="en-US" w:eastAsia="zh-CN"/>
              </w:rPr>
              <w:t>废气</w:t>
            </w:r>
          </w:p>
          <w:p w14:paraId="2C13BC97">
            <w:pPr>
              <w:widowControl/>
              <w:numPr>
                <w:ilvl w:val="0"/>
                <w:numId w:val="0"/>
              </w:numPr>
              <w:spacing w:line="360" w:lineRule="auto"/>
              <w:ind w:firstLine="480" w:firstLineChars="200"/>
              <w:rPr>
                <w:color w:val="000000" w:themeColor="text1"/>
                <w:sz w:val="24"/>
                <w14:textFill>
                  <w14:solidFill>
                    <w14:schemeClr w14:val="tx1"/>
                  </w14:solidFill>
                </w14:textFill>
              </w:rPr>
            </w:pPr>
            <w:bookmarkStart w:id="17" w:name="_Toc3574"/>
            <w:r>
              <w:rPr>
                <w:rFonts w:hint="eastAsia"/>
                <w:sz w:val="24"/>
              </w:rPr>
              <w:t>施工期TSP排放标准执行《施工场界扬尘排放限值》（DB61/1078-2017）；</w:t>
            </w:r>
            <w:r>
              <w:rPr>
                <w:rFonts w:hint="eastAsia"/>
                <w:color w:val="000000" w:themeColor="text1"/>
                <w:sz w:val="24"/>
                <w:lang w:val="en-US" w:eastAsia="zh-CN"/>
                <w14:textFill>
                  <w14:solidFill>
                    <w14:schemeClr w14:val="tx1"/>
                  </w14:solidFill>
                </w14:textFill>
              </w:rPr>
              <w:t>运营期非甲烷总烃有组织排放执行《大气污染物综合排放标准》（GB16297-1996）表2二级标准；无组织排放执行《大气污染物综合排放标准》（GB16297-1996）表2周界外浓度最高点浓度限值、厂区内挥发性有机物执行《挥发性有机物无组织排放控制标准》（GB37822-2019）附录A厂区内VOCs特别排放限值</w:t>
            </w:r>
            <w:r>
              <w:rPr>
                <w:rFonts w:hint="eastAsia"/>
                <w:color w:val="000000" w:themeColor="text1"/>
                <w:sz w:val="24"/>
                <w14:textFill>
                  <w14:solidFill>
                    <w14:schemeClr w14:val="tx1"/>
                  </w14:solidFill>
                </w14:textFill>
              </w:rPr>
              <w:t>。</w:t>
            </w:r>
          </w:p>
          <w:p w14:paraId="3A6A35BE">
            <w:pPr>
              <w:pStyle w:val="7"/>
              <w:jc w:val="center"/>
              <w:rPr>
                <w:rFonts w:ascii="Times New Roman" w:hAnsi="Times New Roman" w:eastAsia="宋体"/>
                <w:b/>
                <w:color w:val="000000" w:themeColor="text1"/>
                <w:sz w:val="24"/>
                <w14:textFill>
                  <w14:solidFill>
                    <w14:schemeClr w14:val="tx1"/>
                  </w14:solidFill>
                </w14:textFill>
              </w:rPr>
            </w:pPr>
            <w:r>
              <w:rPr>
                <w:rFonts w:ascii="Times New Roman" w:hAnsi="Times New Roman" w:eastAsia="宋体"/>
                <w:b/>
                <w:color w:val="000000" w:themeColor="text1"/>
                <w:sz w:val="24"/>
                <w14:textFill>
                  <w14:solidFill>
                    <w14:schemeClr w14:val="tx1"/>
                  </w14:solidFill>
                </w14:textFill>
              </w:rPr>
              <w:t>表3-</w:t>
            </w:r>
            <w:r>
              <w:rPr>
                <w:rFonts w:hint="eastAsia" w:ascii="Times New Roman" w:hAnsi="Times New Roman" w:eastAsia="宋体"/>
                <w:b/>
                <w:color w:val="000000" w:themeColor="text1"/>
                <w:sz w:val="24"/>
                <w:lang w:val="en-US" w:eastAsia="zh-CN"/>
                <w14:textFill>
                  <w14:solidFill>
                    <w14:schemeClr w14:val="tx1"/>
                  </w14:solidFill>
                </w14:textFill>
              </w:rPr>
              <w:t>3</w:t>
            </w:r>
            <w:r>
              <w:rPr>
                <w:rFonts w:ascii="Times New Roman" w:hAnsi="Times New Roman" w:eastAsia="宋体"/>
                <w:b/>
                <w:color w:val="000000" w:themeColor="text1"/>
                <w:sz w:val="24"/>
                <w14:textFill>
                  <w14:solidFill>
                    <w14:schemeClr w14:val="tx1"/>
                  </w14:solidFill>
                </w14:textFill>
              </w:rPr>
              <w:t xml:space="preserve">  </w:t>
            </w:r>
            <w:r>
              <w:rPr>
                <w:rFonts w:hint="eastAsia" w:ascii="Times New Roman" w:hAnsi="Times New Roman" w:eastAsia="宋体"/>
                <w:b/>
                <w:color w:val="000000" w:themeColor="text1"/>
                <w:sz w:val="24"/>
                <w:lang w:val="en-US" w:eastAsia="zh-CN"/>
                <w14:textFill>
                  <w14:solidFill>
                    <w14:schemeClr w14:val="tx1"/>
                  </w14:solidFill>
                </w14:textFill>
              </w:rPr>
              <w:t>废气</w:t>
            </w:r>
            <w:r>
              <w:rPr>
                <w:rFonts w:ascii="Times New Roman" w:hAnsi="Times New Roman" w:eastAsia="宋体"/>
                <w:b/>
                <w:color w:val="000000" w:themeColor="text1"/>
                <w:sz w:val="24"/>
                <w14:textFill>
                  <w14:solidFill>
                    <w14:schemeClr w14:val="tx1"/>
                  </w14:solidFill>
                </w14:textFill>
              </w:rPr>
              <w:t>排放标准</w:t>
            </w:r>
          </w:p>
          <w:tbl>
            <w:tblPr>
              <w:tblStyle w:val="26"/>
              <w:tblW w:w="496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03"/>
              <w:gridCol w:w="477"/>
              <w:gridCol w:w="1680"/>
              <w:gridCol w:w="1388"/>
              <w:gridCol w:w="957"/>
              <w:gridCol w:w="3144"/>
            </w:tblGrid>
            <w:tr w14:paraId="7ABF54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0" w:type="pct"/>
                  <w:tcBorders>
                    <w:tl2br w:val="nil"/>
                    <w:tr2bl w:val="nil"/>
                  </w:tcBorders>
                  <w:noWrap w:val="0"/>
                  <w:vAlign w:val="center"/>
                </w:tcPr>
                <w:p w14:paraId="39887EF9">
                  <w:pPr>
                    <w:pStyle w:val="68"/>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阶段</w:t>
                  </w:r>
                </w:p>
              </w:tc>
              <w:tc>
                <w:tcPr>
                  <w:tcW w:w="1355" w:type="pct"/>
                  <w:gridSpan w:val="2"/>
                  <w:tcBorders>
                    <w:tl2br w:val="nil"/>
                    <w:tr2bl w:val="nil"/>
                  </w:tcBorders>
                  <w:noWrap w:val="0"/>
                  <w:vAlign w:val="center"/>
                </w:tcPr>
                <w:p w14:paraId="55B87EFE">
                  <w:pPr>
                    <w:pStyle w:val="68"/>
                    <w:rPr>
                      <w:b/>
                      <w:bCs/>
                      <w:color w:val="000000" w:themeColor="text1"/>
                      <w14:textFill>
                        <w14:solidFill>
                          <w14:schemeClr w14:val="tx1"/>
                        </w14:solidFill>
                      </w14:textFill>
                    </w:rPr>
                  </w:pPr>
                  <w:r>
                    <w:rPr>
                      <w:b/>
                      <w:bCs/>
                      <w:color w:val="000000" w:themeColor="text1"/>
                      <w14:textFill>
                        <w14:solidFill>
                          <w14:schemeClr w14:val="tx1"/>
                        </w14:solidFill>
                      </w14:textFill>
                    </w:rPr>
                    <w:t>污染物</w:t>
                  </w:r>
                </w:p>
              </w:tc>
              <w:tc>
                <w:tcPr>
                  <w:tcW w:w="1323" w:type="pct"/>
                  <w:gridSpan w:val="2"/>
                  <w:tcBorders>
                    <w:tl2br w:val="nil"/>
                    <w:tr2bl w:val="nil"/>
                  </w:tcBorders>
                  <w:noWrap w:val="0"/>
                  <w:vAlign w:val="center"/>
                </w:tcPr>
                <w:p w14:paraId="030375B9">
                  <w:pPr>
                    <w:pStyle w:val="68"/>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排放</w:t>
                  </w:r>
                  <w:r>
                    <w:rPr>
                      <w:b/>
                      <w:bCs/>
                      <w:color w:val="000000" w:themeColor="text1"/>
                      <w14:textFill>
                        <w14:solidFill>
                          <w14:schemeClr w14:val="tx1"/>
                        </w14:solidFill>
                      </w14:textFill>
                    </w:rPr>
                    <w:t>限值</w:t>
                  </w:r>
                  <w:r>
                    <w:rPr>
                      <w:rFonts w:hint="eastAsia"/>
                      <w:b/>
                      <w:bCs/>
                      <w:color w:val="000000" w:themeColor="text1"/>
                      <w:kern w:val="24"/>
                      <w14:textFill>
                        <w14:solidFill>
                          <w14:schemeClr w14:val="tx1"/>
                        </w14:solidFill>
                      </w14:textFill>
                    </w:rPr>
                    <w:t>（</w:t>
                  </w:r>
                  <w:r>
                    <w:rPr>
                      <w:b/>
                      <w:bCs/>
                      <w:color w:val="000000" w:themeColor="text1"/>
                      <w:kern w:val="24"/>
                      <w14:textFill>
                        <w14:solidFill>
                          <w14:schemeClr w14:val="tx1"/>
                        </w14:solidFill>
                      </w14:textFill>
                    </w:rPr>
                    <w:t>mg/m</w:t>
                  </w:r>
                  <w:r>
                    <w:rPr>
                      <w:b/>
                      <w:bCs/>
                      <w:color w:val="000000" w:themeColor="text1"/>
                      <w:kern w:val="24"/>
                      <w:vertAlign w:val="superscript"/>
                      <w14:textFill>
                        <w14:solidFill>
                          <w14:schemeClr w14:val="tx1"/>
                        </w14:solidFill>
                      </w14:textFill>
                    </w:rPr>
                    <w:t>3</w:t>
                  </w:r>
                  <w:r>
                    <w:rPr>
                      <w:rFonts w:hint="eastAsia"/>
                      <w:b/>
                      <w:bCs/>
                      <w:color w:val="000000" w:themeColor="text1"/>
                      <w:kern w:val="24"/>
                      <w14:textFill>
                        <w14:solidFill>
                          <w14:schemeClr w14:val="tx1"/>
                        </w14:solidFill>
                      </w14:textFill>
                    </w:rPr>
                    <w:t>）</w:t>
                  </w:r>
                </w:p>
              </w:tc>
              <w:tc>
                <w:tcPr>
                  <w:tcW w:w="1929" w:type="pct"/>
                  <w:tcBorders>
                    <w:tl2br w:val="nil"/>
                    <w:tr2bl w:val="nil"/>
                  </w:tcBorders>
                  <w:noWrap w:val="0"/>
                  <w:vAlign w:val="center"/>
                </w:tcPr>
                <w:p w14:paraId="5EF68548">
                  <w:pPr>
                    <w:pStyle w:val="68"/>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执行标准</w:t>
                  </w:r>
                </w:p>
              </w:tc>
            </w:tr>
            <w:tr w14:paraId="645244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0" w:type="pct"/>
                  <w:tcBorders>
                    <w:tl2br w:val="nil"/>
                    <w:tr2bl w:val="nil"/>
                  </w:tcBorders>
                  <w:noWrap w:val="0"/>
                  <w:vAlign w:val="center"/>
                </w:tcPr>
                <w:p w14:paraId="43EF98C4">
                  <w:pPr>
                    <w:pStyle w:val="68"/>
                    <w:rPr>
                      <w:color w:val="000000" w:themeColor="text1"/>
                      <w14:textFill>
                        <w14:solidFill>
                          <w14:schemeClr w14:val="tx1"/>
                        </w14:solidFill>
                      </w14:textFill>
                    </w:rPr>
                  </w:pPr>
                  <w:r>
                    <w:rPr>
                      <w:rFonts w:hint="eastAsia"/>
                      <w:color w:val="000000" w:themeColor="text1"/>
                      <w14:textFill>
                        <w14:solidFill>
                          <w14:schemeClr w14:val="tx1"/>
                        </w14:solidFill>
                      </w14:textFill>
                    </w:rPr>
                    <w:t>施工期</w:t>
                  </w:r>
                </w:p>
              </w:tc>
              <w:tc>
                <w:tcPr>
                  <w:tcW w:w="1355" w:type="pct"/>
                  <w:gridSpan w:val="2"/>
                  <w:tcBorders>
                    <w:tl2br w:val="nil"/>
                    <w:tr2bl w:val="nil"/>
                  </w:tcBorders>
                  <w:noWrap w:val="0"/>
                  <w:vAlign w:val="center"/>
                </w:tcPr>
                <w:p w14:paraId="6BCA06AE">
                  <w:pPr>
                    <w:pStyle w:val="68"/>
                    <w:rPr>
                      <w:color w:val="000000" w:themeColor="text1"/>
                      <w14:textFill>
                        <w14:solidFill>
                          <w14:schemeClr w14:val="tx1"/>
                        </w14:solidFill>
                      </w14:textFill>
                    </w:rPr>
                  </w:pPr>
                  <w:r>
                    <w:rPr>
                      <w:rFonts w:hint="eastAsia"/>
                      <w:color w:val="000000" w:themeColor="text1"/>
                      <w14:textFill>
                        <w14:solidFill>
                          <w14:schemeClr w14:val="tx1"/>
                        </w14:solidFill>
                      </w14:textFill>
                    </w:rPr>
                    <w:t>TSP</w:t>
                  </w:r>
                </w:p>
              </w:tc>
              <w:tc>
                <w:tcPr>
                  <w:tcW w:w="1323" w:type="pct"/>
                  <w:gridSpan w:val="2"/>
                  <w:tcBorders>
                    <w:tl2br w:val="nil"/>
                    <w:tr2bl w:val="nil"/>
                  </w:tcBorders>
                  <w:noWrap w:val="0"/>
                  <w:vAlign w:val="center"/>
                </w:tcPr>
                <w:p w14:paraId="5F885270">
                  <w:pPr>
                    <w:pStyle w:val="68"/>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≤0.7</w:t>
                  </w:r>
                </w:p>
              </w:tc>
              <w:tc>
                <w:tcPr>
                  <w:tcW w:w="1929" w:type="pct"/>
                  <w:tcBorders>
                    <w:tl2br w:val="nil"/>
                    <w:tr2bl w:val="nil"/>
                  </w:tcBorders>
                  <w:noWrap w:val="0"/>
                  <w:vAlign w:val="center"/>
                </w:tcPr>
                <w:p w14:paraId="22E1D113">
                  <w:pPr>
                    <w:pStyle w:val="68"/>
                    <w:rPr>
                      <w:color w:val="000000" w:themeColor="text1"/>
                      <w14:textFill>
                        <w14:solidFill>
                          <w14:schemeClr w14:val="tx1"/>
                        </w14:solidFill>
                      </w14:textFill>
                    </w:rPr>
                  </w:pPr>
                  <w:r>
                    <w:rPr>
                      <w:rFonts w:hint="eastAsia"/>
                      <w:color w:val="000000" w:themeColor="text1"/>
                      <w14:textFill>
                        <w14:solidFill>
                          <w14:schemeClr w14:val="tx1"/>
                        </w14:solidFill>
                      </w14:textFill>
                    </w:rPr>
                    <w:t>《施工场界扬尘排放限值》（DB61/1078-2017）</w:t>
                  </w:r>
                </w:p>
              </w:tc>
            </w:tr>
            <w:tr w14:paraId="38C409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390" w:type="pct"/>
                  <w:vMerge w:val="restart"/>
                  <w:tcBorders>
                    <w:tl2br w:val="nil"/>
                    <w:tr2bl w:val="nil"/>
                  </w:tcBorders>
                  <w:noWrap w:val="0"/>
                  <w:vAlign w:val="center"/>
                </w:tcPr>
                <w:p w14:paraId="37074B07">
                  <w:pPr>
                    <w:pStyle w:val="68"/>
                    <w:rPr>
                      <w:color w:val="000000" w:themeColor="text1"/>
                      <w14:textFill>
                        <w14:solidFill>
                          <w14:schemeClr w14:val="tx1"/>
                        </w14:solidFill>
                      </w14:textFill>
                    </w:rPr>
                  </w:pPr>
                  <w:r>
                    <w:rPr>
                      <w:rFonts w:hint="eastAsia"/>
                      <w:color w:val="000000" w:themeColor="text1"/>
                      <w14:textFill>
                        <w14:solidFill>
                          <w14:schemeClr w14:val="tx1"/>
                        </w14:solidFill>
                      </w14:textFill>
                    </w:rPr>
                    <w:t>运营期</w:t>
                  </w:r>
                </w:p>
              </w:tc>
              <w:tc>
                <w:tcPr>
                  <w:tcW w:w="313" w:type="pct"/>
                  <w:vMerge w:val="restart"/>
                  <w:tcBorders>
                    <w:tl2br w:val="nil"/>
                    <w:tr2bl w:val="nil"/>
                  </w:tcBorders>
                  <w:noWrap w:val="0"/>
                  <w:vAlign w:val="center"/>
                </w:tcPr>
                <w:p w14:paraId="4E1349C3">
                  <w:pPr>
                    <w:pStyle w:val="68"/>
                    <w:rPr>
                      <w:color w:val="000000" w:themeColor="text1"/>
                      <w14:textFill>
                        <w14:solidFill>
                          <w14:schemeClr w14:val="tx1"/>
                        </w14:solidFill>
                      </w14:textFill>
                    </w:rPr>
                  </w:pPr>
                  <w:r>
                    <w:rPr>
                      <w:rFonts w:hint="eastAsia"/>
                      <w:color w:val="000000" w:themeColor="text1"/>
                      <w14:textFill>
                        <w14:solidFill>
                          <w14:schemeClr w14:val="tx1"/>
                        </w14:solidFill>
                      </w14:textFill>
                    </w:rPr>
                    <w:t>有组织</w:t>
                  </w:r>
                </w:p>
              </w:tc>
              <w:tc>
                <w:tcPr>
                  <w:tcW w:w="1042" w:type="pct"/>
                  <w:vMerge w:val="restart"/>
                  <w:tcBorders>
                    <w:tl2br w:val="nil"/>
                    <w:tr2bl w:val="nil"/>
                  </w:tcBorders>
                  <w:noWrap w:val="0"/>
                  <w:vAlign w:val="center"/>
                </w:tcPr>
                <w:p w14:paraId="228E2133">
                  <w:pPr>
                    <w:pStyle w:val="68"/>
                    <w:rPr>
                      <w:color w:val="000000" w:themeColor="text1"/>
                      <w14:textFill>
                        <w14:solidFill>
                          <w14:schemeClr w14:val="tx1"/>
                        </w14:solidFill>
                      </w14:textFill>
                    </w:rPr>
                  </w:pPr>
                  <w:r>
                    <w:rPr>
                      <w:rFonts w:hint="eastAsia"/>
                      <w:color w:val="000000" w:themeColor="text1"/>
                      <w14:textFill>
                        <w14:solidFill>
                          <w14:schemeClr w14:val="tx1"/>
                        </w14:solidFill>
                      </w14:textFill>
                    </w:rPr>
                    <w:t>非甲烷总烃</w:t>
                  </w:r>
                </w:p>
              </w:tc>
              <w:tc>
                <w:tcPr>
                  <w:tcW w:w="865" w:type="pct"/>
                  <w:tcBorders>
                    <w:tl2br w:val="nil"/>
                    <w:tr2bl w:val="nil"/>
                  </w:tcBorders>
                  <w:noWrap w:val="0"/>
                  <w:vAlign w:val="center"/>
                </w:tcPr>
                <w:p w14:paraId="4D085266">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最高允许排放浓度</w:t>
                  </w:r>
                </w:p>
              </w:tc>
              <w:tc>
                <w:tcPr>
                  <w:tcW w:w="458" w:type="pct"/>
                  <w:tcBorders>
                    <w:tl2br w:val="nil"/>
                    <w:tr2bl w:val="nil"/>
                  </w:tcBorders>
                  <w:noWrap w:val="0"/>
                  <w:vAlign w:val="center"/>
                </w:tcPr>
                <w:p w14:paraId="4F94576F">
                  <w:pPr>
                    <w:pStyle w:val="6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120</w:t>
                  </w:r>
                </w:p>
              </w:tc>
              <w:tc>
                <w:tcPr>
                  <w:tcW w:w="1929" w:type="pct"/>
                  <w:vMerge w:val="restart"/>
                  <w:tcBorders>
                    <w:tl2br w:val="nil"/>
                    <w:tr2bl w:val="nil"/>
                  </w:tcBorders>
                  <w:noWrap w:val="0"/>
                  <w:vAlign w:val="center"/>
                </w:tcPr>
                <w:p w14:paraId="09A86E39">
                  <w:pPr>
                    <w:pStyle w:val="68"/>
                    <w:rPr>
                      <w:color w:val="000000" w:themeColor="text1"/>
                      <w:kern w:val="24"/>
                      <w:highlight w:val="none"/>
                      <w14:textFill>
                        <w14:solidFill>
                          <w14:schemeClr w14:val="tx1"/>
                        </w14:solidFill>
                      </w14:textFill>
                    </w:rPr>
                  </w:pPr>
                  <w:r>
                    <w:rPr>
                      <w:rFonts w:hint="eastAsia"/>
                      <w:color w:val="000000" w:themeColor="text1"/>
                      <w:kern w:val="24"/>
                      <w:highlight w:val="none"/>
                      <w:lang w:val="en-US" w:eastAsia="zh-CN"/>
                      <w14:textFill>
                        <w14:solidFill>
                          <w14:schemeClr w14:val="tx1"/>
                        </w14:solidFill>
                      </w14:textFill>
                    </w:rPr>
                    <w:t>《大气污染物综合排放标准》（GB16297-1996）表2二级标准</w:t>
                  </w:r>
                </w:p>
              </w:tc>
            </w:tr>
            <w:tr w14:paraId="44078D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390" w:type="pct"/>
                  <w:vMerge w:val="continue"/>
                  <w:tcBorders>
                    <w:tl2br w:val="nil"/>
                    <w:tr2bl w:val="nil"/>
                  </w:tcBorders>
                  <w:noWrap w:val="0"/>
                  <w:vAlign w:val="center"/>
                </w:tcPr>
                <w:p w14:paraId="3D519D5C">
                  <w:pPr>
                    <w:pStyle w:val="68"/>
                    <w:rPr>
                      <w:rFonts w:hint="eastAsia"/>
                      <w:color w:val="000000" w:themeColor="text1"/>
                      <w14:textFill>
                        <w14:solidFill>
                          <w14:schemeClr w14:val="tx1"/>
                        </w14:solidFill>
                      </w14:textFill>
                    </w:rPr>
                  </w:pPr>
                </w:p>
              </w:tc>
              <w:tc>
                <w:tcPr>
                  <w:tcW w:w="313" w:type="pct"/>
                  <w:vMerge w:val="continue"/>
                  <w:tcBorders>
                    <w:tl2br w:val="nil"/>
                    <w:tr2bl w:val="nil"/>
                  </w:tcBorders>
                  <w:noWrap w:val="0"/>
                  <w:vAlign w:val="center"/>
                </w:tcPr>
                <w:p w14:paraId="61A8CBBD">
                  <w:pPr>
                    <w:pStyle w:val="68"/>
                    <w:rPr>
                      <w:rFonts w:hint="eastAsia"/>
                      <w:color w:val="000000" w:themeColor="text1"/>
                      <w14:textFill>
                        <w14:solidFill>
                          <w14:schemeClr w14:val="tx1"/>
                        </w14:solidFill>
                      </w14:textFill>
                    </w:rPr>
                  </w:pPr>
                </w:p>
              </w:tc>
              <w:tc>
                <w:tcPr>
                  <w:tcW w:w="1042" w:type="pct"/>
                  <w:vMerge w:val="continue"/>
                  <w:tcBorders>
                    <w:tl2br w:val="nil"/>
                    <w:tr2bl w:val="nil"/>
                  </w:tcBorders>
                  <w:noWrap w:val="0"/>
                  <w:vAlign w:val="center"/>
                </w:tcPr>
                <w:p w14:paraId="7702934E">
                  <w:pPr>
                    <w:pStyle w:val="68"/>
                    <w:rPr>
                      <w:rFonts w:hint="eastAsia"/>
                      <w:color w:val="000000" w:themeColor="text1"/>
                      <w14:textFill>
                        <w14:solidFill>
                          <w14:schemeClr w14:val="tx1"/>
                        </w14:solidFill>
                      </w14:textFill>
                    </w:rPr>
                  </w:pPr>
                </w:p>
              </w:tc>
              <w:tc>
                <w:tcPr>
                  <w:tcW w:w="865" w:type="pct"/>
                  <w:tcBorders>
                    <w:tl2br w:val="nil"/>
                    <w:tr2bl w:val="nil"/>
                  </w:tcBorders>
                  <w:noWrap w:val="0"/>
                  <w:vAlign w:val="center"/>
                </w:tcPr>
                <w:p w14:paraId="7C258B93">
                  <w:pPr>
                    <w:pStyle w:val="68"/>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排放速率（排气筒高17m）</w:t>
                  </w:r>
                </w:p>
              </w:tc>
              <w:tc>
                <w:tcPr>
                  <w:tcW w:w="458" w:type="pct"/>
                  <w:tcBorders>
                    <w:tl2br w:val="nil"/>
                    <w:tr2bl w:val="nil"/>
                  </w:tcBorders>
                  <w:noWrap w:val="0"/>
                  <w:vAlign w:val="center"/>
                </w:tcPr>
                <w:p w14:paraId="5089A9DA">
                  <w:pPr>
                    <w:pStyle w:val="68"/>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12.6kg/h</w:t>
                  </w:r>
                </w:p>
              </w:tc>
              <w:tc>
                <w:tcPr>
                  <w:tcW w:w="1929" w:type="pct"/>
                  <w:vMerge w:val="continue"/>
                  <w:tcBorders>
                    <w:tl2br w:val="nil"/>
                    <w:tr2bl w:val="nil"/>
                  </w:tcBorders>
                  <w:noWrap w:val="0"/>
                  <w:vAlign w:val="center"/>
                </w:tcPr>
                <w:p w14:paraId="62D4A3A7">
                  <w:pPr>
                    <w:pStyle w:val="68"/>
                    <w:rPr>
                      <w:rFonts w:hint="eastAsia"/>
                      <w:color w:val="000000" w:themeColor="text1"/>
                      <w:kern w:val="24"/>
                      <w:highlight w:val="none"/>
                      <w:lang w:val="en-US" w:eastAsia="zh-CN"/>
                      <w14:textFill>
                        <w14:solidFill>
                          <w14:schemeClr w14:val="tx1"/>
                        </w14:solidFill>
                      </w14:textFill>
                    </w:rPr>
                  </w:pPr>
                </w:p>
              </w:tc>
            </w:tr>
            <w:tr w14:paraId="2FBD9A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0" w:type="pct"/>
                  <w:vMerge w:val="continue"/>
                  <w:tcBorders>
                    <w:tl2br w:val="nil"/>
                    <w:tr2bl w:val="nil"/>
                  </w:tcBorders>
                  <w:noWrap w:val="0"/>
                  <w:vAlign w:val="center"/>
                </w:tcPr>
                <w:p w14:paraId="21C210EF">
                  <w:pPr>
                    <w:pStyle w:val="68"/>
                    <w:rPr>
                      <w:color w:val="000000" w:themeColor="text1"/>
                      <w14:textFill>
                        <w14:solidFill>
                          <w14:schemeClr w14:val="tx1"/>
                        </w14:solidFill>
                      </w14:textFill>
                    </w:rPr>
                  </w:pPr>
                </w:p>
              </w:tc>
              <w:tc>
                <w:tcPr>
                  <w:tcW w:w="313" w:type="pct"/>
                  <w:vMerge w:val="restart"/>
                  <w:tcBorders>
                    <w:tl2br w:val="nil"/>
                    <w:tr2bl w:val="nil"/>
                  </w:tcBorders>
                  <w:noWrap w:val="0"/>
                  <w:vAlign w:val="center"/>
                </w:tcPr>
                <w:p w14:paraId="25D4A022">
                  <w:pPr>
                    <w:pStyle w:val="68"/>
                    <w:rPr>
                      <w:color w:val="000000" w:themeColor="text1"/>
                      <w14:textFill>
                        <w14:solidFill>
                          <w14:schemeClr w14:val="tx1"/>
                        </w14:solidFill>
                      </w14:textFill>
                    </w:rPr>
                  </w:pPr>
                  <w:r>
                    <w:rPr>
                      <w:rFonts w:hint="eastAsia"/>
                      <w:color w:val="000000" w:themeColor="text1"/>
                      <w14:textFill>
                        <w14:solidFill>
                          <w14:schemeClr w14:val="tx1"/>
                        </w14:solidFill>
                      </w14:textFill>
                    </w:rPr>
                    <w:t>无组织</w:t>
                  </w:r>
                </w:p>
              </w:tc>
              <w:tc>
                <w:tcPr>
                  <w:tcW w:w="1042" w:type="pct"/>
                  <w:vMerge w:val="restart"/>
                  <w:tcBorders>
                    <w:tl2br w:val="nil"/>
                    <w:tr2bl w:val="nil"/>
                  </w:tcBorders>
                  <w:noWrap w:val="0"/>
                  <w:vAlign w:val="center"/>
                </w:tcPr>
                <w:p w14:paraId="492EB7D9">
                  <w:pPr>
                    <w:pStyle w:val="68"/>
                    <w:rPr>
                      <w:color w:val="000000" w:themeColor="text1"/>
                      <w14:textFill>
                        <w14:solidFill>
                          <w14:schemeClr w14:val="tx1"/>
                        </w14:solidFill>
                      </w14:textFill>
                    </w:rPr>
                  </w:pPr>
                  <w:r>
                    <w:rPr>
                      <w:rFonts w:hint="eastAsia"/>
                      <w:color w:val="000000" w:themeColor="text1"/>
                      <w14:textFill>
                        <w14:solidFill>
                          <w14:schemeClr w14:val="tx1"/>
                        </w14:solidFill>
                      </w14:textFill>
                    </w:rPr>
                    <w:t>非甲烷总烃</w:t>
                  </w:r>
                </w:p>
              </w:tc>
              <w:tc>
                <w:tcPr>
                  <w:tcW w:w="865" w:type="pct"/>
                  <w:tcBorders>
                    <w:tl2br w:val="nil"/>
                    <w:tr2bl w:val="nil"/>
                  </w:tcBorders>
                  <w:noWrap w:val="0"/>
                  <w:vAlign w:val="center"/>
                </w:tcPr>
                <w:p w14:paraId="7A57ABB2">
                  <w:pPr>
                    <w:jc w:val="center"/>
                    <w:rPr>
                      <w:color w:val="000000" w:themeColor="text1"/>
                      <w:highlight w:val="none"/>
                      <w14:textFill>
                        <w14:solidFill>
                          <w14:schemeClr w14:val="tx1"/>
                        </w14:solidFill>
                      </w14:textFill>
                    </w:rPr>
                  </w:pPr>
                  <w:r>
                    <w:rPr>
                      <w:rFonts w:hint="eastAsia"/>
                      <w:bCs/>
                      <w:color w:val="000000" w:themeColor="text1"/>
                      <w:highlight w:val="none"/>
                      <w:lang w:val="en-US" w:eastAsia="zh-CN"/>
                      <w14:textFill>
                        <w14:solidFill>
                          <w14:schemeClr w14:val="tx1"/>
                        </w14:solidFill>
                      </w14:textFill>
                    </w:rPr>
                    <w:t>监控点处1h平均浓度值</w:t>
                  </w:r>
                </w:p>
              </w:tc>
              <w:tc>
                <w:tcPr>
                  <w:tcW w:w="458" w:type="pct"/>
                  <w:tcBorders>
                    <w:tl2br w:val="nil"/>
                    <w:tr2bl w:val="nil"/>
                  </w:tcBorders>
                  <w:noWrap w:val="0"/>
                  <w:vAlign w:val="center"/>
                </w:tcPr>
                <w:p w14:paraId="7B23C6A5">
                  <w:pPr>
                    <w:pStyle w:val="68"/>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w:t>
                  </w:r>
                </w:p>
              </w:tc>
              <w:tc>
                <w:tcPr>
                  <w:tcW w:w="1929" w:type="pct"/>
                  <w:vMerge w:val="restart"/>
                  <w:tcBorders>
                    <w:tl2br w:val="nil"/>
                    <w:tr2bl w:val="nil"/>
                  </w:tcBorders>
                  <w:noWrap w:val="0"/>
                  <w:vAlign w:val="center"/>
                </w:tcPr>
                <w:p w14:paraId="5159A8C0">
                  <w:pPr>
                    <w:pStyle w:val="68"/>
                    <w:rPr>
                      <w:color w:val="000000" w:themeColor="text1"/>
                      <w:kern w:val="24"/>
                      <w:highlight w:val="none"/>
                      <w14:textFill>
                        <w14:solidFill>
                          <w14:schemeClr w14:val="tx1"/>
                        </w14:solidFill>
                      </w14:textFill>
                    </w:rPr>
                  </w:pPr>
                  <w:r>
                    <w:rPr>
                      <w:rFonts w:hint="eastAsia"/>
                      <w:color w:val="000000" w:themeColor="text1"/>
                      <w:kern w:val="24"/>
                      <w:highlight w:val="none"/>
                      <w:lang w:val="en-US" w:eastAsia="zh-CN"/>
                      <w14:textFill>
                        <w14:solidFill>
                          <w14:schemeClr w14:val="tx1"/>
                        </w14:solidFill>
                      </w14:textFill>
                    </w:rPr>
                    <w:t>《挥发性有机物无组织排放控制标准》（GB37822-2019）附录A厂区内VOCs特别排放限值</w:t>
                  </w:r>
                </w:p>
              </w:tc>
            </w:tr>
            <w:tr w14:paraId="22D504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0" w:type="pct"/>
                  <w:vMerge w:val="continue"/>
                  <w:tcBorders>
                    <w:tl2br w:val="nil"/>
                    <w:tr2bl w:val="nil"/>
                  </w:tcBorders>
                  <w:noWrap w:val="0"/>
                  <w:vAlign w:val="center"/>
                </w:tcPr>
                <w:p w14:paraId="6B13B218">
                  <w:pPr>
                    <w:pStyle w:val="68"/>
                    <w:rPr>
                      <w:color w:val="000000" w:themeColor="text1"/>
                      <w14:textFill>
                        <w14:solidFill>
                          <w14:schemeClr w14:val="tx1"/>
                        </w14:solidFill>
                      </w14:textFill>
                    </w:rPr>
                  </w:pPr>
                </w:p>
              </w:tc>
              <w:tc>
                <w:tcPr>
                  <w:tcW w:w="313" w:type="pct"/>
                  <w:vMerge w:val="continue"/>
                  <w:tcBorders>
                    <w:tl2br w:val="nil"/>
                    <w:tr2bl w:val="nil"/>
                  </w:tcBorders>
                  <w:noWrap w:val="0"/>
                  <w:vAlign w:val="center"/>
                </w:tcPr>
                <w:p w14:paraId="2C788FAA">
                  <w:pPr>
                    <w:pStyle w:val="68"/>
                    <w:rPr>
                      <w:color w:val="000000" w:themeColor="text1"/>
                      <w14:textFill>
                        <w14:solidFill>
                          <w14:schemeClr w14:val="tx1"/>
                        </w14:solidFill>
                      </w14:textFill>
                    </w:rPr>
                  </w:pPr>
                </w:p>
              </w:tc>
              <w:tc>
                <w:tcPr>
                  <w:tcW w:w="1042" w:type="pct"/>
                  <w:vMerge w:val="continue"/>
                  <w:tcBorders>
                    <w:tl2br w:val="nil"/>
                    <w:tr2bl w:val="nil"/>
                  </w:tcBorders>
                  <w:noWrap w:val="0"/>
                  <w:vAlign w:val="center"/>
                </w:tcPr>
                <w:p w14:paraId="71189605">
                  <w:pPr>
                    <w:pStyle w:val="68"/>
                    <w:rPr>
                      <w:color w:val="000000" w:themeColor="text1"/>
                      <w14:textFill>
                        <w14:solidFill>
                          <w14:schemeClr w14:val="tx1"/>
                        </w14:solidFill>
                      </w14:textFill>
                    </w:rPr>
                  </w:pPr>
                </w:p>
              </w:tc>
              <w:tc>
                <w:tcPr>
                  <w:tcW w:w="865" w:type="pct"/>
                  <w:tcBorders>
                    <w:tl2br w:val="nil"/>
                    <w:tr2bl w:val="nil"/>
                  </w:tcBorders>
                  <w:noWrap w:val="0"/>
                  <w:vAlign w:val="center"/>
                </w:tcPr>
                <w:p w14:paraId="452E40E4">
                  <w:pPr>
                    <w:jc w:val="center"/>
                    <w:rPr>
                      <w:color w:val="000000" w:themeColor="text1"/>
                      <w:szCs w:val="21"/>
                      <w:highlight w:val="none"/>
                      <w14:textFill>
                        <w14:solidFill>
                          <w14:schemeClr w14:val="tx1"/>
                        </w14:solidFill>
                      </w14:textFill>
                    </w:rPr>
                  </w:pPr>
                  <w:r>
                    <w:rPr>
                      <w:rFonts w:hint="eastAsia"/>
                      <w:bCs/>
                      <w:color w:val="000000" w:themeColor="text1"/>
                      <w:highlight w:val="none"/>
                      <w:lang w:val="en-US" w:eastAsia="zh-CN"/>
                      <w14:textFill>
                        <w14:solidFill>
                          <w14:schemeClr w14:val="tx1"/>
                        </w14:solidFill>
                      </w14:textFill>
                    </w:rPr>
                    <w:t>监控点处任意一次浓度值</w:t>
                  </w:r>
                </w:p>
              </w:tc>
              <w:tc>
                <w:tcPr>
                  <w:tcW w:w="458" w:type="pct"/>
                  <w:tcBorders>
                    <w:tl2br w:val="nil"/>
                    <w:tr2bl w:val="nil"/>
                  </w:tcBorders>
                  <w:noWrap w:val="0"/>
                  <w:vAlign w:val="center"/>
                </w:tcPr>
                <w:p w14:paraId="7497D30C">
                  <w:pPr>
                    <w:pStyle w:val="6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w:t>
                  </w:r>
                </w:p>
              </w:tc>
              <w:tc>
                <w:tcPr>
                  <w:tcW w:w="1929" w:type="pct"/>
                  <w:vMerge w:val="continue"/>
                  <w:tcBorders>
                    <w:tl2br w:val="nil"/>
                    <w:tr2bl w:val="nil"/>
                  </w:tcBorders>
                  <w:noWrap w:val="0"/>
                  <w:vAlign w:val="center"/>
                </w:tcPr>
                <w:p w14:paraId="6003D14C">
                  <w:pPr>
                    <w:pStyle w:val="68"/>
                    <w:rPr>
                      <w:color w:val="000000" w:themeColor="text1"/>
                      <w:kern w:val="24"/>
                      <w:highlight w:val="none"/>
                      <w14:textFill>
                        <w14:solidFill>
                          <w14:schemeClr w14:val="tx1"/>
                        </w14:solidFill>
                      </w14:textFill>
                    </w:rPr>
                  </w:pPr>
                </w:p>
              </w:tc>
            </w:tr>
            <w:tr w14:paraId="3B2D6B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0" w:type="pct"/>
                  <w:vMerge w:val="continue"/>
                  <w:tcBorders>
                    <w:tl2br w:val="nil"/>
                    <w:tr2bl w:val="nil"/>
                  </w:tcBorders>
                  <w:noWrap w:val="0"/>
                  <w:vAlign w:val="center"/>
                </w:tcPr>
                <w:p w14:paraId="32491B91">
                  <w:pPr>
                    <w:pStyle w:val="68"/>
                    <w:rPr>
                      <w:color w:val="000000" w:themeColor="text1"/>
                      <w14:textFill>
                        <w14:solidFill>
                          <w14:schemeClr w14:val="tx1"/>
                        </w14:solidFill>
                      </w14:textFill>
                    </w:rPr>
                  </w:pPr>
                </w:p>
              </w:tc>
              <w:tc>
                <w:tcPr>
                  <w:tcW w:w="313" w:type="pct"/>
                  <w:vMerge w:val="continue"/>
                  <w:tcBorders>
                    <w:tl2br w:val="nil"/>
                    <w:tr2bl w:val="nil"/>
                  </w:tcBorders>
                  <w:noWrap w:val="0"/>
                  <w:vAlign w:val="center"/>
                </w:tcPr>
                <w:p w14:paraId="2CE9D2CF">
                  <w:pPr>
                    <w:pStyle w:val="68"/>
                    <w:rPr>
                      <w:color w:val="000000" w:themeColor="text1"/>
                      <w14:textFill>
                        <w14:solidFill>
                          <w14:schemeClr w14:val="tx1"/>
                        </w14:solidFill>
                      </w14:textFill>
                    </w:rPr>
                  </w:pPr>
                </w:p>
              </w:tc>
              <w:tc>
                <w:tcPr>
                  <w:tcW w:w="1042" w:type="pct"/>
                  <w:vMerge w:val="continue"/>
                  <w:tcBorders>
                    <w:tl2br w:val="nil"/>
                    <w:tr2bl w:val="nil"/>
                  </w:tcBorders>
                  <w:noWrap w:val="0"/>
                  <w:vAlign w:val="center"/>
                </w:tcPr>
                <w:p w14:paraId="4CCFB00B">
                  <w:pPr>
                    <w:pStyle w:val="68"/>
                    <w:rPr>
                      <w:color w:val="000000" w:themeColor="text1"/>
                      <w14:textFill>
                        <w14:solidFill>
                          <w14:schemeClr w14:val="tx1"/>
                        </w14:solidFill>
                      </w14:textFill>
                    </w:rPr>
                  </w:pPr>
                </w:p>
              </w:tc>
              <w:tc>
                <w:tcPr>
                  <w:tcW w:w="865" w:type="pct"/>
                  <w:tcBorders>
                    <w:tl2br w:val="nil"/>
                    <w:tr2bl w:val="nil"/>
                  </w:tcBorders>
                  <w:noWrap w:val="0"/>
                  <w:vAlign w:val="center"/>
                </w:tcPr>
                <w:p w14:paraId="1950BAE9">
                  <w:pPr>
                    <w:pStyle w:val="68"/>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周界外浓度最高点浓度限值</w:t>
                  </w:r>
                </w:p>
              </w:tc>
              <w:tc>
                <w:tcPr>
                  <w:tcW w:w="458" w:type="pct"/>
                  <w:tcBorders>
                    <w:tl2br w:val="nil"/>
                    <w:tr2bl w:val="nil"/>
                  </w:tcBorders>
                  <w:noWrap w:val="0"/>
                  <w:vAlign w:val="center"/>
                </w:tcPr>
                <w:p w14:paraId="3CA53EFB">
                  <w:pPr>
                    <w:pStyle w:val="68"/>
                    <w:rPr>
                      <w:rFonts w:hint="eastAsia" w:ascii="Times New Roman" w:hAnsi="Times New Roman" w:eastAsia="宋体" w:cs="Times New Roman"/>
                      <w:color w:val="000000" w:themeColor="text1"/>
                      <w:sz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4</w:t>
                  </w:r>
                </w:p>
              </w:tc>
              <w:tc>
                <w:tcPr>
                  <w:tcW w:w="1929" w:type="pct"/>
                  <w:tcBorders>
                    <w:tl2br w:val="nil"/>
                    <w:tr2bl w:val="nil"/>
                  </w:tcBorders>
                  <w:noWrap w:val="0"/>
                  <w:vAlign w:val="center"/>
                </w:tcPr>
                <w:p w14:paraId="75FA7284">
                  <w:pPr>
                    <w:pStyle w:val="68"/>
                    <w:rPr>
                      <w:rFonts w:hint="eastAsia" w:ascii="Times New Roman" w:hAnsi="Times New Roman" w:eastAsia="宋体" w:cs="Times New Roman"/>
                      <w:color w:val="000000" w:themeColor="text1"/>
                      <w:kern w:val="24"/>
                      <w:sz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《大气污染物综合排放标准》（GB16297-1996）表2</w:t>
                  </w:r>
                  <w:r>
                    <w:rPr>
                      <w:rFonts w:hint="eastAsia"/>
                      <w:color w:val="000000" w:themeColor="text1"/>
                      <w:szCs w:val="21"/>
                      <w:highlight w:val="none"/>
                      <w14:textFill>
                        <w14:solidFill>
                          <w14:schemeClr w14:val="tx1"/>
                        </w14:solidFill>
                      </w14:textFill>
                    </w:rPr>
                    <w:t>排放限值</w:t>
                  </w:r>
                </w:p>
              </w:tc>
            </w:tr>
          </w:tbl>
          <w:p w14:paraId="2673F72D">
            <w:pPr>
              <w:pStyle w:val="4"/>
              <w:numPr>
                <w:ilvl w:val="0"/>
                <w:numId w:val="8"/>
              </w:numPr>
              <w:spacing w:line="360" w:lineRule="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废水</w:t>
            </w:r>
            <w:bookmarkEnd w:id="17"/>
          </w:p>
          <w:p w14:paraId="5A4C946A">
            <w:pPr>
              <w:pStyle w:val="69"/>
              <w:adjustRightInd w:val="0"/>
              <w:snapToGrid w:val="0"/>
              <w:rPr>
                <w:rFonts w:ascii="Times New Roman" w:hAnsi="Times New Roman" w:cs="Times New Roman"/>
              </w:rPr>
            </w:pPr>
            <w:r>
              <w:rPr>
                <w:rFonts w:hint="eastAsia" w:ascii="Times New Roman" w:hAnsi="Times New Roman" w:eastAsia="宋体" w:cs="Times New Roman"/>
                <w:color w:val="000000"/>
                <w:kern w:val="0"/>
                <w:sz w:val="24"/>
                <w:szCs w:val="22"/>
                <w:lang w:val="en-US" w:eastAsia="zh-CN" w:bidi="zh-CN"/>
              </w:rPr>
              <w:t>项目</w:t>
            </w:r>
            <w:r>
              <w:rPr>
                <w:rFonts w:hint="eastAsia" w:ascii="Times New Roman" w:hAnsi="Times New Roman" w:eastAsia="宋体" w:cs="Times New Roman"/>
                <w:color w:val="000000"/>
                <w:kern w:val="0"/>
                <w:sz w:val="24"/>
                <w:szCs w:val="22"/>
                <w:lang w:val="en-US" w:bidi="zh-CN"/>
              </w:rPr>
              <w:t>中实验室器皿后段清洗废水经pH调节池收集处理后</w:t>
            </w:r>
            <w:r>
              <w:rPr>
                <w:rFonts w:hint="default" w:ascii="Times New Roman" w:hAnsi="Times New Roman" w:eastAsia="宋体" w:cs="Times New Roman"/>
                <w:color w:val="000000"/>
                <w:kern w:val="0"/>
                <w:sz w:val="24"/>
                <w:szCs w:val="22"/>
                <w:lang w:val="en-US" w:bidi="zh-CN"/>
              </w:rPr>
              <w:t>与生活污水</w:t>
            </w:r>
            <w:r>
              <w:rPr>
                <w:rFonts w:hint="eastAsia" w:ascii="Times New Roman" w:hAnsi="Times New Roman" w:eastAsia="宋体" w:cs="Times New Roman"/>
                <w:color w:val="000000"/>
                <w:kern w:val="0"/>
                <w:sz w:val="24"/>
                <w:szCs w:val="22"/>
                <w:lang w:val="en-US" w:eastAsia="zh-CN" w:bidi="zh-CN"/>
              </w:rPr>
              <w:t>、清洁用水、纯水机浓水</w:t>
            </w:r>
            <w:r>
              <w:rPr>
                <w:rFonts w:hint="default" w:ascii="Times New Roman" w:hAnsi="Times New Roman" w:eastAsia="宋体" w:cs="Times New Roman"/>
                <w:color w:val="000000"/>
                <w:kern w:val="0"/>
                <w:sz w:val="24"/>
                <w:szCs w:val="22"/>
                <w:lang w:val="en-US" w:bidi="zh-CN"/>
              </w:rPr>
              <w:t>一起进入</w:t>
            </w:r>
            <w:r>
              <w:rPr>
                <w:rFonts w:hint="eastAsia" w:ascii="Times New Roman" w:hAnsi="Times New Roman" w:eastAsia="宋体" w:cs="Times New Roman"/>
                <w:color w:val="000000"/>
                <w:kern w:val="0"/>
                <w:sz w:val="24"/>
                <w:szCs w:val="22"/>
                <w:lang w:val="en-US" w:eastAsia="zh-CN" w:bidi="zh-CN"/>
              </w:rPr>
              <w:t>园区</w:t>
            </w:r>
            <w:r>
              <w:rPr>
                <w:rFonts w:hint="default" w:ascii="Times New Roman" w:hAnsi="Times New Roman" w:eastAsia="宋体" w:cs="Times New Roman"/>
                <w:color w:val="000000"/>
                <w:kern w:val="0"/>
                <w:sz w:val="24"/>
                <w:szCs w:val="22"/>
                <w:lang w:val="en-US" w:bidi="zh-CN"/>
              </w:rPr>
              <w:t>化粪池处理达标后排入市政污水管网</w:t>
            </w:r>
            <w:r>
              <w:rPr>
                <w:rFonts w:hint="eastAsia" w:ascii="Times New Roman" w:hAnsi="Times New Roman" w:cs="Times New Roman"/>
              </w:rPr>
              <w:t>，污水</w:t>
            </w:r>
            <w:r>
              <w:rPr>
                <w:rFonts w:ascii="Times New Roman" w:hAnsi="Times New Roman" w:cs="Times New Roman"/>
              </w:rPr>
              <w:t>执行《污水排入城镇下水道水质标准》（GB/T31962-2015）中的</w:t>
            </w:r>
            <w:r>
              <w:rPr>
                <w:rFonts w:hint="eastAsia" w:ascii="Times New Roman" w:hAnsi="Times New Roman" w:cs="Times New Roman"/>
              </w:rPr>
              <w:t>A级</w:t>
            </w:r>
            <w:r>
              <w:rPr>
                <w:rFonts w:ascii="Times New Roman" w:hAnsi="Times New Roman" w:cs="Times New Roman"/>
              </w:rPr>
              <w:t>标准</w:t>
            </w:r>
            <w:r>
              <w:rPr>
                <w:rFonts w:hint="eastAsia" w:ascii="Times New Roman" w:hAnsi="Times New Roman" w:cs="Times New Roman"/>
              </w:rPr>
              <w:t>及</w:t>
            </w:r>
            <w:r>
              <w:rPr>
                <w:rFonts w:ascii="Times New Roman" w:hAnsi="Times New Roman" w:cs="Times New Roman"/>
              </w:rPr>
              <w:t>《污水综合排放标准》（GB8978-1996）中的三级标准</w:t>
            </w:r>
            <w:r>
              <w:rPr>
                <w:rFonts w:hint="eastAsia" w:ascii="Times New Roman" w:hAnsi="Times New Roman" w:cs="Times New Roman"/>
              </w:rPr>
              <w:t>。</w:t>
            </w:r>
          </w:p>
          <w:p w14:paraId="39A1DBD8">
            <w:pPr>
              <w:widowControl/>
              <w:jc w:val="center"/>
              <w:rPr>
                <w:b/>
                <w:bCs/>
                <w:kern w:val="21"/>
                <w:sz w:val="24"/>
              </w:rPr>
            </w:pPr>
            <w:r>
              <w:rPr>
                <w:b/>
                <w:bCs/>
                <w:kern w:val="21"/>
                <w:sz w:val="24"/>
              </w:rPr>
              <w:t>表</w:t>
            </w:r>
            <w:r>
              <w:rPr>
                <w:rFonts w:hint="eastAsia"/>
                <w:b/>
                <w:bCs/>
                <w:kern w:val="21"/>
                <w:sz w:val="24"/>
              </w:rPr>
              <w:t>3-</w:t>
            </w:r>
            <w:r>
              <w:rPr>
                <w:rFonts w:hint="eastAsia"/>
                <w:b/>
                <w:bCs/>
                <w:kern w:val="21"/>
                <w:sz w:val="24"/>
                <w:lang w:val="en-US" w:eastAsia="zh-CN"/>
              </w:rPr>
              <w:t>4</w:t>
            </w:r>
            <w:r>
              <w:rPr>
                <w:rFonts w:hint="eastAsia"/>
                <w:b/>
                <w:bCs/>
                <w:kern w:val="21"/>
                <w:sz w:val="24"/>
              </w:rPr>
              <w:t xml:space="preserve">  污水</w:t>
            </w:r>
            <w:r>
              <w:rPr>
                <w:b/>
                <w:bCs/>
                <w:kern w:val="21"/>
                <w:sz w:val="24"/>
              </w:rPr>
              <w:t>排放标准    单位：mg/L</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73"/>
              <w:gridCol w:w="2587"/>
              <w:gridCol w:w="987"/>
              <w:gridCol w:w="1518"/>
              <w:gridCol w:w="999"/>
              <w:gridCol w:w="1243"/>
            </w:tblGrid>
            <w:tr w14:paraId="33A74D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585" w:type="pct"/>
                  <w:tcBorders>
                    <w:tl2br w:val="nil"/>
                    <w:tr2bl w:val="nil"/>
                  </w:tcBorders>
                  <w:noWrap w:val="0"/>
                  <w:vAlign w:val="center"/>
                </w:tcPr>
                <w:p w14:paraId="2BB58E7F">
                  <w:pPr>
                    <w:jc w:val="center"/>
                    <w:rPr>
                      <w:b/>
                      <w:bCs/>
                    </w:rPr>
                  </w:pPr>
                  <w:r>
                    <w:rPr>
                      <w:b/>
                      <w:bCs/>
                    </w:rPr>
                    <w:t>排放口</w:t>
                  </w:r>
                </w:p>
                <w:p w14:paraId="72FA335F">
                  <w:pPr>
                    <w:jc w:val="center"/>
                    <w:rPr>
                      <w:b/>
                      <w:bCs/>
                    </w:rPr>
                  </w:pPr>
                  <w:r>
                    <w:rPr>
                      <w:b/>
                      <w:bCs/>
                    </w:rPr>
                    <w:t>名称</w:t>
                  </w:r>
                </w:p>
              </w:tc>
              <w:tc>
                <w:tcPr>
                  <w:tcW w:w="1556" w:type="pct"/>
                  <w:tcBorders>
                    <w:tl2br w:val="nil"/>
                    <w:tr2bl w:val="nil"/>
                  </w:tcBorders>
                  <w:noWrap w:val="0"/>
                  <w:vAlign w:val="center"/>
                </w:tcPr>
                <w:p w14:paraId="439F87A8">
                  <w:pPr>
                    <w:jc w:val="center"/>
                    <w:rPr>
                      <w:b/>
                      <w:bCs/>
                    </w:rPr>
                  </w:pPr>
                  <w:r>
                    <w:rPr>
                      <w:b/>
                      <w:bCs/>
                    </w:rPr>
                    <w:t>执行标准</w:t>
                  </w:r>
                </w:p>
              </w:tc>
              <w:tc>
                <w:tcPr>
                  <w:tcW w:w="594" w:type="pct"/>
                  <w:tcBorders>
                    <w:tl2br w:val="nil"/>
                    <w:tr2bl w:val="nil"/>
                  </w:tcBorders>
                  <w:noWrap w:val="0"/>
                  <w:vAlign w:val="center"/>
                </w:tcPr>
                <w:p w14:paraId="4D7D4B07">
                  <w:pPr>
                    <w:jc w:val="center"/>
                    <w:rPr>
                      <w:b/>
                      <w:bCs/>
                    </w:rPr>
                  </w:pPr>
                  <w:r>
                    <w:rPr>
                      <w:b/>
                      <w:bCs/>
                    </w:rPr>
                    <w:t>类别</w:t>
                  </w:r>
                </w:p>
              </w:tc>
              <w:tc>
                <w:tcPr>
                  <w:tcW w:w="913" w:type="pct"/>
                  <w:tcBorders>
                    <w:tl2br w:val="nil"/>
                    <w:tr2bl w:val="nil"/>
                  </w:tcBorders>
                  <w:noWrap w:val="0"/>
                  <w:vAlign w:val="center"/>
                </w:tcPr>
                <w:p w14:paraId="6EE9D5BD">
                  <w:pPr>
                    <w:jc w:val="center"/>
                    <w:rPr>
                      <w:b/>
                      <w:bCs/>
                    </w:rPr>
                  </w:pPr>
                  <w:r>
                    <w:rPr>
                      <w:b/>
                      <w:bCs/>
                    </w:rPr>
                    <w:t>污染物指标</w:t>
                  </w:r>
                </w:p>
              </w:tc>
              <w:tc>
                <w:tcPr>
                  <w:tcW w:w="601" w:type="pct"/>
                  <w:tcBorders>
                    <w:tl2br w:val="nil"/>
                    <w:tr2bl w:val="nil"/>
                  </w:tcBorders>
                  <w:noWrap w:val="0"/>
                  <w:vAlign w:val="center"/>
                </w:tcPr>
                <w:p w14:paraId="67B48CA2">
                  <w:pPr>
                    <w:jc w:val="center"/>
                    <w:rPr>
                      <w:b/>
                      <w:bCs/>
                    </w:rPr>
                  </w:pPr>
                  <w:r>
                    <w:rPr>
                      <w:b/>
                      <w:bCs/>
                    </w:rPr>
                    <w:t>单位</w:t>
                  </w:r>
                </w:p>
              </w:tc>
              <w:tc>
                <w:tcPr>
                  <w:tcW w:w="748" w:type="pct"/>
                  <w:tcBorders>
                    <w:tl2br w:val="nil"/>
                    <w:tr2bl w:val="nil"/>
                  </w:tcBorders>
                  <w:noWrap w:val="0"/>
                  <w:vAlign w:val="center"/>
                </w:tcPr>
                <w:p w14:paraId="29EC57C0">
                  <w:pPr>
                    <w:jc w:val="center"/>
                    <w:rPr>
                      <w:b/>
                      <w:bCs/>
                    </w:rPr>
                  </w:pPr>
                  <w:r>
                    <w:rPr>
                      <w:b/>
                      <w:bCs/>
                    </w:rPr>
                    <w:t>标准限值</w:t>
                  </w:r>
                </w:p>
              </w:tc>
            </w:tr>
            <w:tr w14:paraId="0FC6D7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585" w:type="pct"/>
                  <w:vMerge w:val="restart"/>
                  <w:tcBorders>
                    <w:tl2br w:val="nil"/>
                    <w:tr2bl w:val="nil"/>
                  </w:tcBorders>
                  <w:noWrap w:val="0"/>
                  <w:vAlign w:val="center"/>
                </w:tcPr>
                <w:p w14:paraId="2CEE3565">
                  <w:pPr>
                    <w:jc w:val="center"/>
                  </w:pPr>
                  <w:r>
                    <w:t>废水排放口</w:t>
                  </w:r>
                </w:p>
              </w:tc>
              <w:tc>
                <w:tcPr>
                  <w:tcW w:w="1556" w:type="pct"/>
                  <w:vMerge w:val="restart"/>
                  <w:tcBorders>
                    <w:tl2br w:val="nil"/>
                    <w:tr2bl w:val="nil"/>
                  </w:tcBorders>
                  <w:noWrap w:val="0"/>
                  <w:vAlign w:val="center"/>
                </w:tcPr>
                <w:p w14:paraId="5DE48708">
                  <w:pPr>
                    <w:jc w:val="center"/>
                  </w:pPr>
                  <w:r>
                    <w:t>《污水综合排放标准》（GB8978-1996）</w:t>
                  </w:r>
                </w:p>
              </w:tc>
              <w:tc>
                <w:tcPr>
                  <w:tcW w:w="594" w:type="pct"/>
                  <w:vMerge w:val="restart"/>
                  <w:tcBorders>
                    <w:tl2br w:val="nil"/>
                    <w:tr2bl w:val="nil"/>
                  </w:tcBorders>
                  <w:noWrap w:val="0"/>
                  <w:vAlign w:val="center"/>
                </w:tcPr>
                <w:p w14:paraId="00A75825">
                  <w:pPr>
                    <w:jc w:val="center"/>
                  </w:pPr>
                  <w:r>
                    <w:t>表4三级标准</w:t>
                  </w:r>
                </w:p>
              </w:tc>
              <w:tc>
                <w:tcPr>
                  <w:tcW w:w="913" w:type="pct"/>
                  <w:tcBorders>
                    <w:tl2br w:val="nil"/>
                    <w:tr2bl w:val="nil"/>
                  </w:tcBorders>
                  <w:noWrap w:val="0"/>
                  <w:vAlign w:val="center"/>
                </w:tcPr>
                <w:p w14:paraId="1EF5FF41">
                  <w:pPr>
                    <w:jc w:val="center"/>
                  </w:pPr>
                  <w:r>
                    <w:t>pH</w:t>
                  </w:r>
                </w:p>
              </w:tc>
              <w:tc>
                <w:tcPr>
                  <w:tcW w:w="601" w:type="pct"/>
                  <w:tcBorders>
                    <w:tl2br w:val="nil"/>
                    <w:tr2bl w:val="nil"/>
                  </w:tcBorders>
                  <w:noWrap w:val="0"/>
                  <w:vAlign w:val="center"/>
                </w:tcPr>
                <w:p w14:paraId="27BBF5A7">
                  <w:pPr>
                    <w:jc w:val="center"/>
                  </w:pPr>
                  <w:r>
                    <w:t>无量纲</w:t>
                  </w:r>
                </w:p>
              </w:tc>
              <w:tc>
                <w:tcPr>
                  <w:tcW w:w="748" w:type="pct"/>
                  <w:tcBorders>
                    <w:tl2br w:val="nil"/>
                    <w:tr2bl w:val="nil"/>
                  </w:tcBorders>
                  <w:noWrap w:val="0"/>
                  <w:vAlign w:val="center"/>
                </w:tcPr>
                <w:p w14:paraId="446293E0">
                  <w:pPr>
                    <w:jc w:val="center"/>
                  </w:pPr>
                  <w:r>
                    <w:t>6-9</w:t>
                  </w:r>
                </w:p>
              </w:tc>
            </w:tr>
            <w:tr w14:paraId="07F64B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585" w:type="pct"/>
                  <w:vMerge w:val="continue"/>
                  <w:tcBorders>
                    <w:tl2br w:val="nil"/>
                    <w:tr2bl w:val="nil"/>
                  </w:tcBorders>
                  <w:noWrap w:val="0"/>
                  <w:vAlign w:val="center"/>
                </w:tcPr>
                <w:p w14:paraId="570FDF0D">
                  <w:pPr>
                    <w:jc w:val="center"/>
                  </w:pPr>
                </w:p>
              </w:tc>
              <w:tc>
                <w:tcPr>
                  <w:tcW w:w="1556" w:type="pct"/>
                  <w:vMerge w:val="continue"/>
                  <w:tcBorders>
                    <w:tl2br w:val="nil"/>
                    <w:tr2bl w:val="nil"/>
                  </w:tcBorders>
                  <w:noWrap w:val="0"/>
                  <w:vAlign w:val="center"/>
                </w:tcPr>
                <w:p w14:paraId="4882FBA8">
                  <w:pPr>
                    <w:jc w:val="center"/>
                  </w:pPr>
                </w:p>
              </w:tc>
              <w:tc>
                <w:tcPr>
                  <w:tcW w:w="594" w:type="pct"/>
                  <w:vMerge w:val="continue"/>
                  <w:tcBorders>
                    <w:tl2br w:val="nil"/>
                    <w:tr2bl w:val="nil"/>
                  </w:tcBorders>
                  <w:noWrap w:val="0"/>
                  <w:vAlign w:val="center"/>
                </w:tcPr>
                <w:p w14:paraId="7C56C257">
                  <w:pPr>
                    <w:jc w:val="center"/>
                  </w:pPr>
                </w:p>
              </w:tc>
              <w:tc>
                <w:tcPr>
                  <w:tcW w:w="913" w:type="pct"/>
                  <w:tcBorders>
                    <w:tl2br w:val="nil"/>
                    <w:tr2bl w:val="nil"/>
                  </w:tcBorders>
                  <w:noWrap w:val="0"/>
                  <w:vAlign w:val="center"/>
                </w:tcPr>
                <w:p w14:paraId="3D460A46">
                  <w:pPr>
                    <w:jc w:val="center"/>
                  </w:pPr>
                  <w:r>
                    <w:t>COD</w:t>
                  </w:r>
                </w:p>
              </w:tc>
              <w:tc>
                <w:tcPr>
                  <w:tcW w:w="601" w:type="pct"/>
                  <w:vMerge w:val="restart"/>
                  <w:tcBorders>
                    <w:tl2br w:val="nil"/>
                    <w:tr2bl w:val="nil"/>
                  </w:tcBorders>
                  <w:noWrap w:val="0"/>
                  <w:vAlign w:val="center"/>
                </w:tcPr>
                <w:p w14:paraId="7FD503D9">
                  <w:pPr>
                    <w:jc w:val="center"/>
                  </w:pPr>
                  <w:r>
                    <w:t>mg/L</w:t>
                  </w:r>
                </w:p>
              </w:tc>
              <w:tc>
                <w:tcPr>
                  <w:tcW w:w="748" w:type="pct"/>
                  <w:tcBorders>
                    <w:tl2br w:val="nil"/>
                    <w:tr2bl w:val="nil"/>
                  </w:tcBorders>
                  <w:noWrap w:val="0"/>
                  <w:vAlign w:val="center"/>
                </w:tcPr>
                <w:p w14:paraId="356B1BF2">
                  <w:pPr>
                    <w:jc w:val="center"/>
                  </w:pPr>
                  <w:r>
                    <w:t>500</w:t>
                  </w:r>
                </w:p>
              </w:tc>
            </w:tr>
            <w:tr w14:paraId="3A49F9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585" w:type="pct"/>
                  <w:vMerge w:val="continue"/>
                  <w:tcBorders>
                    <w:tl2br w:val="nil"/>
                    <w:tr2bl w:val="nil"/>
                  </w:tcBorders>
                  <w:noWrap w:val="0"/>
                  <w:vAlign w:val="center"/>
                </w:tcPr>
                <w:p w14:paraId="1954035A">
                  <w:pPr>
                    <w:jc w:val="center"/>
                  </w:pPr>
                </w:p>
              </w:tc>
              <w:tc>
                <w:tcPr>
                  <w:tcW w:w="1556" w:type="pct"/>
                  <w:vMerge w:val="continue"/>
                  <w:tcBorders>
                    <w:tl2br w:val="nil"/>
                    <w:tr2bl w:val="nil"/>
                  </w:tcBorders>
                  <w:noWrap w:val="0"/>
                  <w:vAlign w:val="center"/>
                </w:tcPr>
                <w:p w14:paraId="2FC742C1">
                  <w:pPr>
                    <w:jc w:val="center"/>
                  </w:pPr>
                </w:p>
              </w:tc>
              <w:tc>
                <w:tcPr>
                  <w:tcW w:w="594" w:type="pct"/>
                  <w:vMerge w:val="continue"/>
                  <w:tcBorders>
                    <w:tl2br w:val="nil"/>
                    <w:tr2bl w:val="nil"/>
                  </w:tcBorders>
                  <w:noWrap w:val="0"/>
                  <w:vAlign w:val="center"/>
                </w:tcPr>
                <w:p w14:paraId="4E5584C2">
                  <w:pPr>
                    <w:jc w:val="center"/>
                  </w:pPr>
                </w:p>
              </w:tc>
              <w:tc>
                <w:tcPr>
                  <w:tcW w:w="913" w:type="pct"/>
                  <w:tcBorders>
                    <w:tl2br w:val="nil"/>
                    <w:tr2bl w:val="nil"/>
                  </w:tcBorders>
                  <w:noWrap w:val="0"/>
                  <w:vAlign w:val="center"/>
                </w:tcPr>
                <w:p w14:paraId="4C87873D">
                  <w:pPr>
                    <w:jc w:val="center"/>
                  </w:pPr>
                  <w:r>
                    <w:t>SS</w:t>
                  </w:r>
                </w:p>
              </w:tc>
              <w:tc>
                <w:tcPr>
                  <w:tcW w:w="601" w:type="pct"/>
                  <w:vMerge w:val="continue"/>
                  <w:tcBorders>
                    <w:tl2br w:val="nil"/>
                    <w:tr2bl w:val="nil"/>
                  </w:tcBorders>
                  <w:noWrap w:val="0"/>
                  <w:vAlign w:val="center"/>
                </w:tcPr>
                <w:p w14:paraId="078028A4">
                  <w:pPr>
                    <w:jc w:val="center"/>
                  </w:pPr>
                </w:p>
              </w:tc>
              <w:tc>
                <w:tcPr>
                  <w:tcW w:w="748" w:type="pct"/>
                  <w:tcBorders>
                    <w:tl2br w:val="nil"/>
                    <w:tr2bl w:val="nil"/>
                  </w:tcBorders>
                  <w:noWrap w:val="0"/>
                  <w:vAlign w:val="center"/>
                </w:tcPr>
                <w:p w14:paraId="4815BBAC">
                  <w:pPr>
                    <w:jc w:val="center"/>
                  </w:pPr>
                  <w:r>
                    <w:t>400</w:t>
                  </w:r>
                </w:p>
              </w:tc>
            </w:tr>
            <w:tr w14:paraId="02984D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585" w:type="pct"/>
                  <w:vMerge w:val="continue"/>
                  <w:tcBorders>
                    <w:tl2br w:val="nil"/>
                    <w:tr2bl w:val="nil"/>
                  </w:tcBorders>
                  <w:noWrap w:val="0"/>
                  <w:vAlign w:val="center"/>
                </w:tcPr>
                <w:p w14:paraId="74455EC5">
                  <w:pPr>
                    <w:jc w:val="center"/>
                  </w:pPr>
                </w:p>
              </w:tc>
              <w:tc>
                <w:tcPr>
                  <w:tcW w:w="1556" w:type="pct"/>
                  <w:vMerge w:val="continue"/>
                  <w:tcBorders>
                    <w:tl2br w:val="nil"/>
                    <w:tr2bl w:val="nil"/>
                  </w:tcBorders>
                  <w:noWrap w:val="0"/>
                  <w:vAlign w:val="center"/>
                </w:tcPr>
                <w:p w14:paraId="4D08A95A">
                  <w:pPr>
                    <w:jc w:val="center"/>
                  </w:pPr>
                </w:p>
              </w:tc>
              <w:tc>
                <w:tcPr>
                  <w:tcW w:w="594" w:type="pct"/>
                  <w:vMerge w:val="continue"/>
                  <w:tcBorders>
                    <w:tl2br w:val="nil"/>
                    <w:tr2bl w:val="nil"/>
                  </w:tcBorders>
                  <w:noWrap w:val="0"/>
                  <w:vAlign w:val="center"/>
                </w:tcPr>
                <w:p w14:paraId="100EB699">
                  <w:pPr>
                    <w:jc w:val="center"/>
                  </w:pPr>
                </w:p>
              </w:tc>
              <w:tc>
                <w:tcPr>
                  <w:tcW w:w="913" w:type="pct"/>
                  <w:tcBorders>
                    <w:tl2br w:val="nil"/>
                    <w:tr2bl w:val="nil"/>
                  </w:tcBorders>
                  <w:noWrap w:val="0"/>
                  <w:vAlign w:val="center"/>
                </w:tcPr>
                <w:p w14:paraId="2E5FE33B">
                  <w:pPr>
                    <w:jc w:val="center"/>
                  </w:pPr>
                  <w:r>
                    <w:t>BOD</w:t>
                  </w:r>
                  <w:r>
                    <w:rPr>
                      <w:vertAlign w:val="subscript"/>
                    </w:rPr>
                    <w:t>5</w:t>
                  </w:r>
                </w:p>
              </w:tc>
              <w:tc>
                <w:tcPr>
                  <w:tcW w:w="601" w:type="pct"/>
                  <w:vMerge w:val="continue"/>
                  <w:tcBorders>
                    <w:tl2br w:val="nil"/>
                    <w:tr2bl w:val="nil"/>
                  </w:tcBorders>
                  <w:noWrap w:val="0"/>
                  <w:vAlign w:val="center"/>
                </w:tcPr>
                <w:p w14:paraId="48E0A337">
                  <w:pPr>
                    <w:jc w:val="center"/>
                  </w:pPr>
                </w:p>
              </w:tc>
              <w:tc>
                <w:tcPr>
                  <w:tcW w:w="748" w:type="pct"/>
                  <w:tcBorders>
                    <w:tl2br w:val="nil"/>
                    <w:tr2bl w:val="nil"/>
                  </w:tcBorders>
                  <w:noWrap w:val="0"/>
                  <w:vAlign w:val="center"/>
                </w:tcPr>
                <w:p w14:paraId="199DB831">
                  <w:pPr>
                    <w:jc w:val="center"/>
                  </w:pPr>
                  <w:r>
                    <w:t>300</w:t>
                  </w:r>
                </w:p>
              </w:tc>
            </w:tr>
            <w:tr w14:paraId="0A872C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85" w:type="pct"/>
                  <w:vMerge w:val="continue"/>
                  <w:tcBorders>
                    <w:tl2br w:val="nil"/>
                    <w:tr2bl w:val="nil"/>
                  </w:tcBorders>
                  <w:noWrap w:val="0"/>
                  <w:vAlign w:val="center"/>
                </w:tcPr>
                <w:p w14:paraId="5DDF7FA9">
                  <w:pPr>
                    <w:jc w:val="center"/>
                  </w:pPr>
                </w:p>
              </w:tc>
              <w:tc>
                <w:tcPr>
                  <w:tcW w:w="1556" w:type="pct"/>
                  <w:vMerge w:val="restart"/>
                  <w:tcBorders>
                    <w:tl2br w:val="nil"/>
                    <w:tr2bl w:val="nil"/>
                  </w:tcBorders>
                  <w:noWrap w:val="0"/>
                  <w:vAlign w:val="center"/>
                </w:tcPr>
                <w:p w14:paraId="3D69BB0D">
                  <w:pPr>
                    <w:jc w:val="center"/>
                  </w:pPr>
                  <w:r>
                    <w:t>《污水排入城镇下水道水质标准》（GB/T 31962-2015）</w:t>
                  </w:r>
                </w:p>
              </w:tc>
              <w:tc>
                <w:tcPr>
                  <w:tcW w:w="594" w:type="pct"/>
                  <w:vMerge w:val="restart"/>
                  <w:tcBorders>
                    <w:tl2br w:val="nil"/>
                    <w:tr2bl w:val="nil"/>
                  </w:tcBorders>
                  <w:noWrap w:val="0"/>
                  <w:vAlign w:val="center"/>
                </w:tcPr>
                <w:p w14:paraId="585E988F">
                  <w:pPr>
                    <w:jc w:val="center"/>
                  </w:pPr>
                  <w:r>
                    <w:t>表1</w:t>
                  </w:r>
                  <w:r>
                    <w:rPr>
                      <w:rFonts w:hint="eastAsia"/>
                    </w:rPr>
                    <w:t>A</w:t>
                  </w:r>
                  <w:r>
                    <w:t>级标准</w:t>
                  </w:r>
                </w:p>
              </w:tc>
              <w:tc>
                <w:tcPr>
                  <w:tcW w:w="913" w:type="pct"/>
                  <w:tcBorders>
                    <w:tl2br w:val="nil"/>
                    <w:tr2bl w:val="nil"/>
                  </w:tcBorders>
                  <w:noWrap w:val="0"/>
                  <w:vAlign w:val="center"/>
                </w:tcPr>
                <w:p w14:paraId="7F08E520">
                  <w:pPr>
                    <w:jc w:val="center"/>
                  </w:pPr>
                  <w:r>
                    <w:t>氨氮</w:t>
                  </w:r>
                </w:p>
              </w:tc>
              <w:tc>
                <w:tcPr>
                  <w:tcW w:w="601" w:type="pct"/>
                  <w:vMerge w:val="continue"/>
                  <w:tcBorders>
                    <w:tl2br w:val="nil"/>
                    <w:tr2bl w:val="nil"/>
                  </w:tcBorders>
                  <w:noWrap w:val="0"/>
                  <w:vAlign w:val="center"/>
                </w:tcPr>
                <w:p w14:paraId="0C1486DD">
                  <w:pPr>
                    <w:jc w:val="center"/>
                  </w:pPr>
                </w:p>
              </w:tc>
              <w:tc>
                <w:tcPr>
                  <w:tcW w:w="748" w:type="pct"/>
                  <w:tcBorders>
                    <w:tl2br w:val="nil"/>
                    <w:tr2bl w:val="nil"/>
                  </w:tcBorders>
                  <w:noWrap w:val="0"/>
                  <w:vAlign w:val="center"/>
                </w:tcPr>
                <w:p w14:paraId="25B5D185">
                  <w:pPr>
                    <w:jc w:val="center"/>
                  </w:pPr>
                  <w:r>
                    <w:t>45</w:t>
                  </w:r>
                </w:p>
              </w:tc>
            </w:tr>
            <w:tr w14:paraId="7004D7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85" w:type="pct"/>
                  <w:vMerge w:val="continue"/>
                  <w:tcBorders>
                    <w:tl2br w:val="nil"/>
                    <w:tr2bl w:val="nil"/>
                  </w:tcBorders>
                  <w:noWrap w:val="0"/>
                  <w:vAlign w:val="center"/>
                </w:tcPr>
                <w:p w14:paraId="1D5E6B75">
                  <w:pPr>
                    <w:jc w:val="center"/>
                  </w:pPr>
                </w:p>
              </w:tc>
              <w:tc>
                <w:tcPr>
                  <w:tcW w:w="1556" w:type="pct"/>
                  <w:vMerge w:val="continue"/>
                  <w:tcBorders>
                    <w:tl2br w:val="nil"/>
                    <w:tr2bl w:val="nil"/>
                  </w:tcBorders>
                  <w:noWrap w:val="0"/>
                  <w:vAlign w:val="center"/>
                </w:tcPr>
                <w:p w14:paraId="77D2CAF3">
                  <w:pPr>
                    <w:jc w:val="center"/>
                  </w:pPr>
                </w:p>
              </w:tc>
              <w:tc>
                <w:tcPr>
                  <w:tcW w:w="594" w:type="pct"/>
                  <w:vMerge w:val="continue"/>
                  <w:tcBorders>
                    <w:tl2br w:val="nil"/>
                    <w:tr2bl w:val="nil"/>
                  </w:tcBorders>
                  <w:noWrap w:val="0"/>
                  <w:vAlign w:val="center"/>
                </w:tcPr>
                <w:p w14:paraId="63042E8F">
                  <w:pPr>
                    <w:jc w:val="center"/>
                  </w:pPr>
                </w:p>
              </w:tc>
              <w:tc>
                <w:tcPr>
                  <w:tcW w:w="913" w:type="pct"/>
                  <w:tcBorders>
                    <w:tl2br w:val="nil"/>
                    <w:tr2bl w:val="nil"/>
                  </w:tcBorders>
                  <w:noWrap w:val="0"/>
                  <w:vAlign w:val="center"/>
                </w:tcPr>
                <w:p w14:paraId="00DA4AF2">
                  <w:pPr>
                    <w:pStyle w:val="68"/>
                    <w:rPr>
                      <w:szCs w:val="21"/>
                    </w:rPr>
                  </w:pPr>
                  <w:r>
                    <w:rPr>
                      <w:rFonts w:hint="eastAsia"/>
                      <w:szCs w:val="21"/>
                    </w:rPr>
                    <w:t>TN</w:t>
                  </w:r>
                </w:p>
              </w:tc>
              <w:tc>
                <w:tcPr>
                  <w:tcW w:w="601" w:type="pct"/>
                  <w:vMerge w:val="continue"/>
                  <w:tcBorders>
                    <w:tl2br w:val="nil"/>
                    <w:tr2bl w:val="nil"/>
                  </w:tcBorders>
                  <w:noWrap w:val="0"/>
                  <w:vAlign w:val="center"/>
                </w:tcPr>
                <w:p w14:paraId="29A01982">
                  <w:pPr>
                    <w:jc w:val="center"/>
                  </w:pPr>
                </w:p>
              </w:tc>
              <w:tc>
                <w:tcPr>
                  <w:tcW w:w="748" w:type="pct"/>
                  <w:tcBorders>
                    <w:tl2br w:val="nil"/>
                    <w:tr2bl w:val="nil"/>
                  </w:tcBorders>
                  <w:noWrap w:val="0"/>
                  <w:vAlign w:val="center"/>
                </w:tcPr>
                <w:p w14:paraId="0885F5C3">
                  <w:pPr>
                    <w:pStyle w:val="68"/>
                  </w:pPr>
                  <w:r>
                    <w:rPr>
                      <w:rFonts w:hint="eastAsia"/>
                    </w:rPr>
                    <w:t>70</w:t>
                  </w:r>
                </w:p>
              </w:tc>
            </w:tr>
            <w:tr w14:paraId="7C5A04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85" w:type="pct"/>
                  <w:vMerge w:val="continue"/>
                  <w:tcBorders>
                    <w:tl2br w:val="nil"/>
                    <w:tr2bl w:val="nil"/>
                  </w:tcBorders>
                  <w:noWrap w:val="0"/>
                  <w:vAlign w:val="center"/>
                </w:tcPr>
                <w:p w14:paraId="05AEDE84">
                  <w:pPr>
                    <w:jc w:val="center"/>
                  </w:pPr>
                </w:p>
              </w:tc>
              <w:tc>
                <w:tcPr>
                  <w:tcW w:w="1556" w:type="pct"/>
                  <w:vMerge w:val="continue"/>
                  <w:tcBorders>
                    <w:tl2br w:val="nil"/>
                    <w:tr2bl w:val="nil"/>
                  </w:tcBorders>
                  <w:noWrap w:val="0"/>
                  <w:vAlign w:val="center"/>
                </w:tcPr>
                <w:p w14:paraId="3EC399FF">
                  <w:pPr>
                    <w:jc w:val="center"/>
                  </w:pPr>
                </w:p>
              </w:tc>
              <w:tc>
                <w:tcPr>
                  <w:tcW w:w="594" w:type="pct"/>
                  <w:vMerge w:val="continue"/>
                  <w:tcBorders>
                    <w:tl2br w:val="nil"/>
                    <w:tr2bl w:val="nil"/>
                  </w:tcBorders>
                  <w:noWrap w:val="0"/>
                  <w:vAlign w:val="center"/>
                </w:tcPr>
                <w:p w14:paraId="5A48C21C">
                  <w:pPr>
                    <w:jc w:val="center"/>
                  </w:pPr>
                </w:p>
              </w:tc>
              <w:tc>
                <w:tcPr>
                  <w:tcW w:w="913" w:type="pct"/>
                  <w:tcBorders>
                    <w:tl2br w:val="nil"/>
                    <w:tr2bl w:val="nil"/>
                  </w:tcBorders>
                  <w:noWrap w:val="0"/>
                  <w:vAlign w:val="center"/>
                </w:tcPr>
                <w:p w14:paraId="5E213449">
                  <w:pPr>
                    <w:pStyle w:val="68"/>
                    <w:rPr>
                      <w:szCs w:val="21"/>
                    </w:rPr>
                  </w:pPr>
                  <w:r>
                    <w:rPr>
                      <w:rFonts w:hint="eastAsia"/>
                      <w:szCs w:val="21"/>
                    </w:rPr>
                    <w:t>TP</w:t>
                  </w:r>
                </w:p>
              </w:tc>
              <w:tc>
                <w:tcPr>
                  <w:tcW w:w="601" w:type="pct"/>
                  <w:vMerge w:val="continue"/>
                  <w:tcBorders>
                    <w:tl2br w:val="nil"/>
                    <w:tr2bl w:val="nil"/>
                  </w:tcBorders>
                  <w:noWrap w:val="0"/>
                  <w:vAlign w:val="center"/>
                </w:tcPr>
                <w:p w14:paraId="214688E5">
                  <w:pPr>
                    <w:jc w:val="center"/>
                  </w:pPr>
                </w:p>
              </w:tc>
              <w:tc>
                <w:tcPr>
                  <w:tcW w:w="748" w:type="pct"/>
                  <w:tcBorders>
                    <w:tl2br w:val="nil"/>
                    <w:tr2bl w:val="nil"/>
                  </w:tcBorders>
                  <w:noWrap w:val="0"/>
                  <w:vAlign w:val="center"/>
                </w:tcPr>
                <w:p w14:paraId="170761B7">
                  <w:pPr>
                    <w:pStyle w:val="68"/>
                  </w:pPr>
                  <w:r>
                    <w:rPr>
                      <w:rFonts w:hint="eastAsia"/>
                    </w:rPr>
                    <w:t>8</w:t>
                  </w:r>
                </w:p>
              </w:tc>
            </w:tr>
          </w:tbl>
          <w:p w14:paraId="4A729F27">
            <w:pPr>
              <w:numPr>
                <w:ilvl w:val="0"/>
                <w:numId w:val="8"/>
              </w:numPr>
              <w:spacing w:line="360" w:lineRule="auto"/>
              <w:ind w:left="0" w:leftChars="0" w:firstLine="0" w:firstLineChars="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噪声</w:t>
            </w:r>
          </w:p>
          <w:p w14:paraId="6A83C619">
            <w:pPr>
              <w:spacing w:line="360" w:lineRule="auto"/>
              <w:ind w:firstLine="480" w:firstLineChars="200"/>
              <w:rPr>
                <w:color w:val="000000" w:themeColor="text1"/>
                <w:sz w:val="24"/>
                <w14:textFill>
                  <w14:solidFill>
                    <w14:schemeClr w14:val="tx1"/>
                  </w14:solidFill>
                </w14:textFill>
              </w:rPr>
            </w:pPr>
            <w:bookmarkStart w:id="18" w:name="_Toc1711"/>
            <w:r>
              <w:rPr>
                <w:sz w:val="24"/>
              </w:rPr>
              <w:t>施工期噪声执行《建筑施工场界环境噪声排放标准》（GB12523-2011）中的相关要</w:t>
            </w:r>
            <w:r>
              <w:rPr>
                <w:color w:val="000000" w:themeColor="text1"/>
                <w:sz w:val="24"/>
                <w14:textFill>
                  <w14:solidFill>
                    <w14:schemeClr w14:val="tx1"/>
                  </w14:solidFill>
                </w14:textFill>
              </w:rPr>
              <w:t>求；</w:t>
            </w:r>
            <w:r>
              <w:rPr>
                <w:rFonts w:hint="eastAsia"/>
                <w:color w:val="000000" w:themeColor="text1"/>
                <w:sz w:val="24"/>
                <w:highlight w:val="none"/>
                <w:lang w:eastAsia="zh-CN"/>
                <w14:textFill>
                  <w14:solidFill>
                    <w14:schemeClr w14:val="tx1"/>
                  </w14:solidFill>
                </w14:textFill>
              </w:rPr>
              <w:t>根据《西咸新区声环境功能区划方案》（陕西咸党政办字〔2022〕12号），本项目所在地为3类声环境功能区，项目运营期厂界噪声排放执行《工业企业厂界环境噪声排放标准》（GB12348-2008）3类标准限值</w:t>
            </w:r>
            <w:r>
              <w:rPr>
                <w:color w:val="000000" w:themeColor="text1"/>
                <w:sz w:val="24"/>
                <w14:textFill>
                  <w14:solidFill>
                    <w14:schemeClr w14:val="tx1"/>
                  </w14:solidFill>
                </w14:textFill>
              </w:rPr>
              <w:t>。</w:t>
            </w:r>
          </w:p>
          <w:p w14:paraId="5293BF64">
            <w:pPr>
              <w:pStyle w:val="7"/>
              <w:jc w:val="center"/>
              <w:rPr>
                <w:rFonts w:ascii="Times New Roman" w:hAnsi="Times New Roman" w:eastAsia="宋体"/>
                <w:b/>
                <w:color w:val="000000" w:themeColor="text1"/>
                <w:sz w:val="24"/>
                <w14:textFill>
                  <w14:solidFill>
                    <w14:schemeClr w14:val="tx1"/>
                  </w14:solidFill>
                </w14:textFill>
              </w:rPr>
            </w:pPr>
            <w:r>
              <w:rPr>
                <w:rFonts w:ascii="Times New Roman" w:hAnsi="Times New Roman" w:eastAsia="宋体"/>
                <w:b/>
                <w:color w:val="000000" w:themeColor="text1"/>
                <w:sz w:val="24"/>
                <w14:textFill>
                  <w14:solidFill>
                    <w14:schemeClr w14:val="tx1"/>
                  </w14:solidFill>
                </w14:textFill>
              </w:rPr>
              <w:t>表3-</w:t>
            </w:r>
            <w:r>
              <w:rPr>
                <w:rFonts w:hint="eastAsia" w:ascii="Times New Roman" w:hAnsi="Times New Roman" w:eastAsia="宋体"/>
                <w:b/>
                <w:color w:val="000000" w:themeColor="text1"/>
                <w:sz w:val="24"/>
                <w:lang w:val="en-US" w:eastAsia="zh-CN"/>
                <w14:textFill>
                  <w14:solidFill>
                    <w14:schemeClr w14:val="tx1"/>
                  </w14:solidFill>
                </w14:textFill>
              </w:rPr>
              <w:t xml:space="preserve">5  </w:t>
            </w:r>
            <w:r>
              <w:rPr>
                <w:rFonts w:ascii="Times New Roman" w:hAnsi="Times New Roman" w:eastAsia="宋体"/>
                <w:b/>
                <w:color w:val="000000" w:themeColor="text1"/>
                <w:sz w:val="24"/>
                <w14:textFill>
                  <w14:solidFill>
                    <w14:schemeClr w14:val="tx1"/>
                  </w14:solidFill>
                </w14:textFill>
              </w:rPr>
              <w:t>噪声排放标准</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10"/>
              <w:gridCol w:w="1391"/>
              <w:gridCol w:w="1359"/>
              <w:gridCol w:w="1343"/>
              <w:gridCol w:w="2704"/>
            </w:tblGrid>
            <w:tr w14:paraId="41A061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909" w:type="pct"/>
                  <w:vMerge w:val="restart"/>
                  <w:tcBorders>
                    <w:tl2br w:val="nil"/>
                    <w:tr2bl w:val="nil"/>
                  </w:tcBorders>
                  <w:noWrap w:val="0"/>
                  <w:tcMar>
                    <w:top w:w="0" w:type="dxa"/>
                    <w:left w:w="57" w:type="dxa"/>
                    <w:bottom w:w="0" w:type="dxa"/>
                    <w:right w:w="57" w:type="dxa"/>
                  </w:tcMar>
                  <w:vAlign w:val="center"/>
                </w:tcPr>
                <w:p w14:paraId="1F05471F">
                  <w:pPr>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项目阶段</w:t>
                  </w:r>
                </w:p>
              </w:tc>
              <w:tc>
                <w:tcPr>
                  <w:tcW w:w="837" w:type="pct"/>
                  <w:vMerge w:val="restart"/>
                  <w:tcBorders>
                    <w:tl2br w:val="nil"/>
                    <w:tr2bl w:val="nil"/>
                  </w:tcBorders>
                  <w:noWrap w:val="0"/>
                  <w:vAlign w:val="center"/>
                </w:tcPr>
                <w:p w14:paraId="1E9D118C">
                  <w:pPr>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功能类别</w:t>
                  </w:r>
                </w:p>
              </w:tc>
              <w:tc>
                <w:tcPr>
                  <w:tcW w:w="1626" w:type="pct"/>
                  <w:gridSpan w:val="2"/>
                  <w:tcBorders>
                    <w:tl2br w:val="nil"/>
                    <w:tr2bl w:val="nil"/>
                  </w:tcBorders>
                  <w:noWrap w:val="0"/>
                  <w:vAlign w:val="center"/>
                </w:tcPr>
                <w:p w14:paraId="1E5FA789">
                  <w:pPr>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限值</w:t>
                  </w:r>
                  <w:r>
                    <w:rPr>
                      <w:b/>
                      <w:bCs/>
                      <w:color w:val="000000" w:themeColor="text1"/>
                      <w:kern w:val="0"/>
                      <w:szCs w:val="21"/>
                      <w14:textFill>
                        <w14:solidFill>
                          <w14:schemeClr w14:val="tx1"/>
                        </w14:solidFill>
                      </w14:textFill>
                    </w:rPr>
                    <w:t>dB(A)</w:t>
                  </w:r>
                </w:p>
              </w:tc>
              <w:tc>
                <w:tcPr>
                  <w:tcW w:w="1627" w:type="pct"/>
                  <w:vMerge w:val="restart"/>
                  <w:tcBorders>
                    <w:tl2br w:val="nil"/>
                    <w:tr2bl w:val="nil"/>
                  </w:tcBorders>
                  <w:noWrap w:val="0"/>
                  <w:vAlign w:val="center"/>
                </w:tcPr>
                <w:p w14:paraId="1466F439">
                  <w:pPr>
                    <w:adjustRightInd w:val="0"/>
                    <w:snapToGrid w:val="0"/>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位置</w:t>
                  </w:r>
                </w:p>
              </w:tc>
            </w:tr>
            <w:tr w14:paraId="34B514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909" w:type="pct"/>
                  <w:vMerge w:val="continue"/>
                  <w:tcBorders>
                    <w:tl2br w:val="nil"/>
                    <w:tr2bl w:val="nil"/>
                  </w:tcBorders>
                  <w:noWrap w:val="0"/>
                  <w:tcMar>
                    <w:top w:w="0" w:type="dxa"/>
                    <w:left w:w="57" w:type="dxa"/>
                    <w:bottom w:w="0" w:type="dxa"/>
                    <w:right w:w="57" w:type="dxa"/>
                  </w:tcMar>
                  <w:vAlign w:val="center"/>
                </w:tcPr>
                <w:p w14:paraId="3B63F906">
                  <w:pPr>
                    <w:adjustRightInd w:val="0"/>
                    <w:snapToGrid w:val="0"/>
                    <w:jc w:val="center"/>
                    <w:rPr>
                      <w:b/>
                      <w:color w:val="000000" w:themeColor="text1"/>
                      <w:kern w:val="0"/>
                      <w:szCs w:val="21"/>
                      <w14:textFill>
                        <w14:solidFill>
                          <w14:schemeClr w14:val="tx1"/>
                        </w14:solidFill>
                      </w14:textFill>
                    </w:rPr>
                  </w:pPr>
                </w:p>
              </w:tc>
              <w:tc>
                <w:tcPr>
                  <w:tcW w:w="837" w:type="pct"/>
                  <w:vMerge w:val="continue"/>
                  <w:tcBorders>
                    <w:tl2br w:val="nil"/>
                    <w:tr2bl w:val="nil"/>
                  </w:tcBorders>
                  <w:noWrap w:val="0"/>
                  <w:vAlign w:val="center"/>
                </w:tcPr>
                <w:p w14:paraId="24500B5E">
                  <w:pPr>
                    <w:adjustRightInd w:val="0"/>
                    <w:snapToGrid w:val="0"/>
                    <w:jc w:val="center"/>
                    <w:rPr>
                      <w:b/>
                      <w:color w:val="000000" w:themeColor="text1"/>
                      <w:kern w:val="0"/>
                      <w:szCs w:val="21"/>
                      <w14:textFill>
                        <w14:solidFill>
                          <w14:schemeClr w14:val="tx1"/>
                        </w14:solidFill>
                      </w14:textFill>
                    </w:rPr>
                  </w:pPr>
                </w:p>
              </w:tc>
              <w:tc>
                <w:tcPr>
                  <w:tcW w:w="818" w:type="pct"/>
                  <w:tcBorders>
                    <w:tl2br w:val="nil"/>
                    <w:tr2bl w:val="nil"/>
                  </w:tcBorders>
                  <w:noWrap w:val="0"/>
                  <w:vAlign w:val="center"/>
                </w:tcPr>
                <w:p w14:paraId="7531080A">
                  <w:pPr>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昼间</w:t>
                  </w:r>
                </w:p>
              </w:tc>
              <w:tc>
                <w:tcPr>
                  <w:tcW w:w="808" w:type="pct"/>
                  <w:tcBorders>
                    <w:tl2br w:val="nil"/>
                    <w:tr2bl w:val="nil"/>
                  </w:tcBorders>
                  <w:noWrap w:val="0"/>
                  <w:vAlign w:val="center"/>
                </w:tcPr>
                <w:p w14:paraId="6F08DEAD">
                  <w:pPr>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夜间</w:t>
                  </w:r>
                </w:p>
              </w:tc>
              <w:tc>
                <w:tcPr>
                  <w:tcW w:w="1627" w:type="pct"/>
                  <w:vMerge w:val="continue"/>
                  <w:tcBorders>
                    <w:tl2br w:val="nil"/>
                    <w:tr2bl w:val="nil"/>
                  </w:tcBorders>
                  <w:noWrap w:val="0"/>
                  <w:vAlign w:val="center"/>
                </w:tcPr>
                <w:p w14:paraId="24AE692C">
                  <w:pPr>
                    <w:adjustRightInd w:val="0"/>
                    <w:snapToGrid w:val="0"/>
                    <w:jc w:val="center"/>
                    <w:rPr>
                      <w:b/>
                      <w:bCs/>
                      <w:color w:val="000000" w:themeColor="text1"/>
                      <w:kern w:val="0"/>
                      <w:szCs w:val="21"/>
                      <w14:textFill>
                        <w14:solidFill>
                          <w14:schemeClr w14:val="tx1"/>
                        </w14:solidFill>
                      </w14:textFill>
                    </w:rPr>
                  </w:pPr>
                </w:p>
              </w:tc>
            </w:tr>
            <w:tr w14:paraId="285F66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909" w:type="pct"/>
                  <w:tcBorders>
                    <w:tl2br w:val="nil"/>
                    <w:tr2bl w:val="nil"/>
                  </w:tcBorders>
                  <w:noWrap w:val="0"/>
                  <w:tcMar>
                    <w:top w:w="0" w:type="dxa"/>
                    <w:left w:w="57" w:type="dxa"/>
                    <w:bottom w:w="0" w:type="dxa"/>
                    <w:right w:w="57" w:type="dxa"/>
                  </w:tcMar>
                  <w:vAlign w:val="center"/>
                </w:tcPr>
                <w:p w14:paraId="48FF58C5">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施工期</w:t>
                  </w:r>
                </w:p>
              </w:tc>
              <w:tc>
                <w:tcPr>
                  <w:tcW w:w="837" w:type="pct"/>
                  <w:tcBorders>
                    <w:tl2br w:val="nil"/>
                    <w:tr2bl w:val="nil"/>
                  </w:tcBorders>
                  <w:noWrap w:val="0"/>
                  <w:vAlign w:val="center"/>
                </w:tcPr>
                <w:p w14:paraId="0CFE6350">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w:t>
                  </w:r>
                </w:p>
              </w:tc>
              <w:tc>
                <w:tcPr>
                  <w:tcW w:w="818" w:type="pct"/>
                  <w:tcBorders>
                    <w:tl2br w:val="nil"/>
                    <w:tr2bl w:val="nil"/>
                  </w:tcBorders>
                  <w:noWrap w:val="0"/>
                  <w:vAlign w:val="center"/>
                </w:tcPr>
                <w:p w14:paraId="1D4DDF45">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70</w:t>
                  </w:r>
                </w:p>
              </w:tc>
              <w:tc>
                <w:tcPr>
                  <w:tcW w:w="808" w:type="pct"/>
                  <w:tcBorders>
                    <w:tl2br w:val="nil"/>
                    <w:tr2bl w:val="nil"/>
                  </w:tcBorders>
                  <w:noWrap w:val="0"/>
                  <w:vAlign w:val="center"/>
                </w:tcPr>
                <w:p w14:paraId="6F6B9AAB">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55</w:t>
                  </w:r>
                </w:p>
              </w:tc>
              <w:tc>
                <w:tcPr>
                  <w:tcW w:w="1627" w:type="pct"/>
                  <w:tcBorders>
                    <w:tl2br w:val="nil"/>
                    <w:tr2bl w:val="nil"/>
                  </w:tcBorders>
                  <w:noWrap w:val="0"/>
                  <w:vAlign w:val="center"/>
                </w:tcPr>
                <w:p w14:paraId="5819E366">
                  <w:pPr>
                    <w:adjustRightInd w:val="0"/>
                    <w:snapToGrid w:val="0"/>
                    <w:jc w:val="center"/>
                    <w:rPr>
                      <w:bCs/>
                      <w:color w:val="000000" w:themeColor="text1"/>
                      <w:kern w:val="0"/>
                      <w:szCs w:val="21"/>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厂</w:t>
                  </w:r>
                  <w:r>
                    <w:rPr>
                      <w:rFonts w:hint="eastAsia"/>
                      <w:bCs/>
                      <w:color w:val="000000" w:themeColor="text1"/>
                      <w:kern w:val="0"/>
                      <w:szCs w:val="21"/>
                      <w14:textFill>
                        <w14:solidFill>
                          <w14:schemeClr w14:val="tx1"/>
                        </w14:solidFill>
                      </w14:textFill>
                    </w:rPr>
                    <w:t>界四周</w:t>
                  </w:r>
                </w:p>
              </w:tc>
            </w:tr>
            <w:tr w14:paraId="5644B0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9" w:type="pct"/>
                  <w:tcBorders>
                    <w:tl2br w:val="nil"/>
                    <w:tr2bl w:val="nil"/>
                  </w:tcBorders>
                  <w:noWrap w:val="0"/>
                  <w:tcMar>
                    <w:top w:w="0" w:type="dxa"/>
                    <w:left w:w="57" w:type="dxa"/>
                    <w:bottom w:w="0" w:type="dxa"/>
                    <w:right w:w="57" w:type="dxa"/>
                  </w:tcMar>
                  <w:vAlign w:val="center"/>
                </w:tcPr>
                <w:p w14:paraId="19F9230B">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运营期</w:t>
                  </w:r>
                </w:p>
              </w:tc>
              <w:tc>
                <w:tcPr>
                  <w:tcW w:w="837" w:type="pct"/>
                  <w:tcBorders>
                    <w:tl2br w:val="nil"/>
                    <w:tr2bl w:val="nil"/>
                  </w:tcBorders>
                  <w:noWrap w:val="0"/>
                  <w:vAlign w:val="center"/>
                </w:tcPr>
                <w:p w14:paraId="1BB83989">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w:t>
                  </w:r>
                  <w:r>
                    <w:rPr>
                      <w:color w:val="000000" w:themeColor="text1"/>
                      <w:kern w:val="0"/>
                      <w:szCs w:val="21"/>
                      <w14:textFill>
                        <w14:solidFill>
                          <w14:schemeClr w14:val="tx1"/>
                        </w14:solidFill>
                      </w14:textFill>
                    </w:rPr>
                    <w:t>类</w:t>
                  </w:r>
                </w:p>
              </w:tc>
              <w:tc>
                <w:tcPr>
                  <w:tcW w:w="818" w:type="pct"/>
                  <w:tcBorders>
                    <w:tl2br w:val="nil"/>
                    <w:tr2bl w:val="nil"/>
                  </w:tcBorders>
                  <w:noWrap w:val="0"/>
                  <w:vAlign w:val="center"/>
                </w:tcPr>
                <w:p w14:paraId="0D9820B4">
                  <w:pPr>
                    <w:adjustRightInd w:val="0"/>
                    <w:snapToGrid w:val="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65</w:t>
                  </w:r>
                </w:p>
              </w:tc>
              <w:tc>
                <w:tcPr>
                  <w:tcW w:w="808" w:type="pct"/>
                  <w:tcBorders>
                    <w:tl2br w:val="nil"/>
                    <w:tr2bl w:val="nil"/>
                  </w:tcBorders>
                  <w:noWrap w:val="0"/>
                  <w:vAlign w:val="center"/>
                </w:tcPr>
                <w:p w14:paraId="72829523">
                  <w:pPr>
                    <w:adjustRightInd w:val="0"/>
                    <w:snapToGrid w:val="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55</w:t>
                  </w:r>
                </w:p>
              </w:tc>
              <w:tc>
                <w:tcPr>
                  <w:tcW w:w="1627" w:type="pct"/>
                  <w:tcBorders>
                    <w:tl2br w:val="nil"/>
                    <w:tr2bl w:val="nil"/>
                  </w:tcBorders>
                  <w:noWrap w:val="0"/>
                  <w:vAlign w:val="center"/>
                </w:tcPr>
                <w:p w14:paraId="48939366">
                  <w:pPr>
                    <w:adjustRightInd w:val="0"/>
                    <w:snapToGrid w:val="0"/>
                    <w:jc w:val="center"/>
                    <w:rPr>
                      <w:color w:val="000000" w:themeColor="text1"/>
                      <w:kern w:val="0"/>
                      <w:szCs w:val="21"/>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厂</w:t>
                  </w:r>
                  <w:r>
                    <w:rPr>
                      <w:rFonts w:hint="eastAsia"/>
                      <w:bCs/>
                      <w:color w:val="000000" w:themeColor="text1"/>
                      <w:kern w:val="0"/>
                      <w:szCs w:val="21"/>
                      <w14:textFill>
                        <w14:solidFill>
                          <w14:schemeClr w14:val="tx1"/>
                        </w14:solidFill>
                      </w14:textFill>
                    </w:rPr>
                    <w:t>界四周</w:t>
                  </w:r>
                </w:p>
              </w:tc>
            </w:tr>
          </w:tbl>
          <w:p w14:paraId="40E4A405">
            <w:pPr>
              <w:pStyle w:val="4"/>
              <w:numPr>
                <w:ilvl w:val="0"/>
                <w:numId w:val="8"/>
              </w:numPr>
              <w:spacing w:line="360" w:lineRule="auto"/>
              <w:ind w:left="0" w:leftChars="0" w:firstLine="0" w:firstLineChars="0"/>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固废</w:t>
            </w:r>
            <w:bookmarkEnd w:id="18"/>
          </w:p>
          <w:p w14:paraId="6A8419F6">
            <w:pPr>
              <w:spacing w:line="360" w:lineRule="auto"/>
              <w:ind w:firstLine="480" w:firstLineChars="200"/>
              <w:rPr>
                <w:rFonts w:hint="default" w:ascii="Times New Roman" w:hAnsi="Times New Roman" w:cs="Times New Roman"/>
                <w:lang w:val="en-US" w:eastAsia="zh-CN"/>
              </w:rPr>
            </w:pPr>
            <w:r>
              <w:rPr>
                <w:rFonts w:hint="eastAsia"/>
                <w:color w:val="000000" w:themeColor="text1"/>
                <w:sz w:val="24"/>
                <w14:textFill>
                  <w14:solidFill>
                    <w14:schemeClr w14:val="tx1"/>
                  </w14:solidFill>
                </w14:textFill>
              </w:rPr>
              <w:t>一般固废执行</w:t>
            </w:r>
            <w:r>
              <w:rPr>
                <w:rFonts w:hint="eastAsia" w:cs="宋体"/>
                <w:color w:val="000000" w:themeColor="text1"/>
                <w:kern w:val="0"/>
                <w:sz w:val="24"/>
                <w:lang w:eastAsia="zh-CN"/>
                <w14:textFill>
                  <w14:solidFill>
                    <w14:schemeClr w14:val="tx1"/>
                  </w14:solidFill>
                </w14:textFill>
              </w:rPr>
              <w:t>《中华人民共和国固体废物污染环境防治法》（</w:t>
            </w:r>
            <w:r>
              <w:rPr>
                <w:rFonts w:hint="eastAsia" w:cs="宋体"/>
                <w:color w:val="000000" w:themeColor="text1"/>
                <w:kern w:val="0"/>
                <w:sz w:val="24"/>
                <w:lang w:val="en-US" w:eastAsia="zh-CN"/>
                <w14:textFill>
                  <w14:solidFill>
                    <w14:schemeClr w14:val="tx1"/>
                  </w14:solidFill>
                </w14:textFill>
              </w:rPr>
              <w:t>2020年修订</w:t>
            </w:r>
            <w:r>
              <w:rPr>
                <w:rFonts w:hint="eastAsia" w:cs="宋体"/>
                <w:color w:val="000000" w:themeColor="text1"/>
                <w:kern w:val="0"/>
                <w:sz w:val="24"/>
                <w:lang w:eastAsia="zh-CN"/>
                <w14:textFill>
                  <w14:solidFill>
                    <w14:schemeClr w14:val="tx1"/>
                  </w14:solidFill>
                </w14:textFill>
              </w:rPr>
              <w:t>）</w:t>
            </w:r>
            <w:r>
              <w:rPr>
                <w:rFonts w:hint="eastAsia" w:cs="宋体"/>
                <w:color w:val="000000" w:themeColor="text1"/>
                <w:kern w:val="0"/>
                <w:sz w:val="24"/>
                <w:lang w:val="en-US" w:eastAsia="zh-CN"/>
                <w14:textFill>
                  <w14:solidFill>
                    <w14:schemeClr w14:val="tx1"/>
                  </w14:solidFill>
                </w14:textFill>
              </w:rPr>
              <w:t>相关要求</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危险废物执行《危险废物贮存污染控制标准》（GB18597-2023）中相关规定。</w:t>
            </w:r>
          </w:p>
        </w:tc>
      </w:tr>
      <w:tr w14:paraId="502B98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464" w:type="dxa"/>
            <w:noWrap w:val="0"/>
            <w:vAlign w:val="center"/>
          </w:tcPr>
          <w:p w14:paraId="39228B82">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总量</w:t>
            </w:r>
          </w:p>
          <w:p w14:paraId="5B0F7CB1">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控制</w:t>
            </w:r>
          </w:p>
          <w:p w14:paraId="074DD0B6">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指标</w:t>
            </w:r>
          </w:p>
        </w:tc>
        <w:tc>
          <w:tcPr>
            <w:tcW w:w="8526" w:type="dxa"/>
            <w:noWrap w:val="0"/>
            <w:vAlign w:val="center"/>
          </w:tcPr>
          <w:p w14:paraId="76361F6A">
            <w:pPr>
              <w:pStyle w:val="8"/>
              <w:rPr>
                <w:rFonts w:hint="default" w:ascii="Times New Roman" w:hAnsi="Times New Roman" w:cs="Times New Roman"/>
                <w:color w:val="auto"/>
                <w:kern w:val="0"/>
                <w:sz w:val="24"/>
                <w:szCs w:val="24"/>
                <w:lang w:val="en-US" w:eastAsia="zh-CN"/>
              </w:rPr>
            </w:pPr>
            <w:r>
              <w:rPr>
                <w:rFonts w:hint="eastAsia"/>
                <w:color w:val="auto"/>
                <w:sz w:val="24"/>
              </w:rPr>
              <w:t>本项目</w:t>
            </w:r>
            <w:r>
              <w:rPr>
                <w:color w:val="auto"/>
                <w:sz w:val="24"/>
              </w:rPr>
              <w:t>污染物控制指标为VOCs</w:t>
            </w:r>
            <w:r>
              <w:rPr>
                <w:rFonts w:hint="eastAsia"/>
                <w:color w:val="auto"/>
                <w:sz w:val="24"/>
              </w:rPr>
              <w:t>（非甲烷总烃）：</w:t>
            </w:r>
            <w:r>
              <w:rPr>
                <w:rFonts w:hint="eastAsia"/>
                <w:color w:val="auto"/>
                <w:sz w:val="24"/>
                <w:lang w:val="en-US" w:eastAsia="zh-CN"/>
              </w:rPr>
              <w:t>0.4001</w:t>
            </w:r>
            <w:r>
              <w:rPr>
                <w:color w:val="auto"/>
                <w:sz w:val="24"/>
              </w:rPr>
              <w:t>t/a</w:t>
            </w:r>
            <w:r>
              <w:rPr>
                <w:rFonts w:hint="eastAsia"/>
                <w:color w:val="auto"/>
                <w:sz w:val="24"/>
              </w:rPr>
              <w:t>，</w:t>
            </w:r>
            <w:r>
              <w:rPr>
                <w:color w:val="auto"/>
                <w:sz w:val="24"/>
              </w:rPr>
              <w:t>NH</w:t>
            </w:r>
            <w:r>
              <w:rPr>
                <w:color w:val="auto"/>
                <w:sz w:val="24"/>
                <w:vertAlign w:val="subscript"/>
              </w:rPr>
              <w:t>3</w:t>
            </w:r>
            <w:r>
              <w:rPr>
                <w:color w:val="auto"/>
                <w:sz w:val="24"/>
              </w:rPr>
              <w:t>-N</w:t>
            </w:r>
            <w:r>
              <w:rPr>
                <w:rFonts w:hint="eastAsia"/>
                <w:color w:val="auto"/>
                <w:sz w:val="24"/>
              </w:rPr>
              <w:t>：0.00</w:t>
            </w:r>
            <w:r>
              <w:rPr>
                <w:rFonts w:hint="eastAsia"/>
                <w:color w:val="auto"/>
                <w:sz w:val="24"/>
                <w:lang w:val="en-US" w:eastAsia="zh-CN"/>
              </w:rPr>
              <w:t>4</w:t>
            </w:r>
            <w:r>
              <w:rPr>
                <w:color w:val="auto"/>
                <w:sz w:val="24"/>
              </w:rPr>
              <w:t>t/a</w:t>
            </w:r>
            <w:r>
              <w:rPr>
                <w:rFonts w:hint="eastAsia"/>
                <w:color w:val="auto"/>
                <w:sz w:val="24"/>
              </w:rPr>
              <w:t>，</w:t>
            </w:r>
            <w:r>
              <w:rPr>
                <w:color w:val="auto"/>
                <w:sz w:val="24"/>
              </w:rPr>
              <w:t>COD</w:t>
            </w:r>
            <w:r>
              <w:rPr>
                <w:rFonts w:hint="eastAsia"/>
                <w:color w:val="auto"/>
                <w:sz w:val="24"/>
              </w:rPr>
              <w:t>：</w:t>
            </w:r>
            <w:r>
              <w:rPr>
                <w:rFonts w:hint="eastAsia"/>
                <w:color w:val="auto"/>
                <w:sz w:val="24"/>
                <w:lang w:val="en-US" w:eastAsia="zh-CN"/>
              </w:rPr>
              <w:t>0.071</w:t>
            </w:r>
            <w:r>
              <w:rPr>
                <w:color w:val="auto"/>
                <w:sz w:val="24"/>
              </w:rPr>
              <w:t>t/a</w:t>
            </w:r>
            <w:r>
              <w:rPr>
                <w:rFonts w:hint="eastAsia"/>
                <w:color w:val="auto"/>
                <w:sz w:val="24"/>
              </w:rPr>
              <w:t>。</w:t>
            </w:r>
            <w:r>
              <w:rPr>
                <w:color w:val="auto"/>
                <w:sz w:val="24"/>
                <w:szCs w:val="32"/>
              </w:rPr>
              <w:t>项目具体总量指标</w:t>
            </w:r>
            <w:r>
              <w:rPr>
                <w:rFonts w:hint="eastAsia"/>
                <w:color w:val="auto"/>
                <w:lang w:val="en-US" w:eastAsia="zh-CN"/>
              </w:rPr>
              <w:t>以排污权交易获得量为准</w:t>
            </w:r>
            <w:r>
              <w:rPr>
                <w:color w:val="auto"/>
                <w:sz w:val="24"/>
                <w:szCs w:val="32"/>
              </w:rPr>
              <w:t>。</w:t>
            </w:r>
          </w:p>
        </w:tc>
      </w:tr>
    </w:tbl>
    <w:p w14:paraId="79F5A92A">
      <w:pPr>
        <w:pStyle w:val="23"/>
        <w:jc w:val="center"/>
        <w:outlineLvl w:val="0"/>
        <w:rPr>
          <w:rFonts w:hint="default" w:ascii="Times New Roman" w:hAnsi="Times New Roman" w:eastAsia="黑体" w:cs="Times New Roman"/>
          <w:snapToGrid w:val="0"/>
          <w:sz w:val="30"/>
          <w:szCs w:val="30"/>
        </w:rPr>
      </w:pPr>
      <w:r>
        <w:rPr>
          <w:rFonts w:hint="default" w:ascii="Times New Roman" w:hAnsi="Times New Roman" w:eastAsia="黑体" w:cs="Times New Roman"/>
          <w:snapToGrid w:val="0"/>
          <w:sz w:val="36"/>
          <w:szCs w:val="36"/>
        </w:rPr>
        <w:br w:type="page"/>
      </w:r>
      <w:bookmarkStart w:id="19" w:name="_Toc6502"/>
      <w:r>
        <w:rPr>
          <w:rFonts w:hint="default" w:ascii="Times New Roman" w:hAnsi="Times New Roman" w:eastAsia="黑体" w:cs="Times New Roman"/>
          <w:snapToGrid w:val="0"/>
          <w:sz w:val="30"/>
          <w:szCs w:val="30"/>
        </w:rPr>
        <w:t>四、主要环境影响和保护措施</w:t>
      </w:r>
      <w:bookmarkEnd w:id="19"/>
    </w:p>
    <w:tbl>
      <w:tblPr>
        <w:tblStyle w:val="26"/>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8"/>
        <w:gridCol w:w="8440"/>
      </w:tblGrid>
      <w:tr w14:paraId="0C5707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51" w:hRule="atLeast"/>
          <w:jc w:val="center"/>
        </w:trPr>
        <w:tc>
          <w:tcPr>
            <w:tcW w:w="468" w:type="dxa"/>
            <w:noWrap w:val="0"/>
            <w:tcMar>
              <w:left w:w="28" w:type="dxa"/>
              <w:right w:w="28" w:type="dxa"/>
            </w:tcMar>
            <w:vAlign w:val="center"/>
          </w:tcPr>
          <w:p w14:paraId="46C3582F">
            <w:pPr>
              <w:pStyle w:val="23"/>
              <w:adjustRightInd w:val="0"/>
              <w:snapToGrid w:val="0"/>
              <w:spacing w:before="0" w:beforeAutospacing="0" w:after="0" w:afterAutospacing="0"/>
              <w:jc w:val="center"/>
              <w:rPr>
                <w:rFonts w:hint="default" w:ascii="Times New Roman" w:hAnsi="Times New Roman" w:cs="Times New Roman"/>
                <w:kern w:val="2"/>
                <w:sz w:val="24"/>
                <w:szCs w:val="24"/>
              </w:rPr>
            </w:pPr>
            <w:r>
              <w:rPr>
                <w:rFonts w:hint="default" w:ascii="Times New Roman" w:hAnsi="Times New Roman" w:cs="Times New Roman"/>
                <w:kern w:val="2"/>
                <w:sz w:val="24"/>
                <w:szCs w:val="24"/>
              </w:rPr>
              <w:t>施工</w:t>
            </w:r>
          </w:p>
          <w:p w14:paraId="1D0470AE">
            <w:pPr>
              <w:pStyle w:val="23"/>
              <w:adjustRightInd w:val="0"/>
              <w:snapToGrid w:val="0"/>
              <w:spacing w:before="0" w:beforeAutospacing="0" w:after="0" w:afterAutospacing="0"/>
              <w:jc w:val="center"/>
              <w:rPr>
                <w:rFonts w:hint="default" w:ascii="Times New Roman" w:hAnsi="Times New Roman" w:cs="Times New Roman"/>
                <w:kern w:val="2"/>
                <w:sz w:val="24"/>
                <w:szCs w:val="24"/>
              </w:rPr>
            </w:pPr>
            <w:r>
              <w:rPr>
                <w:rFonts w:hint="default" w:ascii="Times New Roman" w:hAnsi="Times New Roman" w:cs="Times New Roman"/>
                <w:kern w:val="2"/>
                <w:sz w:val="24"/>
                <w:szCs w:val="24"/>
              </w:rPr>
              <w:t>期环</w:t>
            </w:r>
          </w:p>
          <w:p w14:paraId="6ED6A3EA">
            <w:pPr>
              <w:pStyle w:val="23"/>
              <w:adjustRightInd w:val="0"/>
              <w:snapToGrid w:val="0"/>
              <w:spacing w:before="0" w:beforeAutospacing="0" w:after="0" w:afterAutospacing="0"/>
              <w:jc w:val="center"/>
              <w:rPr>
                <w:rFonts w:hint="default" w:ascii="Times New Roman" w:hAnsi="Times New Roman" w:cs="Times New Roman"/>
                <w:kern w:val="2"/>
                <w:sz w:val="24"/>
                <w:szCs w:val="24"/>
              </w:rPr>
            </w:pPr>
            <w:r>
              <w:rPr>
                <w:rFonts w:hint="default" w:ascii="Times New Roman" w:hAnsi="Times New Roman" w:cs="Times New Roman"/>
                <w:kern w:val="2"/>
                <w:sz w:val="24"/>
                <w:szCs w:val="24"/>
              </w:rPr>
              <w:t>境保</w:t>
            </w:r>
          </w:p>
          <w:p w14:paraId="1B04C4D8">
            <w:pPr>
              <w:pStyle w:val="23"/>
              <w:adjustRightInd w:val="0"/>
              <w:snapToGrid w:val="0"/>
              <w:spacing w:before="0" w:beforeAutospacing="0" w:after="0" w:afterAutospacing="0"/>
              <w:jc w:val="center"/>
              <w:rPr>
                <w:rFonts w:hint="default" w:ascii="Times New Roman" w:hAnsi="Times New Roman" w:cs="Times New Roman"/>
                <w:kern w:val="2"/>
                <w:sz w:val="24"/>
                <w:szCs w:val="24"/>
              </w:rPr>
            </w:pPr>
            <w:r>
              <w:rPr>
                <w:rFonts w:hint="default" w:ascii="Times New Roman" w:hAnsi="Times New Roman" w:cs="Times New Roman"/>
                <w:kern w:val="2"/>
                <w:sz w:val="24"/>
                <w:szCs w:val="24"/>
              </w:rPr>
              <w:t>护措</w:t>
            </w:r>
          </w:p>
          <w:p w14:paraId="16B3872D">
            <w:pPr>
              <w:pStyle w:val="23"/>
              <w:adjustRightInd w:val="0"/>
              <w:snapToGrid w:val="0"/>
              <w:spacing w:before="0" w:beforeAutospacing="0" w:after="0" w:afterAutospacing="0"/>
              <w:jc w:val="center"/>
              <w:rPr>
                <w:rFonts w:hint="default" w:ascii="Times New Roman" w:hAnsi="Times New Roman" w:cs="Times New Roman"/>
                <w:bCs/>
                <w:kern w:val="2"/>
                <w:sz w:val="24"/>
                <w:szCs w:val="24"/>
              </w:rPr>
            </w:pPr>
            <w:r>
              <w:rPr>
                <w:rFonts w:hint="default" w:ascii="Times New Roman" w:hAnsi="Times New Roman" w:cs="Times New Roman"/>
                <w:kern w:val="2"/>
                <w:sz w:val="24"/>
                <w:szCs w:val="24"/>
              </w:rPr>
              <w:t>施</w:t>
            </w:r>
          </w:p>
        </w:tc>
        <w:tc>
          <w:tcPr>
            <w:tcW w:w="8440" w:type="dxa"/>
            <w:noWrap w:val="0"/>
            <w:vAlign w:val="top"/>
          </w:tcPr>
          <w:p w14:paraId="26D74320">
            <w:pPr>
              <w:numPr>
                <w:ilvl w:val="0"/>
                <w:numId w:val="0"/>
              </w:numPr>
              <w:adjustRightInd w:val="0"/>
              <w:snapToGrid w:val="0"/>
              <w:spacing w:line="360" w:lineRule="auto"/>
              <w:ind w:firstLine="480" w:firstLineChars="200"/>
              <w:jc w:val="both"/>
              <w:rPr>
                <w:rFonts w:hint="default" w:ascii="Times New Roman" w:hAnsi="Times New Roman" w:eastAsia="宋体" w:cs="Times New Roman"/>
                <w:bCs/>
                <w:sz w:val="24"/>
                <w:szCs w:val="24"/>
                <w:lang w:val="en-US" w:eastAsia="zh-CN"/>
              </w:rPr>
            </w:pPr>
            <w:r>
              <w:rPr>
                <w:rFonts w:hint="default" w:ascii="Times New Roman" w:hAnsi="Times New Roman" w:eastAsia="宋体" w:cs="Times New Roman"/>
                <w:bCs/>
                <w:sz w:val="24"/>
                <w:szCs w:val="24"/>
                <w:lang w:val="en-US" w:eastAsia="zh-CN"/>
              </w:rPr>
              <w:t>本项目位于</w:t>
            </w:r>
            <w:r>
              <w:rPr>
                <w:rFonts w:hint="eastAsia" w:ascii="Times New Roman" w:hAnsi="Times New Roman" w:eastAsia="宋体" w:cs="Times New Roman"/>
                <w:bCs/>
                <w:sz w:val="24"/>
                <w:szCs w:val="24"/>
                <w:lang w:val="en-US" w:eastAsia="zh-CN"/>
              </w:rPr>
              <w:t>陕西省西咸新区泾河新城永乐镇泾河智造创新产业园18#3层</w:t>
            </w:r>
            <w:r>
              <w:rPr>
                <w:rFonts w:hint="default" w:ascii="Times New Roman" w:hAnsi="Times New Roman" w:eastAsia="宋体" w:cs="Times New Roman"/>
                <w:bCs/>
                <w:sz w:val="24"/>
                <w:szCs w:val="24"/>
                <w:lang w:val="en-US" w:eastAsia="zh-CN"/>
              </w:rPr>
              <w:t>，租用已建成厂房，厂房已进行地面硬化，施工期只进行生产设备和环保设施的安装及调试。</w:t>
            </w:r>
          </w:p>
          <w:p w14:paraId="69D67D54">
            <w:pPr>
              <w:numPr>
                <w:ilvl w:val="0"/>
                <w:numId w:val="0"/>
              </w:numPr>
              <w:adjustRightInd w:val="0"/>
              <w:snapToGrid w:val="0"/>
              <w:spacing w:line="360" w:lineRule="auto"/>
              <w:ind w:firstLine="480" w:firstLineChars="200"/>
              <w:jc w:val="both"/>
              <w:rPr>
                <w:rFonts w:hint="default" w:ascii="Times New Roman" w:hAnsi="Times New Roman" w:cs="Times New Roman"/>
                <w:b w:val="0"/>
                <w:bCs/>
                <w:spacing w:val="0"/>
                <w:sz w:val="24"/>
                <w:szCs w:val="24"/>
                <w:lang w:val="en-US" w:eastAsia="zh-CN"/>
              </w:rPr>
            </w:pPr>
            <w:r>
              <w:rPr>
                <w:rFonts w:hint="default" w:ascii="Times New Roman" w:hAnsi="Times New Roman" w:eastAsia="宋体" w:cs="Times New Roman"/>
                <w:bCs/>
                <w:sz w:val="24"/>
                <w:szCs w:val="24"/>
                <w:lang w:val="en-US" w:eastAsia="zh-CN"/>
              </w:rPr>
              <w:t>项目施工期较短，工程量不大，且不涉及土建工程，施工结束后污染也随之消失，对环境影响较小。</w:t>
            </w:r>
          </w:p>
          <w:p w14:paraId="0A58EC0F">
            <w:pPr>
              <w:numPr>
                <w:ilvl w:val="0"/>
                <w:numId w:val="9"/>
              </w:numPr>
              <w:adjustRightInd w:val="0"/>
              <w:snapToGrid w:val="0"/>
              <w:spacing w:line="360" w:lineRule="auto"/>
              <w:rPr>
                <w:rFonts w:hint="default" w:ascii="Times New Roman" w:hAnsi="Times New Roman" w:cs="Times New Roman"/>
                <w:b/>
                <w:bCs w:val="0"/>
                <w:spacing w:val="0"/>
                <w:sz w:val="24"/>
                <w:szCs w:val="24"/>
                <w:lang w:val="en-US" w:eastAsia="zh-CN"/>
              </w:rPr>
            </w:pPr>
            <w:r>
              <w:rPr>
                <w:rFonts w:hint="default" w:ascii="Times New Roman" w:hAnsi="Times New Roman" w:cs="Times New Roman"/>
                <w:b/>
                <w:bCs w:val="0"/>
                <w:spacing w:val="0"/>
                <w:sz w:val="24"/>
                <w:szCs w:val="24"/>
                <w:lang w:val="en-US" w:eastAsia="zh-CN"/>
              </w:rPr>
              <w:t>施工期废气污染防治措施</w:t>
            </w:r>
          </w:p>
          <w:p w14:paraId="5289B06A">
            <w:pPr>
              <w:adjustRightInd w:val="0"/>
              <w:snapToGrid w:val="0"/>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施工过程中产生的废气主要为</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设备安装过程中</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钻孔、焊接等工序产生的粉尘。</w:t>
            </w:r>
          </w:p>
          <w:p w14:paraId="1F757CC7">
            <w:pPr>
              <w:adjustRightInd w:val="0"/>
              <w:snapToGrid w:val="0"/>
              <w:spacing w:line="360" w:lineRule="auto"/>
              <w:ind w:firstLine="480" w:firstLineChars="200"/>
              <w:rPr>
                <w:rFonts w:hint="default" w:ascii="Times New Roman" w:hAnsi="Times New Roman" w:cs="Times New Roman"/>
                <w:b/>
                <w:bCs w:val="0"/>
                <w:color w:val="000000" w:themeColor="text1"/>
                <w:spacing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本项目施工场地位于现有已建成的厂房内，项目施工期短，产生的扬尘经过施工现场的自然沉降和厂房的阻隔，不会对项目周边产生较大的影响。</w:t>
            </w:r>
          </w:p>
          <w:p w14:paraId="26C42AFA">
            <w:pPr>
              <w:numPr>
                <w:ilvl w:val="0"/>
                <w:numId w:val="9"/>
              </w:numPr>
              <w:adjustRightInd w:val="0"/>
              <w:snapToGrid w:val="0"/>
              <w:spacing w:line="360" w:lineRule="auto"/>
              <w:rPr>
                <w:rFonts w:hint="default" w:ascii="Times New Roman" w:hAnsi="Times New Roman" w:cs="Times New Roman"/>
                <w:b/>
                <w:bCs w:val="0"/>
                <w:color w:val="000000" w:themeColor="text1"/>
                <w:spacing w:val="0"/>
                <w:sz w:val="24"/>
                <w:szCs w:val="24"/>
                <w:lang w:val="en-US" w:eastAsia="zh-CN"/>
                <w14:textFill>
                  <w14:solidFill>
                    <w14:schemeClr w14:val="tx1"/>
                  </w14:solidFill>
                </w14:textFill>
              </w:rPr>
            </w:pPr>
            <w:r>
              <w:rPr>
                <w:rFonts w:hint="default" w:ascii="Times New Roman" w:hAnsi="Times New Roman" w:cs="Times New Roman"/>
                <w:b/>
                <w:bCs w:val="0"/>
                <w:color w:val="000000" w:themeColor="text1"/>
                <w:spacing w:val="0"/>
                <w:sz w:val="24"/>
                <w:szCs w:val="24"/>
                <w:lang w:val="en-US" w:eastAsia="zh-CN"/>
                <w14:textFill>
                  <w14:solidFill>
                    <w14:schemeClr w14:val="tx1"/>
                  </w14:solidFill>
                </w14:textFill>
              </w:rPr>
              <w:t>施工期废水污染防治措施</w:t>
            </w:r>
          </w:p>
          <w:p w14:paraId="4853477E">
            <w:pPr>
              <w:numPr>
                <w:ilvl w:val="0"/>
                <w:numId w:val="0"/>
              </w:numPr>
              <w:adjustRightInd w:val="0"/>
              <w:snapToGrid w:val="0"/>
              <w:spacing w:line="360" w:lineRule="auto"/>
              <w:ind w:firstLine="480" w:firstLineChars="200"/>
              <w:rPr>
                <w:rFonts w:hint="default" w:ascii="Times New Roman" w:hAnsi="Times New Roman" w:cs="Times New Roman"/>
                <w:b/>
                <w:bCs w:val="0"/>
                <w:color w:val="000000" w:themeColor="text1"/>
                <w:spacing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项目施工期废水主要为施工人员的生活废水，生活废水依托园区现有化粪池处理后经市政污水管网排入泾河新城第二污水处理厂进一步处理。</w:t>
            </w:r>
          </w:p>
          <w:p w14:paraId="0EB6862A">
            <w:pPr>
              <w:numPr>
                <w:ilvl w:val="0"/>
                <w:numId w:val="9"/>
              </w:numPr>
              <w:adjustRightInd w:val="0"/>
              <w:snapToGrid w:val="0"/>
              <w:spacing w:line="360" w:lineRule="auto"/>
              <w:rPr>
                <w:rFonts w:hint="default" w:ascii="Times New Roman" w:hAnsi="Times New Roman" w:cs="Times New Roman"/>
                <w:b/>
                <w:bCs w:val="0"/>
                <w:color w:val="000000" w:themeColor="text1"/>
                <w:spacing w:val="0"/>
                <w:sz w:val="24"/>
                <w:szCs w:val="24"/>
                <w:lang w:val="en-US" w:eastAsia="zh-CN"/>
                <w14:textFill>
                  <w14:solidFill>
                    <w14:schemeClr w14:val="tx1"/>
                  </w14:solidFill>
                </w14:textFill>
              </w:rPr>
            </w:pPr>
            <w:r>
              <w:rPr>
                <w:rFonts w:hint="default" w:ascii="Times New Roman" w:hAnsi="Times New Roman" w:cs="Times New Roman"/>
                <w:b/>
                <w:bCs w:val="0"/>
                <w:color w:val="000000" w:themeColor="text1"/>
                <w:spacing w:val="0"/>
                <w:sz w:val="24"/>
                <w:szCs w:val="24"/>
                <w:lang w:val="en-US" w:eastAsia="zh-CN"/>
                <w14:textFill>
                  <w14:solidFill>
                    <w14:schemeClr w14:val="tx1"/>
                  </w14:solidFill>
                </w14:textFill>
              </w:rPr>
              <w:t>施工期噪声污染防治措施</w:t>
            </w:r>
          </w:p>
          <w:p w14:paraId="4FAF2FF3">
            <w:pPr>
              <w:adjustRightInd w:val="0"/>
              <w:snapToGrid w:val="0"/>
              <w:spacing w:line="360" w:lineRule="auto"/>
              <w:ind w:firstLine="480" w:firstLineChars="200"/>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项目施工期噪声主要为</w:t>
            </w: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设备安装时产生的噪声</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等。为减少施工噪声对环境的影响，要求施工期间合理安排施工时间，均安排在白天进行施工，夜间不进行施工；严格安排施工方式，控制噪声环境污染；严格操作规程，加强施工机械管理，降低人为噪声影响；尽量选用噪声较低的施工设备，并加强维护保养，采取有效的隔声、减振、消声等措施，降低噪声排放。</w:t>
            </w:r>
          </w:p>
          <w:p w14:paraId="3730A3EA">
            <w:pPr>
              <w:numPr>
                <w:ilvl w:val="0"/>
                <w:numId w:val="9"/>
              </w:numPr>
              <w:adjustRightInd w:val="0"/>
              <w:snapToGrid w:val="0"/>
              <w:spacing w:line="360" w:lineRule="auto"/>
              <w:rPr>
                <w:rFonts w:hint="default" w:ascii="Times New Roman" w:hAnsi="Times New Roman" w:cs="Times New Roman"/>
                <w:bCs/>
                <w:color w:val="000000" w:themeColor="text1"/>
                <w:spacing w:val="0"/>
                <w:sz w:val="24"/>
                <w:szCs w:val="24"/>
                <w:lang w:val="en-US" w:eastAsia="zh-CN"/>
                <w14:textFill>
                  <w14:solidFill>
                    <w14:schemeClr w14:val="tx1"/>
                  </w14:solidFill>
                </w14:textFill>
              </w:rPr>
            </w:pPr>
            <w:r>
              <w:rPr>
                <w:rFonts w:hint="default" w:ascii="Times New Roman" w:hAnsi="Times New Roman" w:cs="Times New Roman"/>
                <w:b/>
                <w:bCs w:val="0"/>
                <w:color w:val="000000" w:themeColor="text1"/>
                <w:spacing w:val="0"/>
                <w:sz w:val="24"/>
                <w:szCs w:val="24"/>
                <w:lang w:val="en-US" w:eastAsia="zh-CN"/>
                <w14:textFill>
                  <w14:solidFill>
                    <w14:schemeClr w14:val="tx1"/>
                  </w14:solidFill>
                </w14:textFill>
              </w:rPr>
              <w:t>施工期固体废物污染防治措施</w:t>
            </w:r>
          </w:p>
          <w:p w14:paraId="7912548A">
            <w:pPr>
              <w:numPr>
                <w:ilvl w:val="0"/>
                <w:numId w:val="0"/>
              </w:numPr>
              <w:adjustRightInd w:val="0"/>
              <w:snapToGrid w:val="0"/>
              <w:spacing w:line="360" w:lineRule="auto"/>
              <w:ind w:firstLine="480" w:firstLineChars="200"/>
              <w:rPr>
                <w:rFonts w:hint="default" w:ascii="Times New Roman" w:hAnsi="Times New Roman" w:cs="Times New Roman"/>
                <w:bCs/>
                <w:spacing w:val="-10"/>
                <w:sz w:val="24"/>
                <w:szCs w:val="24"/>
                <w:lang w:val="en-US" w:eastAsia="zh-CN"/>
              </w:rPr>
            </w:pPr>
            <w:r>
              <w:rPr>
                <w:rFonts w:hint="default" w:ascii="Times New Roman" w:hAnsi="Times New Roman" w:eastAsia="宋体" w:cs="Times New Roman"/>
                <w:color w:val="000000"/>
                <w:kern w:val="0"/>
                <w:sz w:val="24"/>
                <w:szCs w:val="24"/>
                <w:lang w:val="en-US" w:eastAsia="zh-CN" w:bidi="ar-SA"/>
              </w:rPr>
              <w:t>项目施工期固体废物主要为施工人员生活垃圾、设备废包装材料等，设备废包装材料，</w:t>
            </w:r>
            <w:r>
              <w:rPr>
                <w:rFonts w:hint="default" w:ascii="Times New Roman" w:hAnsi="Times New Roman" w:eastAsia="宋体" w:cs="Times New Roman"/>
                <w:color w:val="auto"/>
                <w:sz w:val="24"/>
                <w:szCs w:val="24"/>
              </w:rPr>
              <w:t>收集后运往城建部门指定地点；施工人员生活垃圾分类收集后，交由环卫部门统一清运处理。</w:t>
            </w:r>
          </w:p>
        </w:tc>
      </w:tr>
    </w:tbl>
    <w:p w14:paraId="4EFA099E">
      <w:pPr>
        <w:adjustRightInd w:val="0"/>
        <w:snapToGrid w:val="0"/>
        <w:jc w:val="center"/>
        <w:rPr>
          <w:rFonts w:hint="default" w:ascii="Times New Roman" w:hAnsi="Times New Roman" w:cs="Times New Roman"/>
          <w:bCs/>
          <w:sz w:val="24"/>
          <w:szCs w:val="24"/>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12480"/>
      </w:tblGrid>
      <w:tr w14:paraId="79544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31" w:hRule="atLeast"/>
        </w:trPr>
        <w:tc>
          <w:tcPr>
            <w:tcW w:w="281" w:type="pct"/>
            <w:noWrap w:val="0"/>
            <w:vAlign w:val="top"/>
          </w:tcPr>
          <w:p w14:paraId="12EFEB29">
            <w:pPr>
              <w:adjustRightInd w:val="0"/>
              <w:snapToGrid w:val="0"/>
              <w:jc w:val="center"/>
              <w:rPr>
                <w:bCs/>
                <w:color w:val="auto"/>
                <w:kern w:val="21"/>
                <w:szCs w:val="21"/>
              </w:rPr>
            </w:pPr>
            <w:r>
              <w:rPr>
                <w:bCs/>
                <w:color w:val="auto"/>
                <w:kern w:val="21"/>
                <w:szCs w:val="21"/>
              </w:rPr>
              <w:t>运营期环</w:t>
            </w:r>
          </w:p>
          <w:p w14:paraId="646DD470">
            <w:pPr>
              <w:adjustRightInd w:val="0"/>
              <w:snapToGrid w:val="0"/>
              <w:jc w:val="center"/>
              <w:rPr>
                <w:bCs/>
                <w:color w:val="auto"/>
                <w:kern w:val="21"/>
                <w:szCs w:val="21"/>
              </w:rPr>
            </w:pPr>
            <w:r>
              <w:rPr>
                <w:bCs/>
                <w:color w:val="auto"/>
                <w:kern w:val="21"/>
                <w:szCs w:val="21"/>
              </w:rPr>
              <w:t>境影响和</w:t>
            </w:r>
          </w:p>
          <w:p w14:paraId="6CA47AEB">
            <w:pPr>
              <w:adjustRightInd w:val="0"/>
              <w:snapToGrid w:val="0"/>
              <w:jc w:val="center"/>
              <w:rPr>
                <w:color w:val="auto"/>
              </w:rPr>
            </w:pPr>
            <w:r>
              <w:rPr>
                <w:bCs/>
                <w:color w:val="auto"/>
                <w:kern w:val="21"/>
                <w:szCs w:val="21"/>
              </w:rPr>
              <w:t>保护措施</w:t>
            </w:r>
          </w:p>
        </w:tc>
        <w:tc>
          <w:tcPr>
            <w:tcW w:w="4718" w:type="pct"/>
            <w:noWrap w:val="0"/>
            <w:vAlign w:val="top"/>
          </w:tcPr>
          <w:p w14:paraId="026222C3">
            <w:pPr>
              <w:adjustRightInd w:val="0"/>
              <w:snapToGrid w:val="0"/>
              <w:spacing w:line="360" w:lineRule="auto"/>
              <w:ind w:firstLine="482" w:firstLineChars="200"/>
              <w:rPr>
                <w:b/>
                <w:color w:val="auto"/>
                <w:sz w:val="24"/>
              </w:rPr>
            </w:pPr>
            <w:r>
              <w:rPr>
                <w:rFonts w:hint="eastAsia"/>
                <w:b/>
                <w:color w:val="auto"/>
                <w:sz w:val="24"/>
              </w:rPr>
              <w:t>1、废气</w:t>
            </w:r>
          </w:p>
          <w:p w14:paraId="253ABC9E">
            <w:pPr>
              <w:adjustRightInd w:val="0"/>
              <w:snapToGrid w:val="0"/>
              <w:spacing w:line="360" w:lineRule="auto"/>
              <w:ind w:firstLine="480" w:firstLineChars="200"/>
              <w:rPr>
                <w:b/>
                <w:color w:val="auto"/>
                <w:sz w:val="24"/>
              </w:rPr>
            </w:pPr>
            <w:r>
              <w:rPr>
                <w:bCs/>
                <w:color w:val="auto"/>
                <w:sz w:val="24"/>
              </w:rPr>
              <w:t>本项目产生废气的主要污染物为</w:t>
            </w:r>
            <w:r>
              <w:rPr>
                <w:rFonts w:hint="default" w:ascii="Times New Roman" w:hAnsi="Times New Roman" w:cs="Times New Roman"/>
                <w:b w:val="0"/>
                <w:bCs/>
                <w:color w:val="auto"/>
                <w:spacing w:val="0"/>
                <w:sz w:val="24"/>
                <w:szCs w:val="24"/>
                <w:lang w:val="en-US" w:eastAsia="zh-CN"/>
              </w:rPr>
              <w:t>催化浆料配制工序</w:t>
            </w:r>
            <w:r>
              <w:rPr>
                <w:rFonts w:hint="eastAsia" w:ascii="Times New Roman" w:hAnsi="Times New Roman" w:cs="Times New Roman"/>
                <w:b w:val="0"/>
                <w:bCs/>
                <w:color w:val="auto"/>
                <w:spacing w:val="0"/>
                <w:sz w:val="24"/>
                <w:szCs w:val="24"/>
                <w:lang w:val="en-US" w:eastAsia="zh-CN"/>
              </w:rPr>
              <w:t>、催化剂涂覆膜制备工序、变色材料制备工序、敏感层制备工序</w:t>
            </w:r>
            <w:r>
              <w:rPr>
                <w:rFonts w:hint="default" w:ascii="Times New Roman" w:hAnsi="Times New Roman" w:cs="Times New Roman"/>
                <w:b w:val="0"/>
                <w:bCs/>
                <w:color w:val="auto"/>
                <w:spacing w:val="0"/>
                <w:sz w:val="24"/>
                <w:szCs w:val="24"/>
                <w:lang w:val="en-US" w:eastAsia="zh-CN"/>
              </w:rPr>
              <w:t>产生的有机废气（以非甲烷总烃计）</w:t>
            </w:r>
            <w:r>
              <w:rPr>
                <w:bCs/>
                <w:color w:val="auto"/>
                <w:sz w:val="24"/>
              </w:rPr>
              <w:t>。产排污环节</w:t>
            </w:r>
            <w:r>
              <w:rPr>
                <w:rFonts w:hint="eastAsia"/>
                <w:bCs/>
                <w:color w:val="auto"/>
                <w:sz w:val="24"/>
              </w:rPr>
              <w:t>等情况</w:t>
            </w:r>
            <w:r>
              <w:rPr>
                <w:bCs/>
                <w:color w:val="auto"/>
                <w:sz w:val="24"/>
              </w:rPr>
              <w:t>见</w:t>
            </w:r>
            <w:r>
              <w:rPr>
                <w:rFonts w:hint="eastAsia"/>
                <w:bCs/>
                <w:color w:val="auto"/>
                <w:sz w:val="24"/>
              </w:rPr>
              <w:t>下表</w:t>
            </w:r>
            <w:r>
              <w:rPr>
                <w:bCs/>
                <w:color w:val="auto"/>
                <w:sz w:val="24"/>
              </w:rPr>
              <w:t>。</w:t>
            </w:r>
          </w:p>
          <w:p w14:paraId="061CC9BA">
            <w:pPr>
              <w:adjustRightInd w:val="0"/>
              <w:snapToGrid w:val="0"/>
              <w:jc w:val="center"/>
              <w:rPr>
                <w:b/>
                <w:bCs/>
                <w:color w:val="auto"/>
                <w:sz w:val="24"/>
              </w:rPr>
            </w:pPr>
            <w:r>
              <w:rPr>
                <w:b/>
                <w:color w:val="auto"/>
                <w:sz w:val="24"/>
              </w:rPr>
              <w:t>表4-1</w:t>
            </w:r>
            <w:r>
              <w:rPr>
                <w:b/>
                <w:bCs/>
                <w:color w:val="auto"/>
                <w:sz w:val="24"/>
              </w:rPr>
              <w:t xml:space="preserve">  废气污染源源强核算结果及相关参数一览表</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6"/>
              <w:gridCol w:w="921"/>
              <w:gridCol w:w="834"/>
              <w:gridCol w:w="675"/>
              <w:gridCol w:w="825"/>
              <w:gridCol w:w="885"/>
              <w:gridCol w:w="825"/>
              <w:gridCol w:w="1313"/>
              <w:gridCol w:w="1020"/>
              <w:gridCol w:w="795"/>
              <w:gridCol w:w="855"/>
              <w:gridCol w:w="855"/>
              <w:gridCol w:w="675"/>
              <w:gridCol w:w="823"/>
            </w:tblGrid>
            <w:tr w14:paraId="6D9B5E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389" w:type="pct"/>
                  <w:vMerge w:val="restart"/>
                  <w:tcBorders>
                    <w:tl2br w:val="nil"/>
                    <w:tr2bl w:val="nil"/>
                  </w:tcBorders>
                  <w:noWrap w:val="0"/>
                  <w:vAlign w:val="center"/>
                </w:tcPr>
                <w:p w14:paraId="28B75DCC">
                  <w:pPr>
                    <w:adjustRightInd w:val="0"/>
                    <w:snapToGrid w:val="0"/>
                    <w:jc w:val="center"/>
                    <w:rPr>
                      <w:b/>
                      <w:bCs/>
                      <w:color w:val="auto"/>
                    </w:rPr>
                  </w:pPr>
                  <w:r>
                    <w:rPr>
                      <w:rFonts w:hint="eastAsia"/>
                      <w:b/>
                      <w:bCs/>
                      <w:color w:val="auto"/>
                    </w:rPr>
                    <w:t>排放源</w:t>
                  </w:r>
                </w:p>
              </w:tc>
              <w:tc>
                <w:tcPr>
                  <w:tcW w:w="375" w:type="pct"/>
                  <w:vMerge w:val="restart"/>
                  <w:tcBorders>
                    <w:tl2br w:val="nil"/>
                    <w:tr2bl w:val="nil"/>
                  </w:tcBorders>
                  <w:noWrap w:val="0"/>
                  <w:vAlign w:val="center"/>
                </w:tcPr>
                <w:p w14:paraId="51FD81E9">
                  <w:pPr>
                    <w:adjustRightInd w:val="0"/>
                    <w:snapToGrid w:val="0"/>
                    <w:jc w:val="center"/>
                    <w:rPr>
                      <w:b/>
                      <w:bCs/>
                      <w:color w:val="auto"/>
                    </w:rPr>
                  </w:pPr>
                  <w:r>
                    <w:rPr>
                      <w:rFonts w:hint="eastAsia"/>
                      <w:b/>
                      <w:bCs/>
                      <w:color w:val="auto"/>
                    </w:rPr>
                    <w:t>产污环节</w:t>
                  </w:r>
                </w:p>
              </w:tc>
              <w:tc>
                <w:tcPr>
                  <w:tcW w:w="340" w:type="pct"/>
                  <w:vMerge w:val="restart"/>
                  <w:tcBorders>
                    <w:tl2br w:val="nil"/>
                    <w:tr2bl w:val="nil"/>
                  </w:tcBorders>
                  <w:noWrap w:val="0"/>
                  <w:vAlign w:val="center"/>
                </w:tcPr>
                <w:p w14:paraId="3F57F1B6">
                  <w:pPr>
                    <w:adjustRightInd w:val="0"/>
                    <w:snapToGrid w:val="0"/>
                    <w:jc w:val="center"/>
                    <w:rPr>
                      <w:b/>
                      <w:bCs/>
                      <w:color w:val="auto"/>
                    </w:rPr>
                  </w:pPr>
                  <w:r>
                    <w:rPr>
                      <w:b/>
                      <w:bCs/>
                      <w:color w:val="auto"/>
                    </w:rPr>
                    <w:t>污染物种类</w:t>
                  </w:r>
                </w:p>
              </w:tc>
              <w:tc>
                <w:tcPr>
                  <w:tcW w:w="1309" w:type="pct"/>
                  <w:gridSpan w:val="4"/>
                  <w:tcBorders>
                    <w:tl2br w:val="nil"/>
                    <w:tr2bl w:val="nil"/>
                  </w:tcBorders>
                  <w:noWrap w:val="0"/>
                  <w:vAlign w:val="center"/>
                </w:tcPr>
                <w:p w14:paraId="776C884F">
                  <w:pPr>
                    <w:adjustRightInd w:val="0"/>
                    <w:snapToGrid w:val="0"/>
                    <w:jc w:val="center"/>
                    <w:rPr>
                      <w:b/>
                      <w:bCs/>
                      <w:color w:val="auto"/>
                    </w:rPr>
                  </w:pPr>
                  <w:r>
                    <w:rPr>
                      <w:b/>
                      <w:bCs/>
                      <w:color w:val="auto"/>
                    </w:rPr>
                    <w:t>污染物产生</w:t>
                  </w:r>
                </w:p>
              </w:tc>
              <w:tc>
                <w:tcPr>
                  <w:tcW w:w="951" w:type="pct"/>
                  <w:gridSpan w:val="2"/>
                  <w:tcBorders>
                    <w:tl2br w:val="nil"/>
                    <w:tr2bl w:val="nil"/>
                  </w:tcBorders>
                  <w:noWrap w:val="0"/>
                  <w:vAlign w:val="center"/>
                </w:tcPr>
                <w:p w14:paraId="4EBEDC0D">
                  <w:pPr>
                    <w:adjustRightInd w:val="0"/>
                    <w:snapToGrid w:val="0"/>
                    <w:jc w:val="center"/>
                    <w:rPr>
                      <w:b/>
                      <w:bCs/>
                      <w:color w:val="auto"/>
                    </w:rPr>
                  </w:pPr>
                  <w:r>
                    <w:rPr>
                      <w:b/>
                      <w:bCs/>
                      <w:color w:val="auto"/>
                    </w:rPr>
                    <w:t>治理措施</w:t>
                  </w:r>
                </w:p>
              </w:tc>
              <w:tc>
                <w:tcPr>
                  <w:tcW w:w="1021" w:type="pct"/>
                  <w:gridSpan w:val="3"/>
                  <w:tcBorders>
                    <w:tl2br w:val="nil"/>
                    <w:tr2bl w:val="nil"/>
                  </w:tcBorders>
                  <w:noWrap w:val="0"/>
                  <w:vAlign w:val="center"/>
                </w:tcPr>
                <w:p w14:paraId="141BD4F9">
                  <w:pPr>
                    <w:adjustRightInd w:val="0"/>
                    <w:snapToGrid w:val="0"/>
                    <w:jc w:val="center"/>
                    <w:rPr>
                      <w:b/>
                      <w:bCs/>
                      <w:color w:val="auto"/>
                    </w:rPr>
                  </w:pPr>
                  <w:r>
                    <w:rPr>
                      <w:b/>
                      <w:bCs/>
                      <w:color w:val="auto"/>
                    </w:rPr>
                    <w:t>污染物排放</w:t>
                  </w:r>
                </w:p>
              </w:tc>
              <w:tc>
                <w:tcPr>
                  <w:tcW w:w="275" w:type="pct"/>
                  <w:vMerge w:val="restart"/>
                  <w:tcBorders>
                    <w:tl2br w:val="nil"/>
                    <w:tr2bl w:val="nil"/>
                  </w:tcBorders>
                  <w:noWrap w:val="0"/>
                  <w:vAlign w:val="center"/>
                </w:tcPr>
                <w:p w14:paraId="0FF5939E">
                  <w:pPr>
                    <w:adjustRightInd w:val="0"/>
                    <w:snapToGrid w:val="0"/>
                    <w:jc w:val="center"/>
                    <w:rPr>
                      <w:b/>
                      <w:bCs/>
                      <w:color w:val="auto"/>
                    </w:rPr>
                  </w:pPr>
                  <w:r>
                    <w:rPr>
                      <w:b/>
                      <w:bCs/>
                      <w:color w:val="auto"/>
                    </w:rPr>
                    <w:t>排放时间/h/a</w:t>
                  </w:r>
                </w:p>
              </w:tc>
              <w:tc>
                <w:tcPr>
                  <w:tcW w:w="335" w:type="pct"/>
                  <w:vMerge w:val="restart"/>
                  <w:tcBorders>
                    <w:tl2br w:val="nil"/>
                    <w:tr2bl w:val="nil"/>
                  </w:tcBorders>
                  <w:noWrap w:val="0"/>
                  <w:vAlign w:val="center"/>
                </w:tcPr>
                <w:p w14:paraId="4E987A22">
                  <w:pPr>
                    <w:adjustRightInd w:val="0"/>
                    <w:snapToGrid w:val="0"/>
                    <w:jc w:val="center"/>
                    <w:rPr>
                      <w:b/>
                      <w:bCs/>
                      <w:color w:val="auto"/>
                    </w:rPr>
                  </w:pPr>
                  <w:r>
                    <w:rPr>
                      <w:b/>
                      <w:bCs/>
                      <w:color w:val="auto"/>
                    </w:rPr>
                    <w:t>排放标准值（mg/m</w:t>
                  </w:r>
                  <w:r>
                    <w:rPr>
                      <w:b/>
                      <w:bCs/>
                      <w:color w:val="auto"/>
                      <w:vertAlign w:val="superscript"/>
                    </w:rPr>
                    <w:t>3</w:t>
                  </w:r>
                  <w:r>
                    <w:rPr>
                      <w:b/>
                      <w:bCs/>
                      <w:color w:val="auto"/>
                    </w:rPr>
                    <w:t>）</w:t>
                  </w:r>
                </w:p>
              </w:tc>
            </w:tr>
            <w:tr w14:paraId="3F3182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389" w:type="pct"/>
                  <w:vMerge w:val="continue"/>
                  <w:tcBorders>
                    <w:tl2br w:val="nil"/>
                    <w:tr2bl w:val="nil"/>
                  </w:tcBorders>
                  <w:noWrap w:val="0"/>
                  <w:vAlign w:val="center"/>
                </w:tcPr>
                <w:p w14:paraId="669C0EAD">
                  <w:pPr>
                    <w:adjustRightInd w:val="0"/>
                    <w:snapToGrid w:val="0"/>
                    <w:jc w:val="center"/>
                    <w:rPr>
                      <w:color w:val="auto"/>
                    </w:rPr>
                  </w:pPr>
                </w:p>
              </w:tc>
              <w:tc>
                <w:tcPr>
                  <w:tcW w:w="375" w:type="pct"/>
                  <w:vMerge w:val="continue"/>
                  <w:tcBorders>
                    <w:tl2br w:val="nil"/>
                    <w:tr2bl w:val="nil"/>
                  </w:tcBorders>
                  <w:noWrap w:val="0"/>
                  <w:vAlign w:val="center"/>
                </w:tcPr>
                <w:p w14:paraId="4FD9A165">
                  <w:pPr>
                    <w:adjustRightInd w:val="0"/>
                    <w:snapToGrid w:val="0"/>
                    <w:jc w:val="center"/>
                    <w:rPr>
                      <w:color w:val="auto"/>
                    </w:rPr>
                  </w:pPr>
                </w:p>
              </w:tc>
              <w:tc>
                <w:tcPr>
                  <w:tcW w:w="340" w:type="pct"/>
                  <w:vMerge w:val="continue"/>
                  <w:tcBorders>
                    <w:tl2br w:val="nil"/>
                    <w:tr2bl w:val="nil"/>
                  </w:tcBorders>
                  <w:noWrap w:val="0"/>
                  <w:vAlign w:val="center"/>
                </w:tcPr>
                <w:p w14:paraId="7A5BC4AD">
                  <w:pPr>
                    <w:adjustRightInd w:val="0"/>
                    <w:snapToGrid w:val="0"/>
                    <w:jc w:val="center"/>
                    <w:rPr>
                      <w:color w:val="auto"/>
                    </w:rPr>
                  </w:pPr>
                </w:p>
              </w:tc>
              <w:tc>
                <w:tcPr>
                  <w:tcW w:w="275" w:type="pct"/>
                  <w:tcBorders>
                    <w:tl2br w:val="nil"/>
                    <w:tr2bl w:val="nil"/>
                  </w:tcBorders>
                  <w:noWrap w:val="0"/>
                  <w:vAlign w:val="center"/>
                </w:tcPr>
                <w:p w14:paraId="70ABBF52">
                  <w:pPr>
                    <w:adjustRightInd w:val="0"/>
                    <w:snapToGrid w:val="0"/>
                    <w:jc w:val="center"/>
                    <w:rPr>
                      <w:b/>
                      <w:bCs/>
                      <w:color w:val="auto"/>
                    </w:rPr>
                  </w:pPr>
                  <w:r>
                    <w:rPr>
                      <w:b/>
                      <w:bCs/>
                      <w:color w:val="auto"/>
                    </w:rPr>
                    <w:t>排放方式</w:t>
                  </w:r>
                </w:p>
              </w:tc>
              <w:tc>
                <w:tcPr>
                  <w:tcW w:w="336" w:type="pct"/>
                  <w:tcBorders>
                    <w:tl2br w:val="nil"/>
                    <w:tr2bl w:val="nil"/>
                  </w:tcBorders>
                  <w:noWrap w:val="0"/>
                  <w:vAlign w:val="center"/>
                </w:tcPr>
                <w:p w14:paraId="4A2E9051">
                  <w:pPr>
                    <w:pStyle w:val="70"/>
                    <w:adjustRightInd w:val="0"/>
                    <w:snapToGrid w:val="0"/>
                    <w:spacing w:line="240" w:lineRule="auto"/>
                    <w:ind w:firstLine="0"/>
                    <w:jc w:val="center"/>
                    <w:rPr>
                      <w:b/>
                      <w:bCs/>
                      <w:color w:val="auto"/>
                      <w:szCs w:val="21"/>
                    </w:rPr>
                  </w:pPr>
                  <w:r>
                    <w:rPr>
                      <w:b/>
                      <w:bCs/>
                      <w:color w:val="auto"/>
                      <w:szCs w:val="21"/>
                    </w:rPr>
                    <w:t>产生量t/a</w:t>
                  </w:r>
                </w:p>
              </w:tc>
              <w:tc>
                <w:tcPr>
                  <w:tcW w:w="361" w:type="pct"/>
                  <w:tcBorders>
                    <w:tl2br w:val="nil"/>
                    <w:tr2bl w:val="nil"/>
                  </w:tcBorders>
                  <w:noWrap w:val="0"/>
                  <w:vAlign w:val="center"/>
                </w:tcPr>
                <w:p w14:paraId="267140A6">
                  <w:pPr>
                    <w:pStyle w:val="70"/>
                    <w:adjustRightInd w:val="0"/>
                    <w:snapToGrid w:val="0"/>
                    <w:spacing w:line="240" w:lineRule="auto"/>
                    <w:ind w:firstLine="0"/>
                    <w:jc w:val="center"/>
                    <w:rPr>
                      <w:b/>
                      <w:bCs/>
                      <w:color w:val="auto"/>
                      <w:szCs w:val="21"/>
                    </w:rPr>
                  </w:pPr>
                  <w:r>
                    <w:rPr>
                      <w:rFonts w:hint="eastAsia"/>
                      <w:b/>
                      <w:bCs/>
                      <w:color w:val="auto"/>
                      <w:szCs w:val="21"/>
                    </w:rPr>
                    <w:t>产生</w:t>
                  </w:r>
                  <w:r>
                    <w:rPr>
                      <w:b/>
                      <w:bCs/>
                      <w:color w:val="auto"/>
                      <w:szCs w:val="21"/>
                    </w:rPr>
                    <w:t>速率kg/h</w:t>
                  </w:r>
                </w:p>
              </w:tc>
              <w:tc>
                <w:tcPr>
                  <w:tcW w:w="336" w:type="pct"/>
                  <w:tcBorders>
                    <w:tl2br w:val="nil"/>
                    <w:tr2bl w:val="nil"/>
                  </w:tcBorders>
                  <w:noWrap w:val="0"/>
                  <w:vAlign w:val="center"/>
                </w:tcPr>
                <w:p w14:paraId="288DC5A5">
                  <w:pPr>
                    <w:pStyle w:val="70"/>
                    <w:adjustRightInd w:val="0"/>
                    <w:snapToGrid w:val="0"/>
                    <w:spacing w:line="240" w:lineRule="auto"/>
                    <w:ind w:firstLine="0"/>
                    <w:jc w:val="center"/>
                    <w:rPr>
                      <w:b/>
                      <w:bCs/>
                      <w:color w:val="auto"/>
                      <w:szCs w:val="21"/>
                    </w:rPr>
                  </w:pPr>
                  <w:r>
                    <w:rPr>
                      <w:b/>
                      <w:bCs/>
                      <w:color w:val="auto"/>
                      <w:szCs w:val="21"/>
                    </w:rPr>
                    <w:t>产生浓度mg/m</w:t>
                  </w:r>
                  <w:r>
                    <w:rPr>
                      <w:b/>
                      <w:bCs/>
                      <w:color w:val="auto"/>
                      <w:szCs w:val="21"/>
                      <w:vertAlign w:val="superscript"/>
                    </w:rPr>
                    <w:t>3</w:t>
                  </w:r>
                </w:p>
              </w:tc>
              <w:tc>
                <w:tcPr>
                  <w:tcW w:w="535" w:type="pct"/>
                  <w:tcBorders>
                    <w:tl2br w:val="nil"/>
                    <w:tr2bl w:val="nil"/>
                  </w:tcBorders>
                  <w:noWrap w:val="0"/>
                  <w:vAlign w:val="center"/>
                </w:tcPr>
                <w:p w14:paraId="6A1B7E4C">
                  <w:pPr>
                    <w:adjustRightInd w:val="0"/>
                    <w:snapToGrid w:val="0"/>
                    <w:jc w:val="center"/>
                    <w:rPr>
                      <w:b/>
                      <w:bCs/>
                      <w:color w:val="auto"/>
                    </w:rPr>
                  </w:pPr>
                  <w:r>
                    <w:rPr>
                      <w:b/>
                      <w:bCs/>
                      <w:color w:val="auto"/>
                    </w:rPr>
                    <w:t>工艺</w:t>
                  </w:r>
                </w:p>
              </w:tc>
              <w:tc>
                <w:tcPr>
                  <w:tcW w:w="416" w:type="pct"/>
                  <w:tcBorders>
                    <w:tl2br w:val="nil"/>
                    <w:tr2bl w:val="nil"/>
                  </w:tcBorders>
                  <w:noWrap w:val="0"/>
                  <w:vAlign w:val="center"/>
                </w:tcPr>
                <w:p w14:paraId="1F9D5BBD">
                  <w:pPr>
                    <w:adjustRightInd w:val="0"/>
                    <w:snapToGrid w:val="0"/>
                    <w:jc w:val="center"/>
                    <w:rPr>
                      <w:b/>
                      <w:bCs/>
                      <w:color w:val="auto"/>
                    </w:rPr>
                  </w:pPr>
                  <w:r>
                    <w:rPr>
                      <w:b/>
                      <w:bCs/>
                      <w:color w:val="auto"/>
                    </w:rPr>
                    <w:t>效率/%</w:t>
                  </w:r>
                </w:p>
              </w:tc>
              <w:tc>
                <w:tcPr>
                  <w:tcW w:w="324" w:type="pct"/>
                  <w:tcBorders>
                    <w:tl2br w:val="nil"/>
                    <w:tr2bl w:val="nil"/>
                  </w:tcBorders>
                  <w:noWrap w:val="0"/>
                  <w:vAlign w:val="center"/>
                </w:tcPr>
                <w:p w14:paraId="35C77F26">
                  <w:pPr>
                    <w:pStyle w:val="70"/>
                    <w:adjustRightInd w:val="0"/>
                    <w:snapToGrid w:val="0"/>
                    <w:spacing w:line="240" w:lineRule="auto"/>
                    <w:ind w:firstLine="0"/>
                    <w:jc w:val="center"/>
                    <w:rPr>
                      <w:b/>
                      <w:bCs/>
                      <w:color w:val="auto"/>
                      <w:szCs w:val="21"/>
                    </w:rPr>
                  </w:pPr>
                  <w:r>
                    <w:rPr>
                      <w:b/>
                      <w:bCs/>
                      <w:color w:val="auto"/>
                      <w:szCs w:val="21"/>
                    </w:rPr>
                    <w:t>排放量t/a</w:t>
                  </w:r>
                </w:p>
              </w:tc>
              <w:tc>
                <w:tcPr>
                  <w:tcW w:w="348" w:type="pct"/>
                  <w:tcBorders>
                    <w:tl2br w:val="nil"/>
                    <w:tr2bl w:val="nil"/>
                  </w:tcBorders>
                  <w:noWrap w:val="0"/>
                  <w:vAlign w:val="center"/>
                </w:tcPr>
                <w:p w14:paraId="4697D4B5">
                  <w:pPr>
                    <w:pStyle w:val="70"/>
                    <w:adjustRightInd w:val="0"/>
                    <w:snapToGrid w:val="0"/>
                    <w:spacing w:line="240" w:lineRule="auto"/>
                    <w:ind w:firstLine="0"/>
                    <w:jc w:val="center"/>
                    <w:rPr>
                      <w:b/>
                      <w:bCs/>
                      <w:color w:val="auto"/>
                      <w:szCs w:val="21"/>
                    </w:rPr>
                  </w:pPr>
                  <w:r>
                    <w:rPr>
                      <w:rFonts w:hint="eastAsia"/>
                      <w:b/>
                      <w:bCs/>
                      <w:color w:val="auto"/>
                      <w:szCs w:val="21"/>
                    </w:rPr>
                    <w:t>排放</w:t>
                  </w:r>
                  <w:r>
                    <w:rPr>
                      <w:b/>
                      <w:bCs/>
                      <w:color w:val="auto"/>
                      <w:szCs w:val="21"/>
                    </w:rPr>
                    <w:t>速率kg/h</w:t>
                  </w:r>
                </w:p>
              </w:tc>
              <w:tc>
                <w:tcPr>
                  <w:tcW w:w="348" w:type="pct"/>
                  <w:tcBorders>
                    <w:tl2br w:val="nil"/>
                    <w:tr2bl w:val="nil"/>
                  </w:tcBorders>
                  <w:noWrap w:val="0"/>
                  <w:vAlign w:val="center"/>
                </w:tcPr>
                <w:p w14:paraId="06D0B37D">
                  <w:pPr>
                    <w:pStyle w:val="70"/>
                    <w:adjustRightInd w:val="0"/>
                    <w:snapToGrid w:val="0"/>
                    <w:spacing w:line="240" w:lineRule="auto"/>
                    <w:ind w:firstLine="0"/>
                    <w:jc w:val="center"/>
                    <w:rPr>
                      <w:b/>
                      <w:bCs/>
                      <w:color w:val="auto"/>
                      <w:szCs w:val="21"/>
                    </w:rPr>
                  </w:pPr>
                  <w:r>
                    <w:rPr>
                      <w:b/>
                      <w:bCs/>
                      <w:color w:val="auto"/>
                      <w:szCs w:val="21"/>
                    </w:rPr>
                    <w:t>排放浓度mg/m</w:t>
                  </w:r>
                  <w:r>
                    <w:rPr>
                      <w:b/>
                      <w:bCs/>
                      <w:color w:val="auto"/>
                      <w:szCs w:val="21"/>
                      <w:vertAlign w:val="superscript"/>
                    </w:rPr>
                    <w:t>3</w:t>
                  </w:r>
                </w:p>
              </w:tc>
              <w:tc>
                <w:tcPr>
                  <w:tcW w:w="275" w:type="pct"/>
                  <w:vMerge w:val="continue"/>
                  <w:tcBorders>
                    <w:tl2br w:val="nil"/>
                    <w:tr2bl w:val="nil"/>
                  </w:tcBorders>
                  <w:noWrap w:val="0"/>
                  <w:vAlign w:val="center"/>
                </w:tcPr>
                <w:p w14:paraId="0A4577EA">
                  <w:pPr>
                    <w:adjustRightInd w:val="0"/>
                    <w:snapToGrid w:val="0"/>
                    <w:jc w:val="center"/>
                    <w:rPr>
                      <w:b/>
                      <w:bCs/>
                      <w:color w:val="auto"/>
                    </w:rPr>
                  </w:pPr>
                </w:p>
              </w:tc>
              <w:tc>
                <w:tcPr>
                  <w:tcW w:w="335" w:type="pct"/>
                  <w:vMerge w:val="continue"/>
                  <w:tcBorders>
                    <w:tl2br w:val="nil"/>
                    <w:tr2bl w:val="nil"/>
                  </w:tcBorders>
                  <w:noWrap w:val="0"/>
                  <w:vAlign w:val="center"/>
                </w:tcPr>
                <w:p w14:paraId="3605B4EE">
                  <w:pPr>
                    <w:adjustRightInd w:val="0"/>
                    <w:snapToGrid w:val="0"/>
                    <w:jc w:val="center"/>
                    <w:rPr>
                      <w:b/>
                      <w:bCs/>
                      <w:color w:val="auto"/>
                    </w:rPr>
                  </w:pPr>
                </w:p>
              </w:tc>
            </w:tr>
            <w:tr w14:paraId="148B6E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389" w:type="pct"/>
                  <w:vMerge w:val="restart"/>
                  <w:tcBorders>
                    <w:tl2br w:val="nil"/>
                    <w:tr2bl w:val="nil"/>
                  </w:tcBorders>
                  <w:noWrap w:val="0"/>
                  <w:vAlign w:val="center"/>
                </w:tcPr>
                <w:p w14:paraId="69AACA0D">
                  <w:pPr>
                    <w:adjustRightInd w:val="0"/>
                    <w:snapToGrid w:val="0"/>
                    <w:jc w:val="center"/>
                    <w:rPr>
                      <w:color w:val="auto"/>
                    </w:rPr>
                  </w:pPr>
                  <w:r>
                    <w:rPr>
                      <w:rFonts w:hint="eastAsia"/>
                      <w:color w:val="auto"/>
                    </w:rPr>
                    <w:t>DA001</w:t>
                  </w:r>
                </w:p>
              </w:tc>
              <w:tc>
                <w:tcPr>
                  <w:tcW w:w="375" w:type="pct"/>
                  <w:tcBorders>
                    <w:tl2br w:val="nil"/>
                    <w:tr2bl w:val="nil"/>
                  </w:tcBorders>
                  <w:noWrap w:val="0"/>
                  <w:vAlign w:val="center"/>
                </w:tcPr>
                <w:p w14:paraId="13196686">
                  <w:pPr>
                    <w:adjustRightInd w:val="0"/>
                    <w:snapToGrid w:val="0"/>
                    <w:jc w:val="center"/>
                    <w:rPr>
                      <w:color w:val="auto"/>
                    </w:rPr>
                  </w:pPr>
                  <w:r>
                    <w:rPr>
                      <w:rFonts w:hint="default"/>
                      <w:color w:val="auto"/>
                      <w:lang w:val="en-US" w:eastAsia="zh-CN"/>
                    </w:rPr>
                    <w:t>催化浆料配制工序</w:t>
                  </w:r>
                </w:p>
              </w:tc>
              <w:tc>
                <w:tcPr>
                  <w:tcW w:w="340" w:type="pct"/>
                  <w:tcBorders>
                    <w:tl2br w:val="nil"/>
                    <w:tr2bl w:val="nil"/>
                  </w:tcBorders>
                  <w:noWrap w:val="0"/>
                  <w:vAlign w:val="center"/>
                </w:tcPr>
                <w:p w14:paraId="386FE7FA">
                  <w:pPr>
                    <w:adjustRightInd w:val="0"/>
                    <w:snapToGrid w:val="0"/>
                    <w:jc w:val="center"/>
                    <w:rPr>
                      <w:color w:val="auto"/>
                    </w:rPr>
                  </w:pPr>
                  <w:r>
                    <w:rPr>
                      <w:rFonts w:hint="eastAsia"/>
                      <w:color w:val="auto"/>
                    </w:rPr>
                    <w:t>非甲烷总烃</w:t>
                  </w:r>
                </w:p>
              </w:tc>
              <w:tc>
                <w:tcPr>
                  <w:tcW w:w="275" w:type="pct"/>
                  <w:vMerge w:val="restart"/>
                  <w:tcBorders>
                    <w:tl2br w:val="nil"/>
                    <w:tr2bl w:val="nil"/>
                  </w:tcBorders>
                  <w:noWrap w:val="0"/>
                  <w:vAlign w:val="center"/>
                </w:tcPr>
                <w:p w14:paraId="099DA251">
                  <w:pPr>
                    <w:adjustRightInd w:val="0"/>
                    <w:snapToGrid w:val="0"/>
                    <w:jc w:val="center"/>
                    <w:rPr>
                      <w:color w:val="auto"/>
                    </w:rPr>
                  </w:pPr>
                  <w:r>
                    <w:rPr>
                      <w:rFonts w:hint="eastAsia"/>
                      <w:color w:val="auto"/>
                    </w:rPr>
                    <w:t>有组织</w:t>
                  </w:r>
                </w:p>
              </w:tc>
              <w:tc>
                <w:tcPr>
                  <w:tcW w:w="336" w:type="pct"/>
                  <w:tcBorders>
                    <w:tl2br w:val="nil"/>
                    <w:tr2bl w:val="nil"/>
                  </w:tcBorders>
                  <w:noWrap w:val="0"/>
                  <w:vAlign w:val="center"/>
                </w:tcPr>
                <w:p w14:paraId="111C2E11">
                  <w:pPr>
                    <w:adjustRightInd w:val="0"/>
                    <w:snapToGrid w:val="0"/>
                    <w:jc w:val="center"/>
                    <w:rPr>
                      <w:color w:val="auto"/>
                    </w:rPr>
                  </w:pPr>
                  <w:r>
                    <w:rPr>
                      <w:rFonts w:hint="eastAsia"/>
                      <w:color w:val="auto"/>
                      <w:lang w:val="en-US" w:eastAsia="zh-CN"/>
                    </w:rPr>
                    <w:t>0.105</w:t>
                  </w:r>
                </w:p>
              </w:tc>
              <w:tc>
                <w:tcPr>
                  <w:tcW w:w="885" w:type="dxa"/>
                  <w:vMerge w:val="restart"/>
                  <w:tcBorders>
                    <w:tl2br w:val="nil"/>
                    <w:tr2bl w:val="nil"/>
                  </w:tcBorders>
                  <w:noWrap w:val="0"/>
                  <w:vAlign w:val="center"/>
                </w:tcPr>
                <w:p w14:paraId="26BC127D">
                  <w:pPr>
                    <w:adjustRightInd w:val="0"/>
                    <w:snapToGrid w:val="0"/>
                    <w:jc w:val="center"/>
                    <w:rPr>
                      <w:color w:val="auto"/>
                    </w:rPr>
                  </w:pPr>
                  <w:r>
                    <w:rPr>
                      <w:rFonts w:hint="eastAsia"/>
                      <w:color w:val="auto"/>
                      <w:lang w:val="en-US" w:eastAsia="zh-CN"/>
                    </w:rPr>
                    <w:t>0.697</w:t>
                  </w:r>
                </w:p>
              </w:tc>
              <w:tc>
                <w:tcPr>
                  <w:tcW w:w="825" w:type="dxa"/>
                  <w:vMerge w:val="restart"/>
                  <w:tcBorders>
                    <w:tl2br w:val="nil"/>
                    <w:tr2bl w:val="nil"/>
                  </w:tcBorders>
                  <w:noWrap w:val="0"/>
                  <w:vAlign w:val="center"/>
                </w:tcPr>
                <w:p w14:paraId="1728F5B8">
                  <w:pPr>
                    <w:adjustRightInd w:val="0"/>
                    <w:snapToGrid w:val="0"/>
                    <w:jc w:val="center"/>
                    <w:rPr>
                      <w:rFonts w:hint="default"/>
                      <w:color w:val="auto"/>
                      <w:lang w:val="en-US"/>
                    </w:rPr>
                  </w:pPr>
                  <w:r>
                    <w:rPr>
                      <w:rFonts w:hint="eastAsia"/>
                      <w:color w:val="auto"/>
                      <w:lang w:val="en-US" w:eastAsia="zh-CN"/>
                    </w:rPr>
                    <w:t>131.5</w:t>
                  </w:r>
                </w:p>
              </w:tc>
              <w:tc>
                <w:tcPr>
                  <w:tcW w:w="535" w:type="pct"/>
                  <w:vMerge w:val="restart"/>
                  <w:tcBorders>
                    <w:tl2br w:val="nil"/>
                    <w:tr2bl w:val="nil"/>
                  </w:tcBorders>
                  <w:noWrap w:val="0"/>
                  <w:vAlign w:val="center"/>
                </w:tcPr>
                <w:p w14:paraId="06D4AE45">
                  <w:pPr>
                    <w:adjustRightInd w:val="0"/>
                    <w:snapToGrid w:val="0"/>
                    <w:jc w:val="center"/>
                    <w:rPr>
                      <w:color w:val="auto"/>
                      <w:highlight w:val="none"/>
                    </w:rPr>
                  </w:pPr>
                  <w:r>
                    <w:rPr>
                      <w:rFonts w:hint="eastAsia"/>
                      <w:color w:val="auto"/>
                      <w:highlight w:val="none"/>
                    </w:rPr>
                    <w:t>二级</w:t>
                  </w:r>
                  <w:r>
                    <w:rPr>
                      <w:color w:val="auto"/>
                      <w:highlight w:val="none"/>
                    </w:rPr>
                    <w:t>活性炭吸附</w:t>
                  </w:r>
                </w:p>
              </w:tc>
              <w:tc>
                <w:tcPr>
                  <w:tcW w:w="416" w:type="pct"/>
                  <w:vMerge w:val="restart"/>
                  <w:tcBorders>
                    <w:tl2br w:val="nil"/>
                    <w:tr2bl w:val="nil"/>
                  </w:tcBorders>
                  <w:noWrap w:val="0"/>
                  <w:vAlign w:val="center"/>
                </w:tcPr>
                <w:p w14:paraId="7E78A195">
                  <w:pPr>
                    <w:adjustRightInd w:val="0"/>
                    <w:snapToGrid w:val="0"/>
                    <w:jc w:val="center"/>
                    <w:rPr>
                      <w:color w:val="auto"/>
                      <w:highlight w:val="none"/>
                    </w:rPr>
                  </w:pPr>
                  <w:r>
                    <w:rPr>
                      <w:rFonts w:hint="eastAsia"/>
                      <w:color w:val="auto"/>
                      <w:highlight w:val="none"/>
                    </w:rPr>
                    <w:t>75%</w:t>
                  </w:r>
                </w:p>
              </w:tc>
              <w:tc>
                <w:tcPr>
                  <w:tcW w:w="795" w:type="dxa"/>
                  <w:vMerge w:val="restart"/>
                  <w:tcBorders>
                    <w:tl2br w:val="nil"/>
                    <w:tr2bl w:val="nil"/>
                  </w:tcBorders>
                  <w:noWrap w:val="0"/>
                  <w:vAlign w:val="center"/>
                </w:tcPr>
                <w:p w14:paraId="480C6721">
                  <w:pPr>
                    <w:adjustRightInd w:val="0"/>
                    <w:snapToGrid w:val="0"/>
                    <w:jc w:val="center"/>
                    <w:rPr>
                      <w:color w:val="auto"/>
                    </w:rPr>
                  </w:pPr>
                  <w:r>
                    <w:rPr>
                      <w:rFonts w:hint="eastAsia"/>
                      <w:color w:val="auto"/>
                      <w:lang w:val="en-US" w:eastAsia="zh-CN"/>
                    </w:rPr>
                    <w:t>0.349</w:t>
                  </w:r>
                </w:p>
              </w:tc>
              <w:tc>
                <w:tcPr>
                  <w:tcW w:w="855" w:type="dxa"/>
                  <w:vMerge w:val="restart"/>
                  <w:tcBorders>
                    <w:tl2br w:val="nil"/>
                    <w:tr2bl w:val="nil"/>
                  </w:tcBorders>
                  <w:noWrap w:val="0"/>
                  <w:vAlign w:val="center"/>
                </w:tcPr>
                <w:p w14:paraId="671FD0DF">
                  <w:pPr>
                    <w:adjustRightInd w:val="0"/>
                    <w:snapToGrid w:val="0"/>
                    <w:jc w:val="center"/>
                    <w:rPr>
                      <w:color w:val="auto"/>
                    </w:rPr>
                  </w:pPr>
                  <w:r>
                    <w:rPr>
                      <w:rFonts w:hint="eastAsia" w:eastAsia="宋体"/>
                      <w:color w:val="auto"/>
                      <w:lang w:val="en-US" w:eastAsia="zh-CN"/>
                    </w:rPr>
                    <w:t>0.</w:t>
                  </w:r>
                  <w:r>
                    <w:rPr>
                      <w:rFonts w:hint="eastAsia"/>
                      <w:color w:val="auto"/>
                      <w:lang w:val="en-US" w:eastAsia="zh-CN"/>
                    </w:rPr>
                    <w:t>175</w:t>
                  </w:r>
                </w:p>
              </w:tc>
              <w:tc>
                <w:tcPr>
                  <w:tcW w:w="855" w:type="dxa"/>
                  <w:vMerge w:val="restart"/>
                  <w:tcBorders>
                    <w:tl2br w:val="nil"/>
                    <w:tr2bl w:val="nil"/>
                  </w:tcBorders>
                  <w:noWrap w:val="0"/>
                  <w:vAlign w:val="center"/>
                </w:tcPr>
                <w:p w14:paraId="73169355">
                  <w:pPr>
                    <w:adjustRightInd w:val="0"/>
                    <w:snapToGrid w:val="0"/>
                    <w:jc w:val="center"/>
                    <w:rPr>
                      <w:rFonts w:hint="default"/>
                      <w:color w:val="auto"/>
                      <w:lang w:val="en-US"/>
                    </w:rPr>
                  </w:pPr>
                  <w:r>
                    <w:rPr>
                      <w:rFonts w:hint="eastAsia"/>
                      <w:color w:val="auto"/>
                      <w:lang w:val="en-US" w:eastAsia="zh-CN"/>
                    </w:rPr>
                    <w:t>33</w:t>
                  </w:r>
                </w:p>
              </w:tc>
              <w:tc>
                <w:tcPr>
                  <w:tcW w:w="275" w:type="pct"/>
                  <w:tcBorders>
                    <w:tl2br w:val="nil"/>
                    <w:tr2bl w:val="nil"/>
                  </w:tcBorders>
                  <w:noWrap w:val="0"/>
                  <w:vAlign w:val="center"/>
                </w:tcPr>
                <w:p w14:paraId="61775E9C">
                  <w:pPr>
                    <w:adjustRightInd w:val="0"/>
                    <w:snapToGrid w:val="0"/>
                    <w:jc w:val="center"/>
                    <w:rPr>
                      <w:rFonts w:hint="default" w:eastAsia="宋体"/>
                      <w:color w:val="auto"/>
                      <w:lang w:val="en-US" w:eastAsia="zh-CN"/>
                    </w:rPr>
                  </w:pPr>
                  <w:r>
                    <w:rPr>
                      <w:rFonts w:hint="eastAsia"/>
                      <w:color w:val="auto"/>
                      <w:lang w:val="en-US" w:eastAsia="zh-CN"/>
                    </w:rPr>
                    <w:t>2000</w:t>
                  </w:r>
                </w:p>
              </w:tc>
              <w:tc>
                <w:tcPr>
                  <w:tcW w:w="335" w:type="pct"/>
                  <w:tcBorders>
                    <w:tl2br w:val="nil"/>
                    <w:tr2bl w:val="nil"/>
                  </w:tcBorders>
                  <w:noWrap w:val="0"/>
                  <w:vAlign w:val="center"/>
                </w:tcPr>
                <w:p w14:paraId="376B8A06">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120</w:t>
                  </w:r>
                </w:p>
              </w:tc>
            </w:tr>
            <w:tr w14:paraId="50BB38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389" w:type="pct"/>
                  <w:vMerge w:val="continue"/>
                  <w:tcBorders>
                    <w:tl2br w:val="nil"/>
                    <w:tr2bl w:val="nil"/>
                  </w:tcBorders>
                  <w:noWrap w:val="0"/>
                  <w:vAlign w:val="center"/>
                </w:tcPr>
                <w:p w14:paraId="028BF244">
                  <w:pPr>
                    <w:adjustRightInd w:val="0"/>
                    <w:snapToGrid w:val="0"/>
                    <w:jc w:val="center"/>
                    <w:rPr>
                      <w:color w:val="auto"/>
                    </w:rPr>
                  </w:pPr>
                </w:p>
              </w:tc>
              <w:tc>
                <w:tcPr>
                  <w:tcW w:w="375" w:type="pct"/>
                  <w:tcBorders>
                    <w:tl2br w:val="nil"/>
                    <w:tr2bl w:val="nil"/>
                  </w:tcBorders>
                  <w:noWrap w:val="0"/>
                  <w:vAlign w:val="center"/>
                </w:tcPr>
                <w:p w14:paraId="7DDC8433">
                  <w:pPr>
                    <w:adjustRightInd w:val="0"/>
                    <w:snapToGrid w:val="0"/>
                    <w:jc w:val="center"/>
                    <w:rPr>
                      <w:color w:val="auto"/>
                    </w:rPr>
                  </w:pPr>
                  <w:r>
                    <w:rPr>
                      <w:rFonts w:hint="eastAsia"/>
                      <w:color w:val="auto"/>
                      <w:lang w:val="en-US" w:eastAsia="zh-CN"/>
                    </w:rPr>
                    <w:t>催化剂涂覆膜制备工序</w:t>
                  </w:r>
                </w:p>
              </w:tc>
              <w:tc>
                <w:tcPr>
                  <w:tcW w:w="340" w:type="pct"/>
                  <w:tcBorders>
                    <w:tl2br w:val="nil"/>
                    <w:tr2bl w:val="nil"/>
                  </w:tcBorders>
                  <w:noWrap w:val="0"/>
                  <w:vAlign w:val="center"/>
                </w:tcPr>
                <w:p w14:paraId="7E464D88">
                  <w:pPr>
                    <w:adjustRightInd w:val="0"/>
                    <w:snapToGrid w:val="0"/>
                    <w:jc w:val="center"/>
                    <w:rPr>
                      <w:color w:val="auto"/>
                    </w:rPr>
                  </w:pPr>
                  <w:r>
                    <w:rPr>
                      <w:rFonts w:hint="eastAsia"/>
                      <w:color w:val="auto"/>
                    </w:rPr>
                    <w:t>非甲烷总烃</w:t>
                  </w:r>
                </w:p>
              </w:tc>
              <w:tc>
                <w:tcPr>
                  <w:tcW w:w="275" w:type="pct"/>
                  <w:vMerge w:val="continue"/>
                  <w:tcBorders>
                    <w:tl2br w:val="nil"/>
                    <w:tr2bl w:val="nil"/>
                  </w:tcBorders>
                  <w:noWrap w:val="0"/>
                  <w:vAlign w:val="center"/>
                </w:tcPr>
                <w:p w14:paraId="6E54357C">
                  <w:pPr>
                    <w:adjustRightInd w:val="0"/>
                    <w:snapToGrid w:val="0"/>
                    <w:jc w:val="center"/>
                    <w:rPr>
                      <w:color w:val="auto"/>
                    </w:rPr>
                  </w:pPr>
                </w:p>
              </w:tc>
              <w:tc>
                <w:tcPr>
                  <w:tcW w:w="336" w:type="pct"/>
                  <w:tcBorders>
                    <w:tl2br w:val="nil"/>
                    <w:tr2bl w:val="nil"/>
                  </w:tcBorders>
                  <w:noWrap w:val="0"/>
                  <w:vAlign w:val="center"/>
                </w:tcPr>
                <w:p w14:paraId="37BBCD75">
                  <w:pPr>
                    <w:adjustRightInd w:val="0"/>
                    <w:snapToGrid w:val="0"/>
                    <w:jc w:val="center"/>
                    <w:rPr>
                      <w:color w:val="auto"/>
                    </w:rPr>
                  </w:pPr>
                  <w:r>
                    <w:rPr>
                      <w:rFonts w:hint="eastAsia"/>
                      <w:color w:val="auto"/>
                      <w:lang w:val="en-US" w:eastAsia="zh-CN"/>
                    </w:rPr>
                    <w:t>1.028</w:t>
                  </w:r>
                </w:p>
              </w:tc>
              <w:tc>
                <w:tcPr>
                  <w:tcW w:w="361" w:type="pct"/>
                  <w:vMerge w:val="continue"/>
                  <w:tcBorders>
                    <w:tl2br w:val="nil"/>
                    <w:tr2bl w:val="nil"/>
                  </w:tcBorders>
                  <w:noWrap w:val="0"/>
                  <w:vAlign w:val="center"/>
                </w:tcPr>
                <w:p w14:paraId="5D715CF7">
                  <w:pPr>
                    <w:adjustRightInd w:val="0"/>
                    <w:snapToGrid w:val="0"/>
                    <w:jc w:val="center"/>
                    <w:rPr>
                      <w:color w:val="auto"/>
                    </w:rPr>
                  </w:pPr>
                </w:p>
              </w:tc>
              <w:tc>
                <w:tcPr>
                  <w:tcW w:w="336" w:type="pct"/>
                  <w:vMerge w:val="continue"/>
                  <w:tcBorders>
                    <w:tl2br w:val="nil"/>
                    <w:tr2bl w:val="nil"/>
                  </w:tcBorders>
                  <w:noWrap w:val="0"/>
                  <w:vAlign w:val="center"/>
                </w:tcPr>
                <w:p w14:paraId="0054A8FF">
                  <w:pPr>
                    <w:adjustRightInd w:val="0"/>
                    <w:snapToGrid w:val="0"/>
                    <w:jc w:val="center"/>
                    <w:rPr>
                      <w:color w:val="auto"/>
                    </w:rPr>
                  </w:pPr>
                </w:p>
              </w:tc>
              <w:tc>
                <w:tcPr>
                  <w:tcW w:w="535" w:type="pct"/>
                  <w:vMerge w:val="continue"/>
                  <w:tcBorders>
                    <w:tl2br w:val="nil"/>
                    <w:tr2bl w:val="nil"/>
                  </w:tcBorders>
                  <w:noWrap w:val="0"/>
                  <w:vAlign w:val="center"/>
                </w:tcPr>
                <w:p w14:paraId="48F1199E">
                  <w:pPr>
                    <w:adjustRightInd w:val="0"/>
                    <w:snapToGrid w:val="0"/>
                    <w:jc w:val="center"/>
                    <w:rPr>
                      <w:color w:val="auto"/>
                      <w:highlight w:val="green"/>
                    </w:rPr>
                  </w:pPr>
                </w:p>
              </w:tc>
              <w:tc>
                <w:tcPr>
                  <w:tcW w:w="416" w:type="pct"/>
                  <w:vMerge w:val="continue"/>
                  <w:tcBorders>
                    <w:tl2br w:val="nil"/>
                    <w:tr2bl w:val="nil"/>
                  </w:tcBorders>
                  <w:noWrap w:val="0"/>
                  <w:vAlign w:val="center"/>
                </w:tcPr>
                <w:p w14:paraId="6A049C21">
                  <w:pPr>
                    <w:adjustRightInd w:val="0"/>
                    <w:snapToGrid w:val="0"/>
                    <w:jc w:val="center"/>
                    <w:rPr>
                      <w:color w:val="auto"/>
                      <w:highlight w:val="green"/>
                    </w:rPr>
                  </w:pPr>
                </w:p>
              </w:tc>
              <w:tc>
                <w:tcPr>
                  <w:tcW w:w="324" w:type="pct"/>
                  <w:vMerge w:val="continue"/>
                  <w:tcBorders>
                    <w:tl2br w:val="nil"/>
                    <w:tr2bl w:val="nil"/>
                  </w:tcBorders>
                  <w:noWrap w:val="0"/>
                  <w:vAlign w:val="center"/>
                </w:tcPr>
                <w:p w14:paraId="47908080">
                  <w:pPr>
                    <w:adjustRightInd w:val="0"/>
                    <w:snapToGrid w:val="0"/>
                    <w:jc w:val="center"/>
                    <w:rPr>
                      <w:color w:val="auto"/>
                    </w:rPr>
                  </w:pPr>
                </w:p>
              </w:tc>
              <w:tc>
                <w:tcPr>
                  <w:tcW w:w="348" w:type="pct"/>
                  <w:vMerge w:val="continue"/>
                  <w:tcBorders>
                    <w:tl2br w:val="nil"/>
                    <w:tr2bl w:val="nil"/>
                  </w:tcBorders>
                  <w:noWrap w:val="0"/>
                  <w:vAlign w:val="center"/>
                </w:tcPr>
                <w:p w14:paraId="15576B38">
                  <w:pPr>
                    <w:adjustRightInd w:val="0"/>
                    <w:snapToGrid w:val="0"/>
                    <w:jc w:val="center"/>
                    <w:rPr>
                      <w:color w:val="auto"/>
                    </w:rPr>
                  </w:pPr>
                </w:p>
              </w:tc>
              <w:tc>
                <w:tcPr>
                  <w:tcW w:w="348" w:type="pct"/>
                  <w:vMerge w:val="continue"/>
                  <w:tcBorders>
                    <w:tl2br w:val="nil"/>
                    <w:tr2bl w:val="nil"/>
                  </w:tcBorders>
                  <w:noWrap w:val="0"/>
                  <w:vAlign w:val="center"/>
                </w:tcPr>
                <w:p w14:paraId="31048FB5">
                  <w:pPr>
                    <w:adjustRightInd w:val="0"/>
                    <w:snapToGrid w:val="0"/>
                    <w:jc w:val="center"/>
                    <w:rPr>
                      <w:color w:val="auto"/>
                    </w:rPr>
                  </w:pPr>
                </w:p>
              </w:tc>
              <w:tc>
                <w:tcPr>
                  <w:tcW w:w="275" w:type="pct"/>
                  <w:tcBorders>
                    <w:tl2br w:val="nil"/>
                    <w:tr2bl w:val="nil"/>
                  </w:tcBorders>
                  <w:noWrap w:val="0"/>
                  <w:vAlign w:val="center"/>
                </w:tcPr>
                <w:p w14:paraId="00767030">
                  <w:pPr>
                    <w:adjustRightInd w:val="0"/>
                    <w:snapToGrid w:val="0"/>
                    <w:jc w:val="center"/>
                    <w:rPr>
                      <w:color w:val="auto"/>
                    </w:rPr>
                  </w:pPr>
                  <w:r>
                    <w:rPr>
                      <w:rFonts w:hint="eastAsia"/>
                      <w:color w:val="auto"/>
                      <w:lang w:val="en-US" w:eastAsia="zh-CN"/>
                    </w:rPr>
                    <w:t>2000</w:t>
                  </w:r>
                </w:p>
              </w:tc>
              <w:tc>
                <w:tcPr>
                  <w:tcW w:w="335" w:type="pct"/>
                  <w:tcBorders>
                    <w:tl2br w:val="nil"/>
                    <w:tr2bl w:val="nil"/>
                  </w:tcBorders>
                  <w:noWrap w:val="0"/>
                  <w:vAlign w:val="center"/>
                </w:tcPr>
                <w:p w14:paraId="279D3FC4">
                  <w:pPr>
                    <w:adjustRightInd w:val="0"/>
                    <w:snapToGrid w:val="0"/>
                    <w:jc w:val="center"/>
                    <w:rPr>
                      <w:rFonts w:hint="default"/>
                      <w:color w:val="auto"/>
                      <w:highlight w:val="none"/>
                    </w:rPr>
                  </w:pPr>
                  <w:r>
                    <w:rPr>
                      <w:rFonts w:hint="eastAsia"/>
                      <w:color w:val="auto"/>
                      <w:highlight w:val="none"/>
                      <w:lang w:eastAsia="zh-CN"/>
                    </w:rPr>
                    <w:t>1</w:t>
                  </w:r>
                  <w:r>
                    <w:rPr>
                      <w:rFonts w:hint="eastAsia"/>
                      <w:color w:val="auto"/>
                      <w:highlight w:val="none"/>
                      <w:lang w:val="en-US" w:eastAsia="zh-CN"/>
                    </w:rPr>
                    <w:t>20</w:t>
                  </w:r>
                </w:p>
              </w:tc>
            </w:tr>
            <w:tr w14:paraId="491187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389" w:type="pct"/>
                  <w:vMerge w:val="continue"/>
                  <w:tcBorders>
                    <w:tl2br w:val="nil"/>
                    <w:tr2bl w:val="nil"/>
                  </w:tcBorders>
                  <w:noWrap w:val="0"/>
                  <w:vAlign w:val="center"/>
                </w:tcPr>
                <w:p w14:paraId="32DD080F">
                  <w:pPr>
                    <w:adjustRightInd w:val="0"/>
                    <w:snapToGrid w:val="0"/>
                    <w:jc w:val="center"/>
                    <w:rPr>
                      <w:color w:val="auto"/>
                    </w:rPr>
                  </w:pPr>
                </w:p>
              </w:tc>
              <w:tc>
                <w:tcPr>
                  <w:tcW w:w="375" w:type="pct"/>
                  <w:tcBorders>
                    <w:tl2br w:val="nil"/>
                    <w:tr2bl w:val="nil"/>
                  </w:tcBorders>
                  <w:noWrap w:val="0"/>
                  <w:vAlign w:val="center"/>
                </w:tcPr>
                <w:p w14:paraId="61A3ED48">
                  <w:pPr>
                    <w:adjustRightInd w:val="0"/>
                    <w:snapToGrid w:val="0"/>
                    <w:jc w:val="center"/>
                    <w:rPr>
                      <w:color w:val="auto"/>
                    </w:rPr>
                  </w:pPr>
                  <w:r>
                    <w:rPr>
                      <w:rFonts w:hint="eastAsia"/>
                      <w:color w:val="auto"/>
                      <w:lang w:val="en-US" w:eastAsia="zh-CN"/>
                    </w:rPr>
                    <w:t>变色材料制备工序</w:t>
                  </w:r>
                </w:p>
              </w:tc>
              <w:tc>
                <w:tcPr>
                  <w:tcW w:w="340" w:type="pct"/>
                  <w:tcBorders>
                    <w:tl2br w:val="nil"/>
                    <w:tr2bl w:val="nil"/>
                  </w:tcBorders>
                  <w:noWrap w:val="0"/>
                  <w:vAlign w:val="center"/>
                </w:tcPr>
                <w:p w14:paraId="7CAD99E2">
                  <w:pPr>
                    <w:adjustRightInd w:val="0"/>
                    <w:snapToGrid w:val="0"/>
                    <w:jc w:val="center"/>
                    <w:rPr>
                      <w:color w:val="auto"/>
                    </w:rPr>
                  </w:pPr>
                  <w:r>
                    <w:rPr>
                      <w:rFonts w:hint="eastAsia"/>
                      <w:color w:val="auto"/>
                    </w:rPr>
                    <w:t>非甲烷总烃</w:t>
                  </w:r>
                </w:p>
              </w:tc>
              <w:tc>
                <w:tcPr>
                  <w:tcW w:w="275" w:type="pct"/>
                  <w:vMerge w:val="continue"/>
                  <w:tcBorders>
                    <w:tl2br w:val="nil"/>
                    <w:tr2bl w:val="nil"/>
                  </w:tcBorders>
                  <w:noWrap w:val="0"/>
                  <w:vAlign w:val="center"/>
                </w:tcPr>
                <w:p w14:paraId="4630E84D">
                  <w:pPr>
                    <w:adjustRightInd w:val="0"/>
                    <w:snapToGrid w:val="0"/>
                    <w:jc w:val="center"/>
                    <w:rPr>
                      <w:color w:val="auto"/>
                    </w:rPr>
                  </w:pPr>
                </w:p>
              </w:tc>
              <w:tc>
                <w:tcPr>
                  <w:tcW w:w="336" w:type="pct"/>
                  <w:tcBorders>
                    <w:tl2br w:val="nil"/>
                    <w:tr2bl w:val="nil"/>
                  </w:tcBorders>
                  <w:noWrap w:val="0"/>
                  <w:vAlign w:val="center"/>
                </w:tcPr>
                <w:p w14:paraId="5A55693B">
                  <w:pPr>
                    <w:adjustRightInd w:val="0"/>
                    <w:snapToGrid w:val="0"/>
                    <w:jc w:val="center"/>
                    <w:rPr>
                      <w:rFonts w:hint="default"/>
                      <w:color w:val="auto"/>
                      <w:lang w:val="en-US"/>
                    </w:rPr>
                  </w:pPr>
                  <w:r>
                    <w:rPr>
                      <w:rFonts w:hint="eastAsia"/>
                      <w:color w:val="auto"/>
                      <w:lang w:val="en-US" w:eastAsia="zh-CN"/>
                    </w:rPr>
                    <w:t>0.143</w:t>
                  </w:r>
                </w:p>
              </w:tc>
              <w:tc>
                <w:tcPr>
                  <w:tcW w:w="361" w:type="pct"/>
                  <w:vMerge w:val="continue"/>
                  <w:tcBorders>
                    <w:tl2br w:val="nil"/>
                    <w:tr2bl w:val="nil"/>
                  </w:tcBorders>
                  <w:noWrap w:val="0"/>
                  <w:vAlign w:val="center"/>
                </w:tcPr>
                <w:p w14:paraId="286D1887">
                  <w:pPr>
                    <w:adjustRightInd w:val="0"/>
                    <w:snapToGrid w:val="0"/>
                    <w:jc w:val="center"/>
                    <w:rPr>
                      <w:color w:val="auto"/>
                    </w:rPr>
                  </w:pPr>
                </w:p>
              </w:tc>
              <w:tc>
                <w:tcPr>
                  <w:tcW w:w="336" w:type="pct"/>
                  <w:vMerge w:val="continue"/>
                  <w:tcBorders>
                    <w:tl2br w:val="nil"/>
                    <w:tr2bl w:val="nil"/>
                  </w:tcBorders>
                  <w:noWrap w:val="0"/>
                  <w:vAlign w:val="center"/>
                </w:tcPr>
                <w:p w14:paraId="735B5676">
                  <w:pPr>
                    <w:adjustRightInd w:val="0"/>
                    <w:snapToGrid w:val="0"/>
                    <w:jc w:val="center"/>
                    <w:rPr>
                      <w:color w:val="auto"/>
                    </w:rPr>
                  </w:pPr>
                </w:p>
              </w:tc>
              <w:tc>
                <w:tcPr>
                  <w:tcW w:w="535" w:type="pct"/>
                  <w:vMerge w:val="continue"/>
                  <w:tcBorders>
                    <w:tl2br w:val="nil"/>
                    <w:tr2bl w:val="nil"/>
                  </w:tcBorders>
                  <w:noWrap w:val="0"/>
                  <w:vAlign w:val="center"/>
                </w:tcPr>
                <w:p w14:paraId="01566F34">
                  <w:pPr>
                    <w:adjustRightInd w:val="0"/>
                    <w:snapToGrid w:val="0"/>
                    <w:jc w:val="center"/>
                    <w:rPr>
                      <w:color w:val="auto"/>
                      <w:highlight w:val="green"/>
                    </w:rPr>
                  </w:pPr>
                </w:p>
              </w:tc>
              <w:tc>
                <w:tcPr>
                  <w:tcW w:w="416" w:type="pct"/>
                  <w:vMerge w:val="continue"/>
                  <w:tcBorders>
                    <w:tl2br w:val="nil"/>
                    <w:tr2bl w:val="nil"/>
                  </w:tcBorders>
                  <w:noWrap w:val="0"/>
                  <w:vAlign w:val="center"/>
                </w:tcPr>
                <w:p w14:paraId="535D4FE3">
                  <w:pPr>
                    <w:adjustRightInd w:val="0"/>
                    <w:snapToGrid w:val="0"/>
                    <w:jc w:val="center"/>
                    <w:rPr>
                      <w:color w:val="auto"/>
                      <w:highlight w:val="green"/>
                    </w:rPr>
                  </w:pPr>
                </w:p>
              </w:tc>
              <w:tc>
                <w:tcPr>
                  <w:tcW w:w="324" w:type="pct"/>
                  <w:vMerge w:val="continue"/>
                  <w:tcBorders>
                    <w:tl2br w:val="nil"/>
                    <w:tr2bl w:val="nil"/>
                  </w:tcBorders>
                  <w:noWrap w:val="0"/>
                  <w:vAlign w:val="center"/>
                </w:tcPr>
                <w:p w14:paraId="15CBB2D4">
                  <w:pPr>
                    <w:adjustRightInd w:val="0"/>
                    <w:snapToGrid w:val="0"/>
                    <w:jc w:val="center"/>
                    <w:rPr>
                      <w:color w:val="auto"/>
                    </w:rPr>
                  </w:pPr>
                </w:p>
              </w:tc>
              <w:tc>
                <w:tcPr>
                  <w:tcW w:w="348" w:type="pct"/>
                  <w:vMerge w:val="continue"/>
                  <w:tcBorders>
                    <w:tl2br w:val="nil"/>
                    <w:tr2bl w:val="nil"/>
                  </w:tcBorders>
                  <w:noWrap w:val="0"/>
                  <w:vAlign w:val="center"/>
                </w:tcPr>
                <w:p w14:paraId="7FD89022">
                  <w:pPr>
                    <w:adjustRightInd w:val="0"/>
                    <w:snapToGrid w:val="0"/>
                    <w:jc w:val="center"/>
                    <w:rPr>
                      <w:color w:val="auto"/>
                    </w:rPr>
                  </w:pPr>
                </w:p>
              </w:tc>
              <w:tc>
                <w:tcPr>
                  <w:tcW w:w="348" w:type="pct"/>
                  <w:vMerge w:val="continue"/>
                  <w:tcBorders>
                    <w:tl2br w:val="nil"/>
                    <w:tr2bl w:val="nil"/>
                  </w:tcBorders>
                  <w:noWrap w:val="0"/>
                  <w:vAlign w:val="center"/>
                </w:tcPr>
                <w:p w14:paraId="538621C2">
                  <w:pPr>
                    <w:adjustRightInd w:val="0"/>
                    <w:snapToGrid w:val="0"/>
                    <w:jc w:val="center"/>
                    <w:rPr>
                      <w:color w:val="auto"/>
                    </w:rPr>
                  </w:pPr>
                </w:p>
              </w:tc>
              <w:tc>
                <w:tcPr>
                  <w:tcW w:w="275" w:type="pct"/>
                  <w:tcBorders>
                    <w:tl2br w:val="nil"/>
                    <w:tr2bl w:val="nil"/>
                  </w:tcBorders>
                  <w:noWrap w:val="0"/>
                  <w:vAlign w:val="center"/>
                </w:tcPr>
                <w:p w14:paraId="3CAEE8D6">
                  <w:pPr>
                    <w:adjustRightInd w:val="0"/>
                    <w:snapToGrid w:val="0"/>
                    <w:jc w:val="center"/>
                    <w:rPr>
                      <w:color w:val="auto"/>
                    </w:rPr>
                  </w:pPr>
                  <w:r>
                    <w:rPr>
                      <w:rFonts w:hint="eastAsia"/>
                      <w:color w:val="auto"/>
                      <w:lang w:val="en-US" w:eastAsia="zh-CN"/>
                    </w:rPr>
                    <w:t>2000</w:t>
                  </w:r>
                </w:p>
              </w:tc>
              <w:tc>
                <w:tcPr>
                  <w:tcW w:w="335" w:type="pct"/>
                  <w:tcBorders>
                    <w:tl2br w:val="nil"/>
                    <w:tr2bl w:val="nil"/>
                  </w:tcBorders>
                  <w:noWrap w:val="0"/>
                  <w:vAlign w:val="center"/>
                </w:tcPr>
                <w:p w14:paraId="7A3E8438">
                  <w:pPr>
                    <w:adjustRightInd w:val="0"/>
                    <w:snapToGrid w:val="0"/>
                    <w:jc w:val="center"/>
                    <w:rPr>
                      <w:rFonts w:hint="default"/>
                      <w:color w:val="auto"/>
                      <w:highlight w:val="none"/>
                    </w:rPr>
                  </w:pPr>
                  <w:r>
                    <w:rPr>
                      <w:rFonts w:hint="eastAsia"/>
                      <w:color w:val="auto"/>
                      <w:highlight w:val="none"/>
                      <w:lang w:eastAsia="zh-CN"/>
                    </w:rPr>
                    <w:t>1</w:t>
                  </w:r>
                  <w:r>
                    <w:rPr>
                      <w:rFonts w:hint="eastAsia"/>
                      <w:color w:val="auto"/>
                      <w:highlight w:val="none"/>
                      <w:lang w:val="en-US" w:eastAsia="zh-CN"/>
                    </w:rPr>
                    <w:t>20</w:t>
                  </w:r>
                </w:p>
              </w:tc>
            </w:tr>
            <w:tr w14:paraId="314E65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389" w:type="pct"/>
                  <w:vMerge w:val="continue"/>
                  <w:tcBorders>
                    <w:tl2br w:val="nil"/>
                    <w:tr2bl w:val="nil"/>
                  </w:tcBorders>
                  <w:noWrap w:val="0"/>
                  <w:vAlign w:val="center"/>
                </w:tcPr>
                <w:p w14:paraId="19F06D6B">
                  <w:pPr>
                    <w:adjustRightInd w:val="0"/>
                    <w:snapToGrid w:val="0"/>
                    <w:jc w:val="center"/>
                    <w:rPr>
                      <w:color w:val="auto"/>
                    </w:rPr>
                  </w:pPr>
                </w:p>
              </w:tc>
              <w:tc>
                <w:tcPr>
                  <w:tcW w:w="375" w:type="pct"/>
                  <w:tcBorders>
                    <w:tl2br w:val="nil"/>
                    <w:tr2bl w:val="nil"/>
                  </w:tcBorders>
                  <w:noWrap w:val="0"/>
                  <w:vAlign w:val="center"/>
                </w:tcPr>
                <w:p w14:paraId="3C435485">
                  <w:pPr>
                    <w:adjustRightInd w:val="0"/>
                    <w:snapToGrid w:val="0"/>
                    <w:jc w:val="center"/>
                    <w:rPr>
                      <w:color w:val="auto"/>
                    </w:rPr>
                  </w:pPr>
                  <w:r>
                    <w:rPr>
                      <w:rFonts w:hint="eastAsia"/>
                      <w:color w:val="auto"/>
                      <w:lang w:val="en-US" w:eastAsia="zh-CN"/>
                    </w:rPr>
                    <w:t>敏感层制备工序</w:t>
                  </w:r>
                </w:p>
              </w:tc>
              <w:tc>
                <w:tcPr>
                  <w:tcW w:w="340" w:type="pct"/>
                  <w:tcBorders>
                    <w:tl2br w:val="nil"/>
                    <w:tr2bl w:val="nil"/>
                  </w:tcBorders>
                  <w:noWrap w:val="0"/>
                  <w:vAlign w:val="center"/>
                </w:tcPr>
                <w:p w14:paraId="42E456D6">
                  <w:pPr>
                    <w:adjustRightInd w:val="0"/>
                    <w:snapToGrid w:val="0"/>
                    <w:jc w:val="center"/>
                    <w:rPr>
                      <w:color w:val="auto"/>
                    </w:rPr>
                  </w:pPr>
                  <w:r>
                    <w:rPr>
                      <w:rFonts w:hint="eastAsia"/>
                      <w:color w:val="auto"/>
                    </w:rPr>
                    <w:t>非甲烷总烃</w:t>
                  </w:r>
                </w:p>
              </w:tc>
              <w:tc>
                <w:tcPr>
                  <w:tcW w:w="275" w:type="pct"/>
                  <w:vMerge w:val="continue"/>
                  <w:tcBorders>
                    <w:tl2br w:val="nil"/>
                    <w:tr2bl w:val="nil"/>
                  </w:tcBorders>
                  <w:noWrap w:val="0"/>
                  <w:vAlign w:val="center"/>
                </w:tcPr>
                <w:p w14:paraId="5E28B93B">
                  <w:pPr>
                    <w:adjustRightInd w:val="0"/>
                    <w:snapToGrid w:val="0"/>
                    <w:jc w:val="center"/>
                    <w:rPr>
                      <w:color w:val="auto"/>
                    </w:rPr>
                  </w:pPr>
                </w:p>
              </w:tc>
              <w:tc>
                <w:tcPr>
                  <w:tcW w:w="336" w:type="pct"/>
                  <w:tcBorders>
                    <w:tl2br w:val="nil"/>
                    <w:tr2bl w:val="nil"/>
                  </w:tcBorders>
                  <w:noWrap w:val="0"/>
                  <w:vAlign w:val="center"/>
                </w:tcPr>
                <w:p w14:paraId="280497C2">
                  <w:pPr>
                    <w:adjustRightInd w:val="0"/>
                    <w:snapToGrid w:val="0"/>
                    <w:jc w:val="center"/>
                    <w:rPr>
                      <w:color w:val="auto"/>
                    </w:rPr>
                  </w:pPr>
                  <w:r>
                    <w:rPr>
                      <w:rFonts w:hint="eastAsia"/>
                      <w:color w:val="auto"/>
                      <w:lang w:val="en-US" w:eastAsia="zh-CN"/>
                    </w:rPr>
                    <w:t>0.118</w:t>
                  </w:r>
                </w:p>
              </w:tc>
              <w:tc>
                <w:tcPr>
                  <w:tcW w:w="361" w:type="pct"/>
                  <w:vMerge w:val="continue"/>
                  <w:tcBorders>
                    <w:tl2br w:val="nil"/>
                    <w:tr2bl w:val="nil"/>
                  </w:tcBorders>
                  <w:noWrap w:val="0"/>
                  <w:vAlign w:val="center"/>
                </w:tcPr>
                <w:p w14:paraId="1BD12DC7">
                  <w:pPr>
                    <w:adjustRightInd w:val="0"/>
                    <w:snapToGrid w:val="0"/>
                    <w:jc w:val="center"/>
                    <w:rPr>
                      <w:color w:val="auto"/>
                    </w:rPr>
                  </w:pPr>
                </w:p>
              </w:tc>
              <w:tc>
                <w:tcPr>
                  <w:tcW w:w="336" w:type="pct"/>
                  <w:vMerge w:val="continue"/>
                  <w:tcBorders>
                    <w:tl2br w:val="nil"/>
                    <w:tr2bl w:val="nil"/>
                  </w:tcBorders>
                  <w:noWrap w:val="0"/>
                  <w:vAlign w:val="center"/>
                </w:tcPr>
                <w:p w14:paraId="35AB4E1B">
                  <w:pPr>
                    <w:adjustRightInd w:val="0"/>
                    <w:snapToGrid w:val="0"/>
                    <w:jc w:val="center"/>
                    <w:rPr>
                      <w:color w:val="auto"/>
                    </w:rPr>
                  </w:pPr>
                </w:p>
              </w:tc>
              <w:tc>
                <w:tcPr>
                  <w:tcW w:w="535" w:type="pct"/>
                  <w:vMerge w:val="continue"/>
                  <w:tcBorders>
                    <w:tl2br w:val="nil"/>
                    <w:tr2bl w:val="nil"/>
                  </w:tcBorders>
                  <w:noWrap w:val="0"/>
                  <w:vAlign w:val="center"/>
                </w:tcPr>
                <w:p w14:paraId="77F93D57">
                  <w:pPr>
                    <w:adjustRightInd w:val="0"/>
                    <w:snapToGrid w:val="0"/>
                    <w:jc w:val="center"/>
                    <w:rPr>
                      <w:color w:val="auto"/>
                      <w:highlight w:val="green"/>
                    </w:rPr>
                  </w:pPr>
                </w:p>
              </w:tc>
              <w:tc>
                <w:tcPr>
                  <w:tcW w:w="416" w:type="pct"/>
                  <w:vMerge w:val="continue"/>
                  <w:tcBorders>
                    <w:tl2br w:val="nil"/>
                    <w:tr2bl w:val="nil"/>
                  </w:tcBorders>
                  <w:noWrap w:val="0"/>
                  <w:vAlign w:val="center"/>
                </w:tcPr>
                <w:p w14:paraId="3F641B3C">
                  <w:pPr>
                    <w:adjustRightInd w:val="0"/>
                    <w:snapToGrid w:val="0"/>
                    <w:jc w:val="center"/>
                    <w:rPr>
                      <w:color w:val="auto"/>
                      <w:highlight w:val="green"/>
                    </w:rPr>
                  </w:pPr>
                </w:p>
              </w:tc>
              <w:tc>
                <w:tcPr>
                  <w:tcW w:w="324" w:type="pct"/>
                  <w:vMerge w:val="continue"/>
                  <w:tcBorders>
                    <w:tl2br w:val="nil"/>
                    <w:tr2bl w:val="nil"/>
                  </w:tcBorders>
                  <w:noWrap w:val="0"/>
                  <w:vAlign w:val="center"/>
                </w:tcPr>
                <w:p w14:paraId="651AB3AA">
                  <w:pPr>
                    <w:adjustRightInd w:val="0"/>
                    <w:snapToGrid w:val="0"/>
                    <w:jc w:val="center"/>
                    <w:rPr>
                      <w:color w:val="auto"/>
                    </w:rPr>
                  </w:pPr>
                </w:p>
              </w:tc>
              <w:tc>
                <w:tcPr>
                  <w:tcW w:w="348" w:type="pct"/>
                  <w:vMerge w:val="continue"/>
                  <w:tcBorders>
                    <w:tl2br w:val="nil"/>
                    <w:tr2bl w:val="nil"/>
                  </w:tcBorders>
                  <w:noWrap w:val="0"/>
                  <w:vAlign w:val="center"/>
                </w:tcPr>
                <w:p w14:paraId="1CBAEF01">
                  <w:pPr>
                    <w:adjustRightInd w:val="0"/>
                    <w:snapToGrid w:val="0"/>
                    <w:jc w:val="center"/>
                    <w:rPr>
                      <w:color w:val="auto"/>
                    </w:rPr>
                  </w:pPr>
                </w:p>
              </w:tc>
              <w:tc>
                <w:tcPr>
                  <w:tcW w:w="348" w:type="pct"/>
                  <w:vMerge w:val="continue"/>
                  <w:tcBorders>
                    <w:tl2br w:val="nil"/>
                    <w:tr2bl w:val="nil"/>
                  </w:tcBorders>
                  <w:noWrap w:val="0"/>
                  <w:vAlign w:val="center"/>
                </w:tcPr>
                <w:p w14:paraId="5D9E686B">
                  <w:pPr>
                    <w:adjustRightInd w:val="0"/>
                    <w:snapToGrid w:val="0"/>
                    <w:jc w:val="center"/>
                    <w:rPr>
                      <w:color w:val="auto"/>
                    </w:rPr>
                  </w:pPr>
                </w:p>
              </w:tc>
              <w:tc>
                <w:tcPr>
                  <w:tcW w:w="275" w:type="pct"/>
                  <w:tcBorders>
                    <w:tl2br w:val="nil"/>
                    <w:tr2bl w:val="nil"/>
                  </w:tcBorders>
                  <w:noWrap w:val="0"/>
                  <w:vAlign w:val="center"/>
                </w:tcPr>
                <w:p w14:paraId="2675F7B9">
                  <w:pPr>
                    <w:adjustRightInd w:val="0"/>
                    <w:snapToGrid w:val="0"/>
                    <w:jc w:val="center"/>
                    <w:rPr>
                      <w:color w:val="auto"/>
                    </w:rPr>
                  </w:pPr>
                  <w:r>
                    <w:rPr>
                      <w:rFonts w:hint="eastAsia"/>
                      <w:color w:val="auto"/>
                      <w:lang w:val="en-US" w:eastAsia="zh-CN"/>
                    </w:rPr>
                    <w:t>2000</w:t>
                  </w:r>
                </w:p>
              </w:tc>
              <w:tc>
                <w:tcPr>
                  <w:tcW w:w="335" w:type="pct"/>
                  <w:tcBorders>
                    <w:tl2br w:val="nil"/>
                    <w:tr2bl w:val="nil"/>
                  </w:tcBorders>
                  <w:noWrap w:val="0"/>
                  <w:vAlign w:val="center"/>
                </w:tcPr>
                <w:p w14:paraId="2D364412">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120</w:t>
                  </w:r>
                </w:p>
              </w:tc>
            </w:tr>
            <w:tr w14:paraId="43C853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765" w:type="pct"/>
                  <w:gridSpan w:val="2"/>
                  <w:tcBorders>
                    <w:tl2br w:val="nil"/>
                    <w:tr2bl w:val="nil"/>
                  </w:tcBorders>
                  <w:noWrap w:val="0"/>
                  <w:vAlign w:val="center"/>
                </w:tcPr>
                <w:p w14:paraId="6B3D2B96">
                  <w:pPr>
                    <w:adjustRightInd w:val="0"/>
                    <w:snapToGrid w:val="0"/>
                    <w:jc w:val="center"/>
                    <w:rPr>
                      <w:rFonts w:hint="default"/>
                      <w:color w:val="auto"/>
                      <w:lang w:val="en-US"/>
                    </w:rPr>
                  </w:pPr>
                  <w:r>
                    <w:rPr>
                      <w:rFonts w:hint="default"/>
                      <w:color w:val="auto"/>
                      <w:lang w:val="en-US" w:eastAsia="zh-CN"/>
                    </w:rPr>
                    <w:t>催化浆料配制</w:t>
                  </w:r>
                  <w:r>
                    <w:rPr>
                      <w:rFonts w:hint="eastAsia"/>
                      <w:color w:val="auto"/>
                      <w:lang w:val="en-US" w:eastAsia="zh-CN"/>
                    </w:rPr>
                    <w:t>废气</w:t>
                  </w:r>
                </w:p>
              </w:tc>
              <w:tc>
                <w:tcPr>
                  <w:tcW w:w="340" w:type="pct"/>
                  <w:vMerge w:val="restart"/>
                  <w:tcBorders>
                    <w:tl2br w:val="nil"/>
                    <w:tr2bl w:val="nil"/>
                  </w:tcBorders>
                  <w:noWrap w:val="0"/>
                  <w:vAlign w:val="center"/>
                </w:tcPr>
                <w:p w14:paraId="139A7631">
                  <w:pPr>
                    <w:adjustRightInd w:val="0"/>
                    <w:snapToGrid w:val="0"/>
                    <w:jc w:val="center"/>
                    <w:rPr>
                      <w:color w:val="auto"/>
                    </w:rPr>
                  </w:pPr>
                  <w:r>
                    <w:rPr>
                      <w:rFonts w:hint="eastAsia"/>
                      <w:color w:val="auto"/>
                    </w:rPr>
                    <w:t>非甲烷总烃</w:t>
                  </w:r>
                </w:p>
              </w:tc>
              <w:tc>
                <w:tcPr>
                  <w:tcW w:w="275" w:type="pct"/>
                  <w:vMerge w:val="restart"/>
                  <w:tcBorders>
                    <w:tl2br w:val="nil"/>
                    <w:tr2bl w:val="nil"/>
                  </w:tcBorders>
                  <w:noWrap w:val="0"/>
                  <w:vAlign w:val="center"/>
                </w:tcPr>
                <w:p w14:paraId="2F8BFCED">
                  <w:pPr>
                    <w:adjustRightInd w:val="0"/>
                    <w:snapToGrid w:val="0"/>
                    <w:jc w:val="center"/>
                    <w:rPr>
                      <w:color w:val="auto"/>
                    </w:rPr>
                  </w:pPr>
                  <w:r>
                    <w:rPr>
                      <w:rFonts w:hint="eastAsia"/>
                      <w:color w:val="auto"/>
                    </w:rPr>
                    <w:t>无组织</w:t>
                  </w:r>
                </w:p>
              </w:tc>
              <w:tc>
                <w:tcPr>
                  <w:tcW w:w="336" w:type="pct"/>
                  <w:tcBorders>
                    <w:tl2br w:val="nil"/>
                    <w:tr2bl w:val="nil"/>
                  </w:tcBorders>
                  <w:noWrap w:val="0"/>
                  <w:vAlign w:val="center"/>
                </w:tcPr>
                <w:p w14:paraId="3CD2AC0B">
                  <w:pPr>
                    <w:adjustRightInd w:val="0"/>
                    <w:snapToGrid w:val="0"/>
                    <w:jc w:val="center"/>
                    <w:rPr>
                      <w:rFonts w:hint="default" w:eastAsia="宋体"/>
                      <w:color w:val="auto"/>
                      <w:lang w:val="en-US" w:eastAsia="zh-CN"/>
                    </w:rPr>
                  </w:pPr>
                  <w:r>
                    <w:rPr>
                      <w:rFonts w:hint="eastAsia"/>
                      <w:color w:val="auto"/>
                      <w:lang w:val="en-US" w:eastAsia="zh-CN"/>
                    </w:rPr>
                    <w:t>0.0117</w:t>
                  </w:r>
                </w:p>
              </w:tc>
              <w:tc>
                <w:tcPr>
                  <w:tcW w:w="361" w:type="pct"/>
                  <w:tcBorders>
                    <w:tl2br w:val="nil"/>
                    <w:tr2bl w:val="nil"/>
                  </w:tcBorders>
                  <w:noWrap w:val="0"/>
                  <w:vAlign w:val="center"/>
                </w:tcPr>
                <w:p w14:paraId="57281006">
                  <w:pPr>
                    <w:keepNext w:val="0"/>
                    <w:keepLines w:val="0"/>
                    <w:widowControl/>
                    <w:suppressLineNumbers w:val="0"/>
                    <w:jc w:val="center"/>
                    <w:textAlignment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2"/>
                      <w:szCs w:val="22"/>
                      <w:u w:val="none"/>
                      <w:lang w:val="en-US" w:eastAsia="zh-CN" w:bidi="ar"/>
                    </w:rPr>
                    <w:t>0.0059</w:t>
                  </w:r>
                </w:p>
              </w:tc>
              <w:tc>
                <w:tcPr>
                  <w:tcW w:w="336" w:type="pct"/>
                  <w:vMerge w:val="restart"/>
                  <w:tcBorders>
                    <w:tl2br w:val="nil"/>
                    <w:tr2bl w:val="nil"/>
                  </w:tcBorders>
                  <w:noWrap w:val="0"/>
                  <w:vAlign w:val="center"/>
                </w:tcPr>
                <w:p w14:paraId="22042AC5">
                  <w:pPr>
                    <w:adjustRightInd w:val="0"/>
                    <w:snapToGrid w:val="0"/>
                    <w:jc w:val="center"/>
                    <w:rPr>
                      <w:color w:val="auto"/>
                    </w:rPr>
                  </w:pPr>
                  <w:r>
                    <w:rPr>
                      <w:rFonts w:hint="eastAsia"/>
                      <w:color w:val="auto"/>
                    </w:rPr>
                    <w:t>/</w:t>
                  </w:r>
                </w:p>
              </w:tc>
              <w:tc>
                <w:tcPr>
                  <w:tcW w:w="535" w:type="pct"/>
                  <w:vMerge w:val="restart"/>
                  <w:tcBorders>
                    <w:tl2br w:val="nil"/>
                    <w:tr2bl w:val="nil"/>
                  </w:tcBorders>
                  <w:noWrap w:val="0"/>
                  <w:vAlign w:val="center"/>
                </w:tcPr>
                <w:p w14:paraId="1D9B4139">
                  <w:pPr>
                    <w:adjustRightInd w:val="0"/>
                    <w:snapToGrid w:val="0"/>
                    <w:jc w:val="center"/>
                    <w:rPr>
                      <w:color w:val="auto"/>
                    </w:rPr>
                  </w:pPr>
                  <w:r>
                    <w:rPr>
                      <w:rFonts w:hint="eastAsia"/>
                      <w:color w:val="auto"/>
                    </w:rPr>
                    <w:t>车间通风，无组织排出</w:t>
                  </w:r>
                </w:p>
              </w:tc>
              <w:tc>
                <w:tcPr>
                  <w:tcW w:w="416" w:type="pct"/>
                  <w:vMerge w:val="restart"/>
                  <w:tcBorders>
                    <w:tl2br w:val="nil"/>
                    <w:tr2bl w:val="nil"/>
                  </w:tcBorders>
                  <w:noWrap w:val="0"/>
                  <w:vAlign w:val="center"/>
                </w:tcPr>
                <w:p w14:paraId="1DFD00AD">
                  <w:pPr>
                    <w:adjustRightInd w:val="0"/>
                    <w:snapToGrid w:val="0"/>
                    <w:jc w:val="center"/>
                    <w:rPr>
                      <w:rFonts w:hint="eastAsia" w:eastAsia="宋体"/>
                      <w:color w:val="auto"/>
                      <w:lang w:val="en-US" w:eastAsia="zh-CN"/>
                    </w:rPr>
                  </w:pPr>
                  <w:r>
                    <w:rPr>
                      <w:rFonts w:hint="eastAsia"/>
                      <w:color w:val="auto"/>
                      <w:lang w:val="en-US" w:eastAsia="zh-CN"/>
                    </w:rPr>
                    <w:t>/</w:t>
                  </w:r>
                </w:p>
              </w:tc>
              <w:tc>
                <w:tcPr>
                  <w:tcW w:w="324" w:type="pct"/>
                  <w:tcBorders>
                    <w:tl2br w:val="nil"/>
                    <w:tr2bl w:val="nil"/>
                  </w:tcBorders>
                  <w:noWrap w:val="0"/>
                  <w:vAlign w:val="center"/>
                </w:tcPr>
                <w:p w14:paraId="0925EA46">
                  <w:pPr>
                    <w:adjustRightInd w:val="0"/>
                    <w:snapToGrid w:val="0"/>
                    <w:jc w:val="center"/>
                    <w:rPr>
                      <w:color w:val="auto"/>
                      <w:kern w:val="2"/>
                      <w:sz w:val="21"/>
                      <w:szCs w:val="24"/>
                      <w:lang w:val="en-US" w:eastAsia="zh-CN" w:bidi="ar-SA"/>
                    </w:rPr>
                  </w:pPr>
                  <w:r>
                    <w:rPr>
                      <w:rFonts w:hint="eastAsia"/>
                      <w:color w:val="auto"/>
                      <w:lang w:val="en-US" w:eastAsia="zh-CN"/>
                    </w:rPr>
                    <w:t>0.0117</w:t>
                  </w:r>
                </w:p>
              </w:tc>
              <w:tc>
                <w:tcPr>
                  <w:tcW w:w="348" w:type="pct"/>
                  <w:tcBorders>
                    <w:tl2br w:val="nil"/>
                    <w:tr2bl w:val="nil"/>
                  </w:tcBorders>
                  <w:noWrap w:val="0"/>
                  <w:vAlign w:val="center"/>
                </w:tcPr>
                <w:p w14:paraId="2455AEC3">
                  <w:pPr>
                    <w:keepNext w:val="0"/>
                    <w:keepLines w:val="0"/>
                    <w:widowControl/>
                    <w:suppressLineNumbers w:val="0"/>
                    <w:jc w:val="right"/>
                    <w:textAlignment w:val="center"/>
                    <w:rPr>
                      <w:color w:val="auto"/>
                      <w:kern w:val="2"/>
                      <w:sz w:val="21"/>
                      <w:szCs w:val="24"/>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0.0059</w:t>
                  </w:r>
                </w:p>
              </w:tc>
              <w:tc>
                <w:tcPr>
                  <w:tcW w:w="348" w:type="pct"/>
                  <w:vMerge w:val="restart"/>
                  <w:tcBorders>
                    <w:tl2br w:val="nil"/>
                    <w:tr2bl w:val="nil"/>
                  </w:tcBorders>
                  <w:noWrap w:val="0"/>
                  <w:vAlign w:val="center"/>
                </w:tcPr>
                <w:p w14:paraId="540A1DF9">
                  <w:pPr>
                    <w:adjustRightInd w:val="0"/>
                    <w:snapToGrid w:val="0"/>
                    <w:jc w:val="center"/>
                    <w:rPr>
                      <w:rFonts w:hint="eastAsia" w:eastAsia="宋体"/>
                      <w:color w:val="auto"/>
                      <w:lang w:val="en-US" w:eastAsia="zh-CN"/>
                    </w:rPr>
                  </w:pPr>
                  <w:r>
                    <w:rPr>
                      <w:rFonts w:hint="eastAsia"/>
                      <w:color w:val="auto"/>
                      <w:lang w:val="en-US" w:eastAsia="zh-CN"/>
                    </w:rPr>
                    <w:t>/</w:t>
                  </w:r>
                </w:p>
              </w:tc>
              <w:tc>
                <w:tcPr>
                  <w:tcW w:w="275" w:type="pct"/>
                  <w:vMerge w:val="restart"/>
                  <w:tcBorders>
                    <w:tl2br w:val="nil"/>
                    <w:tr2bl w:val="nil"/>
                  </w:tcBorders>
                  <w:noWrap w:val="0"/>
                  <w:vAlign w:val="center"/>
                </w:tcPr>
                <w:p w14:paraId="09D6F383">
                  <w:pPr>
                    <w:adjustRightInd w:val="0"/>
                    <w:snapToGrid w:val="0"/>
                    <w:jc w:val="center"/>
                    <w:rPr>
                      <w:rFonts w:hint="default" w:eastAsia="宋体"/>
                      <w:color w:val="auto"/>
                      <w:lang w:val="en-US" w:eastAsia="zh-CN"/>
                    </w:rPr>
                  </w:pPr>
                  <w:r>
                    <w:rPr>
                      <w:rFonts w:hint="eastAsia"/>
                      <w:color w:val="auto"/>
                      <w:lang w:val="en-US" w:eastAsia="zh-CN"/>
                    </w:rPr>
                    <w:t>2000</w:t>
                  </w:r>
                </w:p>
              </w:tc>
              <w:tc>
                <w:tcPr>
                  <w:tcW w:w="335" w:type="pct"/>
                  <w:vMerge w:val="restart"/>
                  <w:tcBorders>
                    <w:tl2br w:val="nil"/>
                    <w:tr2bl w:val="nil"/>
                  </w:tcBorders>
                  <w:noWrap w:val="0"/>
                  <w:vAlign w:val="center"/>
                </w:tcPr>
                <w:p w14:paraId="17F2743A">
                  <w:pPr>
                    <w:adjustRightInd w:val="0"/>
                    <w:snapToGrid w:val="0"/>
                    <w:jc w:val="center"/>
                    <w:rPr>
                      <w:rFonts w:hint="eastAsia" w:eastAsia="宋体"/>
                      <w:color w:val="auto"/>
                      <w:highlight w:val="green"/>
                      <w:lang w:val="en-US" w:eastAsia="zh-CN"/>
                    </w:rPr>
                  </w:pPr>
                  <w:r>
                    <w:rPr>
                      <w:rFonts w:hint="eastAsia" w:eastAsia="宋体"/>
                      <w:color w:val="auto"/>
                      <w:szCs w:val="21"/>
                      <w:lang w:val="en-US" w:eastAsia="zh-CN"/>
                    </w:rPr>
                    <w:t>4</w:t>
                  </w:r>
                </w:p>
              </w:tc>
            </w:tr>
            <w:tr w14:paraId="4194C6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765" w:type="pct"/>
                  <w:gridSpan w:val="2"/>
                  <w:tcBorders>
                    <w:tl2br w:val="nil"/>
                    <w:tr2bl w:val="nil"/>
                  </w:tcBorders>
                  <w:noWrap w:val="0"/>
                  <w:vAlign w:val="center"/>
                </w:tcPr>
                <w:p w14:paraId="66F702BD">
                  <w:pPr>
                    <w:adjustRightInd w:val="0"/>
                    <w:snapToGrid w:val="0"/>
                    <w:jc w:val="center"/>
                    <w:rPr>
                      <w:rFonts w:hint="default"/>
                      <w:color w:val="auto"/>
                      <w:lang w:val="en-US"/>
                    </w:rPr>
                  </w:pPr>
                  <w:r>
                    <w:rPr>
                      <w:rFonts w:hint="eastAsia"/>
                      <w:color w:val="auto"/>
                      <w:lang w:val="en-US" w:eastAsia="zh-CN"/>
                    </w:rPr>
                    <w:t>催化剂涂覆膜制备废气</w:t>
                  </w:r>
                </w:p>
              </w:tc>
              <w:tc>
                <w:tcPr>
                  <w:tcW w:w="340" w:type="pct"/>
                  <w:vMerge w:val="continue"/>
                  <w:tcBorders>
                    <w:tl2br w:val="nil"/>
                    <w:tr2bl w:val="nil"/>
                  </w:tcBorders>
                  <w:noWrap w:val="0"/>
                  <w:vAlign w:val="center"/>
                </w:tcPr>
                <w:p w14:paraId="5C0D5929">
                  <w:pPr>
                    <w:adjustRightInd w:val="0"/>
                    <w:snapToGrid w:val="0"/>
                    <w:jc w:val="center"/>
                    <w:rPr>
                      <w:color w:val="auto"/>
                    </w:rPr>
                  </w:pPr>
                </w:p>
              </w:tc>
              <w:tc>
                <w:tcPr>
                  <w:tcW w:w="275" w:type="pct"/>
                  <w:vMerge w:val="continue"/>
                  <w:tcBorders>
                    <w:tl2br w:val="nil"/>
                    <w:tr2bl w:val="nil"/>
                  </w:tcBorders>
                  <w:noWrap w:val="0"/>
                  <w:vAlign w:val="center"/>
                </w:tcPr>
                <w:p w14:paraId="03D73B4A">
                  <w:pPr>
                    <w:adjustRightInd w:val="0"/>
                    <w:snapToGrid w:val="0"/>
                    <w:jc w:val="center"/>
                    <w:rPr>
                      <w:color w:val="auto"/>
                    </w:rPr>
                  </w:pPr>
                </w:p>
              </w:tc>
              <w:tc>
                <w:tcPr>
                  <w:tcW w:w="336" w:type="pct"/>
                  <w:tcBorders>
                    <w:tl2br w:val="nil"/>
                    <w:tr2bl w:val="nil"/>
                  </w:tcBorders>
                  <w:noWrap w:val="0"/>
                  <w:vAlign w:val="center"/>
                </w:tcPr>
                <w:p w14:paraId="1418A647">
                  <w:pPr>
                    <w:adjustRightInd w:val="0"/>
                    <w:snapToGrid w:val="0"/>
                    <w:jc w:val="center"/>
                    <w:rPr>
                      <w:rFonts w:hint="default" w:eastAsia="宋体"/>
                      <w:color w:val="auto"/>
                      <w:lang w:val="en-US" w:eastAsia="zh-CN"/>
                    </w:rPr>
                  </w:pPr>
                  <w:r>
                    <w:rPr>
                      <w:rFonts w:hint="eastAsia"/>
                      <w:color w:val="auto"/>
                      <w:lang w:val="en-US" w:eastAsia="zh-CN"/>
                    </w:rPr>
                    <w:t>0.021</w:t>
                  </w:r>
                </w:p>
              </w:tc>
              <w:tc>
                <w:tcPr>
                  <w:tcW w:w="361" w:type="pct"/>
                  <w:tcBorders>
                    <w:tl2br w:val="nil"/>
                    <w:tr2bl w:val="nil"/>
                  </w:tcBorders>
                  <w:noWrap w:val="0"/>
                  <w:vAlign w:val="center"/>
                </w:tcPr>
                <w:p w14:paraId="5E3B25E1">
                  <w:pPr>
                    <w:keepNext w:val="0"/>
                    <w:keepLines w:val="0"/>
                    <w:widowControl/>
                    <w:suppressLineNumbers w:val="0"/>
                    <w:jc w:val="center"/>
                    <w:textAlignment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2"/>
                      <w:szCs w:val="22"/>
                      <w:u w:val="none"/>
                      <w:lang w:val="en-US" w:eastAsia="zh-CN" w:bidi="ar"/>
                    </w:rPr>
                    <w:t>0.0105</w:t>
                  </w:r>
                </w:p>
              </w:tc>
              <w:tc>
                <w:tcPr>
                  <w:tcW w:w="336" w:type="pct"/>
                  <w:vMerge w:val="continue"/>
                  <w:tcBorders>
                    <w:tl2br w:val="nil"/>
                    <w:tr2bl w:val="nil"/>
                  </w:tcBorders>
                  <w:noWrap w:val="0"/>
                  <w:vAlign w:val="center"/>
                </w:tcPr>
                <w:p w14:paraId="5CEC5A26">
                  <w:pPr>
                    <w:adjustRightInd w:val="0"/>
                    <w:snapToGrid w:val="0"/>
                    <w:jc w:val="center"/>
                    <w:rPr>
                      <w:color w:val="auto"/>
                    </w:rPr>
                  </w:pPr>
                </w:p>
              </w:tc>
              <w:tc>
                <w:tcPr>
                  <w:tcW w:w="535" w:type="pct"/>
                  <w:vMerge w:val="continue"/>
                  <w:tcBorders>
                    <w:tl2br w:val="nil"/>
                    <w:tr2bl w:val="nil"/>
                  </w:tcBorders>
                  <w:noWrap w:val="0"/>
                  <w:vAlign w:val="center"/>
                </w:tcPr>
                <w:p w14:paraId="73D2C381">
                  <w:pPr>
                    <w:adjustRightInd w:val="0"/>
                    <w:snapToGrid w:val="0"/>
                    <w:jc w:val="center"/>
                    <w:rPr>
                      <w:color w:val="auto"/>
                    </w:rPr>
                  </w:pPr>
                </w:p>
              </w:tc>
              <w:tc>
                <w:tcPr>
                  <w:tcW w:w="416" w:type="pct"/>
                  <w:vMerge w:val="continue"/>
                  <w:tcBorders>
                    <w:tl2br w:val="nil"/>
                    <w:tr2bl w:val="nil"/>
                  </w:tcBorders>
                  <w:noWrap w:val="0"/>
                  <w:vAlign w:val="center"/>
                </w:tcPr>
                <w:p w14:paraId="3D88CC42">
                  <w:pPr>
                    <w:adjustRightInd w:val="0"/>
                    <w:snapToGrid w:val="0"/>
                    <w:jc w:val="center"/>
                    <w:rPr>
                      <w:color w:val="auto"/>
                    </w:rPr>
                  </w:pPr>
                </w:p>
              </w:tc>
              <w:tc>
                <w:tcPr>
                  <w:tcW w:w="324" w:type="pct"/>
                  <w:tcBorders>
                    <w:tl2br w:val="nil"/>
                    <w:tr2bl w:val="nil"/>
                  </w:tcBorders>
                  <w:noWrap w:val="0"/>
                  <w:vAlign w:val="center"/>
                </w:tcPr>
                <w:p w14:paraId="511267C5">
                  <w:pPr>
                    <w:adjustRightInd w:val="0"/>
                    <w:snapToGrid w:val="0"/>
                    <w:jc w:val="center"/>
                    <w:rPr>
                      <w:color w:val="auto"/>
                      <w:kern w:val="2"/>
                      <w:sz w:val="21"/>
                      <w:szCs w:val="24"/>
                      <w:lang w:val="en-US" w:eastAsia="zh-CN" w:bidi="ar-SA"/>
                    </w:rPr>
                  </w:pPr>
                  <w:r>
                    <w:rPr>
                      <w:rFonts w:hint="eastAsia"/>
                      <w:color w:val="auto"/>
                      <w:lang w:val="en-US" w:eastAsia="zh-CN"/>
                    </w:rPr>
                    <w:t>0.021</w:t>
                  </w:r>
                </w:p>
              </w:tc>
              <w:tc>
                <w:tcPr>
                  <w:tcW w:w="348" w:type="pct"/>
                  <w:tcBorders>
                    <w:tl2br w:val="nil"/>
                    <w:tr2bl w:val="nil"/>
                  </w:tcBorders>
                  <w:noWrap w:val="0"/>
                  <w:vAlign w:val="center"/>
                </w:tcPr>
                <w:p w14:paraId="6CE18022">
                  <w:pPr>
                    <w:keepNext w:val="0"/>
                    <w:keepLines w:val="0"/>
                    <w:widowControl/>
                    <w:suppressLineNumbers w:val="0"/>
                    <w:jc w:val="right"/>
                    <w:textAlignment w:val="center"/>
                    <w:rPr>
                      <w:color w:val="auto"/>
                      <w:kern w:val="2"/>
                      <w:sz w:val="21"/>
                      <w:szCs w:val="24"/>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0.0105</w:t>
                  </w:r>
                </w:p>
              </w:tc>
              <w:tc>
                <w:tcPr>
                  <w:tcW w:w="348" w:type="pct"/>
                  <w:vMerge w:val="continue"/>
                  <w:tcBorders>
                    <w:tl2br w:val="nil"/>
                    <w:tr2bl w:val="nil"/>
                  </w:tcBorders>
                  <w:noWrap w:val="0"/>
                  <w:vAlign w:val="center"/>
                </w:tcPr>
                <w:p w14:paraId="0FBC12FF">
                  <w:pPr>
                    <w:adjustRightInd w:val="0"/>
                    <w:snapToGrid w:val="0"/>
                    <w:jc w:val="center"/>
                    <w:rPr>
                      <w:color w:val="auto"/>
                    </w:rPr>
                  </w:pPr>
                </w:p>
              </w:tc>
              <w:tc>
                <w:tcPr>
                  <w:tcW w:w="275" w:type="pct"/>
                  <w:vMerge w:val="continue"/>
                  <w:tcBorders>
                    <w:tl2br w:val="nil"/>
                    <w:tr2bl w:val="nil"/>
                  </w:tcBorders>
                  <w:noWrap w:val="0"/>
                  <w:vAlign w:val="center"/>
                </w:tcPr>
                <w:p w14:paraId="48762C5A">
                  <w:pPr>
                    <w:adjustRightInd w:val="0"/>
                    <w:snapToGrid w:val="0"/>
                    <w:jc w:val="center"/>
                    <w:rPr>
                      <w:color w:val="auto"/>
                    </w:rPr>
                  </w:pPr>
                </w:p>
              </w:tc>
              <w:tc>
                <w:tcPr>
                  <w:tcW w:w="335" w:type="pct"/>
                  <w:vMerge w:val="continue"/>
                  <w:tcBorders>
                    <w:tl2br w:val="nil"/>
                    <w:tr2bl w:val="nil"/>
                  </w:tcBorders>
                  <w:noWrap w:val="0"/>
                  <w:vAlign w:val="center"/>
                </w:tcPr>
                <w:p w14:paraId="52C1F301">
                  <w:pPr>
                    <w:adjustRightInd w:val="0"/>
                    <w:snapToGrid w:val="0"/>
                    <w:jc w:val="center"/>
                    <w:rPr>
                      <w:color w:val="auto"/>
                      <w:highlight w:val="green"/>
                    </w:rPr>
                  </w:pPr>
                </w:p>
              </w:tc>
            </w:tr>
            <w:tr w14:paraId="37099A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65" w:type="pct"/>
                  <w:gridSpan w:val="2"/>
                  <w:tcBorders>
                    <w:tl2br w:val="nil"/>
                    <w:tr2bl w:val="nil"/>
                  </w:tcBorders>
                  <w:noWrap w:val="0"/>
                  <w:vAlign w:val="center"/>
                </w:tcPr>
                <w:p w14:paraId="3DF92762">
                  <w:pPr>
                    <w:adjustRightInd w:val="0"/>
                    <w:snapToGrid w:val="0"/>
                    <w:jc w:val="center"/>
                    <w:rPr>
                      <w:rFonts w:hint="default"/>
                      <w:color w:val="auto"/>
                      <w:lang w:val="en-US"/>
                    </w:rPr>
                  </w:pPr>
                  <w:r>
                    <w:rPr>
                      <w:rFonts w:hint="eastAsia"/>
                      <w:color w:val="auto"/>
                      <w:lang w:val="en-US" w:eastAsia="zh-CN"/>
                    </w:rPr>
                    <w:t>变色材料制备废气</w:t>
                  </w:r>
                </w:p>
              </w:tc>
              <w:tc>
                <w:tcPr>
                  <w:tcW w:w="340" w:type="pct"/>
                  <w:vMerge w:val="continue"/>
                  <w:tcBorders>
                    <w:tl2br w:val="nil"/>
                    <w:tr2bl w:val="nil"/>
                  </w:tcBorders>
                  <w:noWrap w:val="0"/>
                  <w:vAlign w:val="center"/>
                </w:tcPr>
                <w:p w14:paraId="3347A39D">
                  <w:pPr>
                    <w:adjustRightInd w:val="0"/>
                    <w:snapToGrid w:val="0"/>
                    <w:jc w:val="center"/>
                    <w:rPr>
                      <w:color w:val="auto"/>
                    </w:rPr>
                  </w:pPr>
                </w:p>
              </w:tc>
              <w:tc>
                <w:tcPr>
                  <w:tcW w:w="275" w:type="pct"/>
                  <w:vMerge w:val="continue"/>
                  <w:tcBorders>
                    <w:tl2br w:val="nil"/>
                    <w:tr2bl w:val="nil"/>
                  </w:tcBorders>
                  <w:noWrap w:val="0"/>
                  <w:vAlign w:val="center"/>
                </w:tcPr>
                <w:p w14:paraId="498A870D">
                  <w:pPr>
                    <w:adjustRightInd w:val="0"/>
                    <w:snapToGrid w:val="0"/>
                    <w:jc w:val="center"/>
                    <w:rPr>
                      <w:color w:val="auto"/>
                    </w:rPr>
                  </w:pPr>
                </w:p>
              </w:tc>
              <w:tc>
                <w:tcPr>
                  <w:tcW w:w="825" w:type="dxa"/>
                  <w:tcBorders>
                    <w:tl2br w:val="nil"/>
                    <w:tr2bl w:val="nil"/>
                  </w:tcBorders>
                  <w:noWrap w:val="0"/>
                  <w:vAlign w:val="center"/>
                </w:tcPr>
                <w:p w14:paraId="3180D755">
                  <w:pPr>
                    <w:adjustRightInd w:val="0"/>
                    <w:snapToGrid w:val="0"/>
                    <w:jc w:val="center"/>
                    <w:rPr>
                      <w:rFonts w:hint="default" w:eastAsia="宋体"/>
                      <w:color w:val="auto"/>
                      <w:lang w:val="en-US" w:eastAsia="zh-CN"/>
                    </w:rPr>
                  </w:pPr>
                  <w:r>
                    <w:rPr>
                      <w:rFonts w:hint="eastAsia"/>
                      <w:color w:val="auto"/>
                      <w:lang w:val="en-US" w:eastAsia="zh-CN"/>
                    </w:rPr>
                    <w:t>0.016</w:t>
                  </w:r>
                </w:p>
              </w:tc>
              <w:tc>
                <w:tcPr>
                  <w:tcW w:w="885" w:type="dxa"/>
                  <w:tcBorders>
                    <w:tl2br w:val="nil"/>
                    <w:tr2bl w:val="nil"/>
                  </w:tcBorders>
                  <w:noWrap w:val="0"/>
                  <w:vAlign w:val="center"/>
                </w:tcPr>
                <w:p w14:paraId="39E0FC06">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2"/>
                      <w:szCs w:val="22"/>
                      <w:u w:val="none"/>
                      <w:lang w:val="en-US" w:eastAsia="zh-CN" w:bidi="ar"/>
                    </w:rPr>
                    <w:t>0.008</w:t>
                  </w:r>
                </w:p>
              </w:tc>
              <w:tc>
                <w:tcPr>
                  <w:tcW w:w="336" w:type="pct"/>
                  <w:vMerge w:val="continue"/>
                  <w:tcBorders>
                    <w:tl2br w:val="nil"/>
                    <w:tr2bl w:val="nil"/>
                  </w:tcBorders>
                  <w:noWrap w:val="0"/>
                  <w:vAlign w:val="center"/>
                </w:tcPr>
                <w:p w14:paraId="5A39F9D0">
                  <w:pPr>
                    <w:adjustRightInd w:val="0"/>
                    <w:snapToGrid w:val="0"/>
                    <w:jc w:val="center"/>
                    <w:rPr>
                      <w:color w:val="auto"/>
                    </w:rPr>
                  </w:pPr>
                </w:p>
              </w:tc>
              <w:tc>
                <w:tcPr>
                  <w:tcW w:w="535" w:type="pct"/>
                  <w:vMerge w:val="continue"/>
                  <w:tcBorders>
                    <w:tl2br w:val="nil"/>
                    <w:tr2bl w:val="nil"/>
                  </w:tcBorders>
                  <w:noWrap w:val="0"/>
                  <w:vAlign w:val="center"/>
                </w:tcPr>
                <w:p w14:paraId="40A4C8E0">
                  <w:pPr>
                    <w:adjustRightInd w:val="0"/>
                    <w:snapToGrid w:val="0"/>
                    <w:jc w:val="center"/>
                    <w:rPr>
                      <w:color w:val="auto"/>
                    </w:rPr>
                  </w:pPr>
                </w:p>
              </w:tc>
              <w:tc>
                <w:tcPr>
                  <w:tcW w:w="416" w:type="pct"/>
                  <w:vMerge w:val="continue"/>
                  <w:tcBorders>
                    <w:tl2br w:val="nil"/>
                    <w:tr2bl w:val="nil"/>
                  </w:tcBorders>
                  <w:noWrap w:val="0"/>
                  <w:vAlign w:val="center"/>
                </w:tcPr>
                <w:p w14:paraId="294070BF">
                  <w:pPr>
                    <w:adjustRightInd w:val="0"/>
                    <w:snapToGrid w:val="0"/>
                    <w:jc w:val="center"/>
                    <w:rPr>
                      <w:color w:val="auto"/>
                    </w:rPr>
                  </w:pPr>
                </w:p>
              </w:tc>
              <w:tc>
                <w:tcPr>
                  <w:tcW w:w="795" w:type="dxa"/>
                  <w:tcBorders>
                    <w:tl2br w:val="nil"/>
                    <w:tr2bl w:val="nil"/>
                  </w:tcBorders>
                  <w:noWrap w:val="0"/>
                  <w:vAlign w:val="center"/>
                </w:tcPr>
                <w:p w14:paraId="57F56124">
                  <w:pPr>
                    <w:adjustRightInd w:val="0"/>
                    <w:snapToGrid w:val="0"/>
                    <w:jc w:val="center"/>
                    <w:rPr>
                      <w:color w:val="auto"/>
                      <w:kern w:val="2"/>
                      <w:sz w:val="21"/>
                      <w:szCs w:val="24"/>
                      <w:lang w:val="en-US" w:eastAsia="zh-CN" w:bidi="ar-SA"/>
                    </w:rPr>
                  </w:pPr>
                  <w:r>
                    <w:rPr>
                      <w:rFonts w:hint="eastAsia"/>
                      <w:color w:val="auto"/>
                      <w:lang w:val="en-US" w:eastAsia="zh-CN"/>
                    </w:rPr>
                    <w:t>0.016</w:t>
                  </w:r>
                </w:p>
              </w:tc>
              <w:tc>
                <w:tcPr>
                  <w:tcW w:w="855" w:type="dxa"/>
                  <w:tcBorders>
                    <w:tl2br w:val="nil"/>
                    <w:tr2bl w:val="nil"/>
                  </w:tcBorders>
                  <w:noWrap w:val="0"/>
                  <w:vAlign w:val="center"/>
                </w:tcPr>
                <w:p w14:paraId="0C8029D5">
                  <w:pPr>
                    <w:keepNext w:val="0"/>
                    <w:keepLines w:val="0"/>
                    <w:widowControl/>
                    <w:suppressLineNumbers w:val="0"/>
                    <w:jc w:val="center"/>
                    <w:textAlignment w:val="center"/>
                    <w:rPr>
                      <w:color w:val="auto"/>
                      <w:kern w:val="2"/>
                      <w:sz w:val="21"/>
                      <w:szCs w:val="24"/>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0.008</w:t>
                  </w:r>
                </w:p>
              </w:tc>
              <w:tc>
                <w:tcPr>
                  <w:tcW w:w="348" w:type="pct"/>
                  <w:vMerge w:val="continue"/>
                  <w:tcBorders>
                    <w:tl2br w:val="nil"/>
                    <w:tr2bl w:val="nil"/>
                  </w:tcBorders>
                  <w:noWrap w:val="0"/>
                  <w:vAlign w:val="center"/>
                </w:tcPr>
                <w:p w14:paraId="72675A67">
                  <w:pPr>
                    <w:adjustRightInd w:val="0"/>
                    <w:snapToGrid w:val="0"/>
                    <w:jc w:val="center"/>
                    <w:rPr>
                      <w:color w:val="auto"/>
                    </w:rPr>
                  </w:pPr>
                </w:p>
              </w:tc>
              <w:tc>
                <w:tcPr>
                  <w:tcW w:w="275" w:type="pct"/>
                  <w:vMerge w:val="restart"/>
                  <w:tcBorders>
                    <w:tl2br w:val="nil"/>
                    <w:tr2bl w:val="nil"/>
                  </w:tcBorders>
                  <w:noWrap w:val="0"/>
                  <w:vAlign w:val="center"/>
                </w:tcPr>
                <w:p w14:paraId="62E6C9D3">
                  <w:pPr>
                    <w:adjustRightInd w:val="0"/>
                    <w:snapToGrid w:val="0"/>
                    <w:jc w:val="center"/>
                    <w:rPr>
                      <w:rFonts w:hint="default" w:eastAsia="宋体"/>
                      <w:color w:val="auto"/>
                      <w:lang w:val="en-US" w:eastAsia="zh-CN"/>
                    </w:rPr>
                  </w:pPr>
                  <w:r>
                    <w:rPr>
                      <w:rFonts w:hint="eastAsia"/>
                      <w:color w:val="auto"/>
                      <w:lang w:val="en-US" w:eastAsia="zh-CN"/>
                    </w:rPr>
                    <w:t>2000</w:t>
                  </w:r>
                </w:p>
              </w:tc>
              <w:tc>
                <w:tcPr>
                  <w:tcW w:w="335" w:type="pct"/>
                  <w:vMerge w:val="continue"/>
                  <w:tcBorders>
                    <w:tl2br w:val="nil"/>
                    <w:tr2bl w:val="nil"/>
                  </w:tcBorders>
                  <w:noWrap w:val="0"/>
                  <w:vAlign w:val="center"/>
                </w:tcPr>
                <w:p w14:paraId="6D739E09">
                  <w:pPr>
                    <w:adjustRightInd w:val="0"/>
                    <w:snapToGrid w:val="0"/>
                    <w:jc w:val="center"/>
                    <w:rPr>
                      <w:rFonts w:hint="eastAsia" w:eastAsia="宋体"/>
                      <w:color w:val="auto"/>
                      <w:highlight w:val="green"/>
                      <w:lang w:val="en-US" w:eastAsia="zh-CN"/>
                    </w:rPr>
                  </w:pPr>
                </w:p>
              </w:tc>
            </w:tr>
            <w:tr w14:paraId="6B583E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65" w:type="pct"/>
                  <w:gridSpan w:val="2"/>
                  <w:tcBorders>
                    <w:tl2br w:val="nil"/>
                    <w:tr2bl w:val="nil"/>
                  </w:tcBorders>
                  <w:noWrap w:val="0"/>
                  <w:vAlign w:val="center"/>
                </w:tcPr>
                <w:p w14:paraId="186BAA1A">
                  <w:pPr>
                    <w:adjustRightInd w:val="0"/>
                    <w:snapToGrid w:val="0"/>
                    <w:jc w:val="center"/>
                    <w:rPr>
                      <w:rFonts w:hint="default"/>
                      <w:color w:val="auto"/>
                      <w:lang w:val="en-US"/>
                    </w:rPr>
                  </w:pPr>
                  <w:r>
                    <w:rPr>
                      <w:rFonts w:hint="eastAsia"/>
                      <w:color w:val="auto"/>
                      <w:lang w:val="en-US" w:eastAsia="zh-CN"/>
                    </w:rPr>
                    <w:t>敏感层制备废气</w:t>
                  </w:r>
                </w:p>
              </w:tc>
              <w:tc>
                <w:tcPr>
                  <w:tcW w:w="340" w:type="pct"/>
                  <w:vMerge w:val="continue"/>
                  <w:tcBorders>
                    <w:tl2br w:val="nil"/>
                    <w:tr2bl w:val="nil"/>
                  </w:tcBorders>
                  <w:noWrap w:val="0"/>
                  <w:vAlign w:val="center"/>
                </w:tcPr>
                <w:p w14:paraId="55FF2AFB">
                  <w:pPr>
                    <w:adjustRightInd w:val="0"/>
                    <w:snapToGrid w:val="0"/>
                    <w:jc w:val="center"/>
                    <w:rPr>
                      <w:color w:val="auto"/>
                    </w:rPr>
                  </w:pPr>
                </w:p>
              </w:tc>
              <w:tc>
                <w:tcPr>
                  <w:tcW w:w="275" w:type="pct"/>
                  <w:vMerge w:val="continue"/>
                  <w:tcBorders>
                    <w:tl2br w:val="nil"/>
                    <w:tr2bl w:val="nil"/>
                  </w:tcBorders>
                  <w:noWrap w:val="0"/>
                  <w:vAlign w:val="center"/>
                </w:tcPr>
                <w:p w14:paraId="701B9171">
                  <w:pPr>
                    <w:adjustRightInd w:val="0"/>
                    <w:snapToGrid w:val="0"/>
                    <w:jc w:val="center"/>
                    <w:rPr>
                      <w:color w:val="auto"/>
                    </w:rPr>
                  </w:pPr>
                </w:p>
              </w:tc>
              <w:tc>
                <w:tcPr>
                  <w:tcW w:w="336" w:type="pct"/>
                  <w:tcBorders>
                    <w:tl2br w:val="nil"/>
                    <w:tr2bl w:val="nil"/>
                  </w:tcBorders>
                  <w:noWrap w:val="0"/>
                  <w:vAlign w:val="center"/>
                </w:tcPr>
                <w:p w14:paraId="7B9A7577">
                  <w:pPr>
                    <w:adjustRightInd w:val="0"/>
                    <w:snapToGrid w:val="0"/>
                    <w:jc w:val="center"/>
                    <w:rPr>
                      <w:rFonts w:hint="default" w:eastAsia="宋体"/>
                      <w:color w:val="auto"/>
                      <w:lang w:val="en-US" w:eastAsia="zh-CN"/>
                    </w:rPr>
                  </w:pPr>
                  <w:r>
                    <w:rPr>
                      <w:rFonts w:hint="eastAsia"/>
                      <w:color w:val="auto"/>
                      <w:lang w:val="en-US" w:eastAsia="zh-CN"/>
                    </w:rPr>
                    <w:t>0.0024</w:t>
                  </w:r>
                </w:p>
              </w:tc>
              <w:tc>
                <w:tcPr>
                  <w:tcW w:w="361" w:type="pct"/>
                  <w:tcBorders>
                    <w:tl2br w:val="nil"/>
                    <w:tr2bl w:val="nil"/>
                  </w:tcBorders>
                  <w:noWrap w:val="0"/>
                  <w:vAlign w:val="center"/>
                </w:tcPr>
                <w:p w14:paraId="3EA074A4">
                  <w:pPr>
                    <w:keepNext w:val="0"/>
                    <w:keepLines w:val="0"/>
                    <w:widowControl/>
                    <w:suppressLineNumbers w:val="0"/>
                    <w:jc w:val="center"/>
                    <w:textAlignment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2"/>
                      <w:szCs w:val="22"/>
                      <w:u w:val="none"/>
                      <w:lang w:val="en-US" w:eastAsia="zh-CN" w:bidi="ar"/>
                    </w:rPr>
                    <w:t>0.0012</w:t>
                  </w:r>
                </w:p>
              </w:tc>
              <w:tc>
                <w:tcPr>
                  <w:tcW w:w="336" w:type="pct"/>
                  <w:vMerge w:val="continue"/>
                  <w:tcBorders>
                    <w:tl2br w:val="nil"/>
                    <w:tr2bl w:val="nil"/>
                  </w:tcBorders>
                  <w:noWrap w:val="0"/>
                  <w:vAlign w:val="center"/>
                </w:tcPr>
                <w:p w14:paraId="640219F1">
                  <w:pPr>
                    <w:adjustRightInd w:val="0"/>
                    <w:snapToGrid w:val="0"/>
                    <w:jc w:val="center"/>
                    <w:rPr>
                      <w:color w:val="auto"/>
                    </w:rPr>
                  </w:pPr>
                </w:p>
              </w:tc>
              <w:tc>
                <w:tcPr>
                  <w:tcW w:w="535" w:type="pct"/>
                  <w:vMerge w:val="continue"/>
                  <w:tcBorders>
                    <w:tl2br w:val="nil"/>
                    <w:tr2bl w:val="nil"/>
                  </w:tcBorders>
                  <w:noWrap w:val="0"/>
                  <w:vAlign w:val="center"/>
                </w:tcPr>
                <w:p w14:paraId="3A3C102D">
                  <w:pPr>
                    <w:adjustRightInd w:val="0"/>
                    <w:snapToGrid w:val="0"/>
                    <w:jc w:val="center"/>
                    <w:rPr>
                      <w:color w:val="auto"/>
                    </w:rPr>
                  </w:pPr>
                </w:p>
              </w:tc>
              <w:tc>
                <w:tcPr>
                  <w:tcW w:w="416" w:type="pct"/>
                  <w:vMerge w:val="continue"/>
                  <w:tcBorders>
                    <w:tl2br w:val="nil"/>
                    <w:tr2bl w:val="nil"/>
                  </w:tcBorders>
                  <w:noWrap w:val="0"/>
                  <w:vAlign w:val="center"/>
                </w:tcPr>
                <w:p w14:paraId="423F9D7B">
                  <w:pPr>
                    <w:adjustRightInd w:val="0"/>
                    <w:snapToGrid w:val="0"/>
                    <w:jc w:val="center"/>
                    <w:rPr>
                      <w:color w:val="auto"/>
                    </w:rPr>
                  </w:pPr>
                </w:p>
              </w:tc>
              <w:tc>
                <w:tcPr>
                  <w:tcW w:w="324" w:type="pct"/>
                  <w:tcBorders>
                    <w:tl2br w:val="nil"/>
                    <w:tr2bl w:val="nil"/>
                  </w:tcBorders>
                  <w:noWrap w:val="0"/>
                  <w:vAlign w:val="center"/>
                </w:tcPr>
                <w:p w14:paraId="407F38EE">
                  <w:pPr>
                    <w:adjustRightInd w:val="0"/>
                    <w:snapToGrid w:val="0"/>
                    <w:jc w:val="center"/>
                    <w:rPr>
                      <w:color w:val="auto"/>
                      <w:kern w:val="2"/>
                      <w:sz w:val="21"/>
                      <w:szCs w:val="24"/>
                      <w:lang w:val="en-US" w:eastAsia="zh-CN" w:bidi="ar-SA"/>
                    </w:rPr>
                  </w:pPr>
                  <w:r>
                    <w:rPr>
                      <w:rFonts w:hint="eastAsia"/>
                      <w:color w:val="auto"/>
                      <w:lang w:val="en-US" w:eastAsia="zh-CN"/>
                    </w:rPr>
                    <w:t>0.0024</w:t>
                  </w:r>
                </w:p>
              </w:tc>
              <w:tc>
                <w:tcPr>
                  <w:tcW w:w="348" w:type="pct"/>
                  <w:tcBorders>
                    <w:tl2br w:val="nil"/>
                    <w:tr2bl w:val="nil"/>
                  </w:tcBorders>
                  <w:noWrap w:val="0"/>
                  <w:vAlign w:val="center"/>
                </w:tcPr>
                <w:p w14:paraId="02665465">
                  <w:pPr>
                    <w:keepNext w:val="0"/>
                    <w:keepLines w:val="0"/>
                    <w:widowControl/>
                    <w:suppressLineNumbers w:val="0"/>
                    <w:jc w:val="right"/>
                    <w:textAlignment w:val="center"/>
                    <w:rPr>
                      <w:color w:val="auto"/>
                      <w:kern w:val="2"/>
                      <w:sz w:val="21"/>
                      <w:szCs w:val="24"/>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0.0012</w:t>
                  </w:r>
                </w:p>
              </w:tc>
              <w:tc>
                <w:tcPr>
                  <w:tcW w:w="348" w:type="pct"/>
                  <w:vMerge w:val="continue"/>
                  <w:tcBorders>
                    <w:tl2br w:val="nil"/>
                    <w:tr2bl w:val="nil"/>
                  </w:tcBorders>
                  <w:noWrap w:val="0"/>
                  <w:vAlign w:val="center"/>
                </w:tcPr>
                <w:p w14:paraId="2DE66B01">
                  <w:pPr>
                    <w:adjustRightInd w:val="0"/>
                    <w:snapToGrid w:val="0"/>
                    <w:jc w:val="center"/>
                    <w:rPr>
                      <w:color w:val="auto"/>
                    </w:rPr>
                  </w:pPr>
                </w:p>
              </w:tc>
              <w:tc>
                <w:tcPr>
                  <w:tcW w:w="275" w:type="pct"/>
                  <w:vMerge w:val="continue"/>
                  <w:tcBorders>
                    <w:tl2br w:val="nil"/>
                    <w:tr2bl w:val="nil"/>
                  </w:tcBorders>
                  <w:noWrap w:val="0"/>
                  <w:vAlign w:val="center"/>
                </w:tcPr>
                <w:p w14:paraId="4771EE0C">
                  <w:pPr>
                    <w:adjustRightInd w:val="0"/>
                    <w:snapToGrid w:val="0"/>
                    <w:jc w:val="center"/>
                    <w:rPr>
                      <w:color w:val="auto"/>
                    </w:rPr>
                  </w:pPr>
                </w:p>
              </w:tc>
              <w:tc>
                <w:tcPr>
                  <w:tcW w:w="335" w:type="pct"/>
                  <w:vMerge w:val="continue"/>
                  <w:tcBorders>
                    <w:tl2br w:val="nil"/>
                    <w:tr2bl w:val="nil"/>
                  </w:tcBorders>
                  <w:noWrap w:val="0"/>
                  <w:vAlign w:val="center"/>
                </w:tcPr>
                <w:p w14:paraId="6717A54C">
                  <w:pPr>
                    <w:adjustRightInd w:val="0"/>
                    <w:snapToGrid w:val="0"/>
                    <w:jc w:val="center"/>
                    <w:rPr>
                      <w:color w:val="auto"/>
                    </w:rPr>
                  </w:pPr>
                </w:p>
              </w:tc>
            </w:tr>
          </w:tbl>
          <w:p w14:paraId="07CC3DD7">
            <w:pPr>
              <w:pStyle w:val="17"/>
              <w:rPr>
                <w:color w:val="auto"/>
              </w:rPr>
            </w:pPr>
          </w:p>
        </w:tc>
      </w:tr>
    </w:tbl>
    <w:p w14:paraId="6716CFB2">
      <w:pPr>
        <w:pStyle w:val="42"/>
        <w:rPr>
          <w:rFonts w:hint="default"/>
          <w:color w:val="auto"/>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6"/>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8"/>
        <w:gridCol w:w="8440"/>
      </w:tblGrid>
      <w:tr w14:paraId="48E454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6809" w:hRule="atLeast"/>
          <w:jc w:val="center"/>
        </w:trPr>
        <w:tc>
          <w:tcPr>
            <w:tcW w:w="468" w:type="dxa"/>
            <w:noWrap w:val="0"/>
            <w:tcMar>
              <w:left w:w="28" w:type="dxa"/>
              <w:right w:w="28" w:type="dxa"/>
            </w:tcMar>
            <w:vAlign w:val="center"/>
          </w:tcPr>
          <w:p w14:paraId="78D499FE">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运营</w:t>
            </w:r>
          </w:p>
          <w:p w14:paraId="4A12301C">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期环</w:t>
            </w:r>
          </w:p>
          <w:p w14:paraId="6085FCB7">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境影</w:t>
            </w:r>
          </w:p>
          <w:p w14:paraId="7AC3DECC">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响和</w:t>
            </w:r>
          </w:p>
          <w:p w14:paraId="51079E6C">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保护</w:t>
            </w:r>
          </w:p>
          <w:p w14:paraId="18D6B5B6">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措施</w:t>
            </w:r>
          </w:p>
        </w:tc>
        <w:tc>
          <w:tcPr>
            <w:tcW w:w="8440" w:type="dxa"/>
            <w:noWrap w:val="0"/>
            <w:vAlign w:val="top"/>
          </w:tcPr>
          <w:p w14:paraId="371C4F89">
            <w:pPr>
              <w:numPr>
                <w:ilvl w:val="1"/>
                <w:numId w:val="10"/>
              </w:numPr>
              <w:adjustRightInd w:val="0"/>
              <w:snapToGrid w:val="0"/>
              <w:spacing w:line="360" w:lineRule="auto"/>
              <w:rPr>
                <w:rFonts w:hint="default" w:ascii="Times New Roman" w:hAnsi="Times New Roman" w:cs="Times New Roman"/>
                <w:b/>
                <w:bCs w:val="0"/>
                <w:color w:val="auto"/>
                <w:spacing w:val="0"/>
                <w:sz w:val="24"/>
                <w:szCs w:val="24"/>
                <w:lang w:val="en-US" w:eastAsia="zh-CN"/>
              </w:rPr>
            </w:pPr>
            <w:r>
              <w:rPr>
                <w:rFonts w:hint="default" w:ascii="Times New Roman" w:hAnsi="Times New Roman" w:cs="Times New Roman"/>
                <w:b/>
                <w:bCs w:val="0"/>
                <w:color w:val="auto"/>
                <w:spacing w:val="0"/>
                <w:sz w:val="24"/>
                <w:szCs w:val="24"/>
                <w:lang w:val="en-US" w:eastAsia="zh-CN"/>
              </w:rPr>
              <w:t>废气源强核算</w:t>
            </w:r>
          </w:p>
          <w:p w14:paraId="7A009B5D">
            <w:pPr>
              <w:numPr>
                <w:ilvl w:val="0"/>
                <w:numId w:val="0"/>
              </w:numPr>
              <w:adjustRightInd w:val="0"/>
              <w:snapToGrid w:val="0"/>
              <w:spacing w:line="360" w:lineRule="auto"/>
              <w:ind w:leftChars="0" w:firstLine="480" w:firstLineChars="200"/>
              <w:rPr>
                <w:rFonts w:hint="default" w:ascii="Times New Roman" w:hAnsi="Times New Roman" w:cs="Times New Roman"/>
                <w:b w:val="0"/>
                <w:bCs/>
                <w:color w:val="auto"/>
                <w:spacing w:val="0"/>
                <w:sz w:val="24"/>
                <w:szCs w:val="24"/>
                <w:lang w:val="en-US" w:eastAsia="zh-CN"/>
              </w:rPr>
            </w:pPr>
            <w:r>
              <w:rPr>
                <w:rFonts w:hint="default" w:ascii="Times New Roman" w:hAnsi="Times New Roman" w:cs="Times New Roman"/>
                <w:b w:val="0"/>
                <w:bCs/>
                <w:color w:val="auto"/>
                <w:spacing w:val="0"/>
                <w:sz w:val="24"/>
                <w:szCs w:val="24"/>
                <w:lang w:val="en-US" w:eastAsia="zh-CN"/>
              </w:rPr>
              <w:t>本项目产生的废气主要为催化浆料配制工序</w:t>
            </w:r>
            <w:r>
              <w:rPr>
                <w:rFonts w:hint="eastAsia" w:ascii="Times New Roman" w:hAnsi="Times New Roman" w:cs="Times New Roman"/>
                <w:b w:val="0"/>
                <w:bCs/>
                <w:color w:val="auto"/>
                <w:spacing w:val="0"/>
                <w:sz w:val="24"/>
                <w:szCs w:val="24"/>
                <w:lang w:val="en-US" w:eastAsia="zh-CN"/>
              </w:rPr>
              <w:t>、催化剂涂覆膜制备工序、变色材料制备工序、敏感层制备工序</w:t>
            </w:r>
            <w:r>
              <w:rPr>
                <w:rFonts w:hint="default" w:ascii="Times New Roman" w:hAnsi="Times New Roman" w:cs="Times New Roman"/>
                <w:b w:val="0"/>
                <w:bCs/>
                <w:color w:val="auto"/>
                <w:spacing w:val="0"/>
                <w:sz w:val="24"/>
                <w:szCs w:val="24"/>
                <w:lang w:val="en-US" w:eastAsia="zh-CN"/>
              </w:rPr>
              <w:t>产生的有机废气（以非甲烷总烃计）。</w:t>
            </w:r>
          </w:p>
          <w:p w14:paraId="3D01FBB3">
            <w:pPr>
              <w:numPr>
                <w:ilvl w:val="0"/>
                <w:numId w:val="0"/>
              </w:numPr>
              <w:adjustRightInd w:val="0"/>
              <w:snapToGrid w:val="0"/>
              <w:spacing w:line="360" w:lineRule="auto"/>
              <w:ind w:left="0" w:leftChars="0" w:firstLine="480" w:firstLineChars="200"/>
              <w:rPr>
                <w:rFonts w:hint="eastAsia" w:ascii="Times New Roman" w:hAnsi="Times New Roman" w:cs="Times New Roman"/>
                <w:b w:val="0"/>
                <w:bCs/>
                <w:color w:val="auto"/>
                <w:spacing w:val="0"/>
                <w:sz w:val="24"/>
                <w:szCs w:val="24"/>
                <w:lang w:val="en-US" w:eastAsia="zh-CN"/>
              </w:rPr>
            </w:pPr>
            <w:r>
              <w:rPr>
                <w:rFonts w:hint="eastAsia" w:ascii="Times New Roman" w:hAnsi="Times New Roman" w:cs="Times New Roman"/>
                <w:b w:val="0"/>
                <w:bCs/>
                <w:color w:val="auto"/>
                <w:spacing w:val="0"/>
                <w:sz w:val="24"/>
                <w:szCs w:val="24"/>
                <w:lang w:val="en-US" w:eastAsia="zh-CN"/>
              </w:rPr>
              <w:t>（1）</w:t>
            </w:r>
            <w:r>
              <w:rPr>
                <w:rFonts w:hint="default" w:ascii="Times New Roman" w:hAnsi="Times New Roman" w:cs="Times New Roman"/>
                <w:b w:val="0"/>
                <w:bCs/>
                <w:color w:val="auto"/>
                <w:spacing w:val="0"/>
                <w:sz w:val="24"/>
                <w:szCs w:val="24"/>
                <w:lang w:val="en-US" w:eastAsia="zh-CN"/>
              </w:rPr>
              <w:t>催化浆料配制工序</w:t>
            </w:r>
            <w:r>
              <w:rPr>
                <w:rFonts w:hint="eastAsia" w:ascii="Times New Roman" w:hAnsi="Times New Roman" w:cs="Times New Roman"/>
                <w:b w:val="0"/>
                <w:bCs/>
                <w:color w:val="auto"/>
                <w:spacing w:val="0"/>
                <w:sz w:val="24"/>
                <w:szCs w:val="24"/>
                <w:lang w:val="en-US" w:eastAsia="zh-CN"/>
              </w:rPr>
              <w:t>废气</w:t>
            </w:r>
          </w:p>
          <w:p w14:paraId="7DDFDF95">
            <w:pPr>
              <w:spacing w:line="360" w:lineRule="auto"/>
              <w:ind w:firstLine="480" w:firstLineChars="200"/>
              <w:rPr>
                <w:rFonts w:hint="default" w:ascii="Times New Roman" w:hAnsi="Times New Roman" w:cs="Times New Roman"/>
                <w:b w:val="0"/>
                <w:bCs/>
                <w:color w:val="auto"/>
                <w:spacing w:val="0"/>
                <w:sz w:val="24"/>
                <w:szCs w:val="24"/>
                <w:lang w:val="en-US" w:eastAsia="zh-CN"/>
              </w:rPr>
            </w:pPr>
            <w:r>
              <w:rPr>
                <w:rFonts w:hint="default" w:ascii="Times New Roman" w:hAnsi="Times New Roman" w:eastAsia="宋体" w:cs="Times New Roman"/>
                <w:color w:val="auto"/>
                <w:kern w:val="0"/>
                <w:sz w:val="24"/>
                <w:szCs w:val="24"/>
                <w:lang w:val="en-US" w:eastAsia="zh-CN" w:bidi="ar-SA"/>
              </w:rPr>
              <w:t>在</w:t>
            </w:r>
            <w:r>
              <w:rPr>
                <w:rFonts w:hint="eastAsia" w:ascii="Times New Roman" w:hAnsi="Times New Roman" w:eastAsia="宋体" w:cs="Times New Roman"/>
                <w:color w:val="auto"/>
                <w:kern w:val="0"/>
                <w:sz w:val="24"/>
                <w:szCs w:val="24"/>
                <w:lang w:val="en-US" w:eastAsia="zh-CN" w:bidi="ar-SA"/>
              </w:rPr>
              <w:t>催化浆配制</w:t>
            </w:r>
            <w:r>
              <w:rPr>
                <w:rFonts w:hint="default" w:ascii="Times New Roman" w:hAnsi="Times New Roman" w:eastAsia="宋体" w:cs="Times New Roman"/>
                <w:color w:val="auto"/>
                <w:kern w:val="0"/>
                <w:sz w:val="24"/>
                <w:szCs w:val="24"/>
                <w:lang w:val="en-US" w:eastAsia="zh-CN" w:bidi="ar-SA"/>
              </w:rPr>
              <w:t>过程中，主要原料为</w:t>
            </w:r>
            <w:r>
              <w:rPr>
                <w:rFonts w:hint="default" w:ascii="Times New Roman" w:hAnsi="Times New Roman" w:cs="Times New Roman"/>
                <w:color w:val="auto"/>
                <w:sz w:val="24"/>
                <w:szCs w:val="24"/>
                <w:lang w:val="en-US" w:eastAsia="zh-CN"/>
              </w:rPr>
              <w:t>全氟磺酸树脂、催化剂、</w:t>
            </w:r>
            <w:r>
              <w:rPr>
                <w:rFonts w:hint="eastAsia" w:ascii="Times New Roman" w:hAnsi="Times New Roman" w:cs="Times New Roman"/>
                <w:color w:val="auto"/>
                <w:sz w:val="24"/>
                <w:szCs w:val="24"/>
                <w:lang w:val="en-US" w:eastAsia="zh-CN"/>
              </w:rPr>
              <w:t>催化剂</w:t>
            </w:r>
            <w:r>
              <w:rPr>
                <w:rFonts w:hint="default" w:ascii="Times New Roman" w:hAnsi="Times New Roman" w:cs="Times New Roman"/>
                <w:color w:val="auto"/>
                <w:sz w:val="24"/>
                <w:szCs w:val="24"/>
                <w:lang w:val="en-US" w:eastAsia="zh-CN"/>
              </w:rPr>
              <w:t>溶剂</w:t>
            </w:r>
            <w:r>
              <w:rPr>
                <w:rFonts w:hint="default" w:ascii="Times New Roman" w:hAnsi="Times New Roman" w:eastAsia="宋体" w:cs="Times New Roman"/>
                <w:color w:val="auto"/>
                <w:kern w:val="0"/>
                <w:sz w:val="24"/>
                <w:szCs w:val="24"/>
                <w:lang w:val="en-US" w:eastAsia="zh-CN" w:bidi="ar-SA"/>
              </w:rPr>
              <w:t>，</w:t>
            </w:r>
            <w:r>
              <w:rPr>
                <w:rFonts w:hint="eastAsia" w:ascii="Times New Roman" w:hAnsi="Times New Roman" w:cs="Times New Roman"/>
                <w:color w:val="auto"/>
                <w:sz w:val="24"/>
                <w:szCs w:val="24"/>
                <w:lang w:val="en-US" w:eastAsia="zh-CN"/>
              </w:rPr>
              <w:t>催化剂</w:t>
            </w:r>
            <w:r>
              <w:rPr>
                <w:rFonts w:hint="default" w:ascii="Times New Roman" w:hAnsi="Times New Roman" w:cs="Times New Roman"/>
                <w:color w:val="auto"/>
                <w:sz w:val="24"/>
                <w:szCs w:val="24"/>
                <w:lang w:val="en-US" w:eastAsia="zh-CN"/>
              </w:rPr>
              <w:t>溶剂</w:t>
            </w:r>
            <w:r>
              <w:rPr>
                <w:rFonts w:hint="eastAsia" w:ascii="Times New Roman" w:hAnsi="Times New Roman" w:cs="Times New Roman"/>
                <w:color w:val="auto"/>
                <w:sz w:val="24"/>
                <w:szCs w:val="24"/>
                <w:lang w:val="en-US" w:eastAsia="zh-CN"/>
              </w:rPr>
              <w:t>主要成分为N-甲基吡络烷酮、乙二醇二甲醚、去离子水、异丙醇，N-甲基吡络烷酮</w:t>
            </w:r>
            <w:r>
              <w:rPr>
                <w:rFonts w:hint="default" w:ascii="Times New Roman" w:hAnsi="Times New Roman" w:cs="Times New Roman"/>
                <w:color w:val="auto"/>
                <w:sz w:val="24"/>
                <w:szCs w:val="24"/>
                <w:lang w:val="en-US" w:eastAsia="zh-CN"/>
              </w:rPr>
              <w:t>常温下是稳定的，不会挥发，</w:t>
            </w:r>
            <w:r>
              <w:rPr>
                <w:rFonts w:hint="eastAsia" w:ascii="Times New Roman" w:hAnsi="Times New Roman" w:cs="Times New Roman"/>
                <w:color w:val="auto"/>
                <w:sz w:val="24"/>
                <w:szCs w:val="24"/>
                <w:lang w:val="en-US" w:eastAsia="zh-CN"/>
              </w:rPr>
              <w:t>沸点为202</w:t>
            </w:r>
            <w:r>
              <w:rPr>
                <w:rFonts w:hint="default" w:ascii="Times New Roman" w:hAnsi="Times New Roman" w:cs="Times New Roman"/>
                <w:color w:val="auto"/>
                <w:sz w:val="24"/>
                <w:szCs w:val="24"/>
                <w:lang w:val="en-US" w:eastAsia="zh-CN"/>
              </w:rPr>
              <w:t>℃；全氟磺酸树脂具有良好的热稳定性，在200℃左右的温度下长期保持稳定，其热分解温度一般在350℃以上；</w:t>
            </w:r>
            <w:r>
              <w:rPr>
                <w:rFonts w:hint="eastAsia" w:ascii="Times New Roman" w:hAnsi="Times New Roman" w:cs="Times New Roman"/>
                <w:color w:val="auto"/>
                <w:sz w:val="24"/>
                <w:szCs w:val="24"/>
                <w:lang w:val="en-US" w:eastAsia="zh-CN"/>
              </w:rPr>
              <w:t>乙二醇二甲醚</w:t>
            </w:r>
            <w:r>
              <w:rPr>
                <w:rFonts w:hint="default" w:ascii="Times New Roman" w:hAnsi="Times New Roman" w:cs="Times New Roman"/>
                <w:color w:val="auto"/>
                <w:sz w:val="24"/>
                <w:szCs w:val="24"/>
                <w:lang w:val="en-US" w:eastAsia="zh-CN"/>
              </w:rPr>
              <w:t>和异丙醇</w:t>
            </w:r>
            <w:r>
              <w:rPr>
                <w:rFonts w:hint="eastAsia" w:ascii="Times New Roman" w:hAnsi="Times New Roman" w:cs="Times New Roman"/>
                <w:color w:val="auto"/>
                <w:sz w:val="24"/>
                <w:szCs w:val="24"/>
                <w:lang w:val="en-US" w:eastAsia="zh-CN"/>
              </w:rPr>
              <w:t>易挥发，故在配制过程</w:t>
            </w:r>
            <w:r>
              <w:rPr>
                <w:rFonts w:hint="default" w:ascii="Times New Roman" w:hAnsi="Times New Roman" w:cs="Times New Roman"/>
                <w:color w:val="auto"/>
                <w:sz w:val="24"/>
                <w:szCs w:val="24"/>
                <w:lang w:val="en-US" w:eastAsia="zh-CN"/>
              </w:rPr>
              <w:t>中会挥发少量废气</w:t>
            </w:r>
            <w:r>
              <w:rPr>
                <w:rFonts w:hint="default" w:ascii="Times New Roman" w:hAnsi="Times New Roman" w:eastAsia="宋体" w:cs="Times New Roman"/>
                <w:color w:val="auto"/>
                <w:kern w:val="0"/>
                <w:sz w:val="24"/>
                <w:szCs w:val="24"/>
                <w:lang w:val="en-US" w:eastAsia="zh-CN" w:bidi="ar-SA"/>
              </w:rPr>
              <w:t>。因配料过程是在密闭混合器中快速混合，故挥发量较少，综合考虑按膜电极生产线上乙醇和异丙醇使用量（</w:t>
            </w:r>
            <w:r>
              <w:rPr>
                <w:rFonts w:hint="eastAsia" w:ascii="Times New Roman" w:hAnsi="Times New Roman" w:eastAsia="宋体" w:cs="Times New Roman"/>
                <w:color w:val="auto"/>
                <w:kern w:val="0"/>
                <w:sz w:val="24"/>
                <w:szCs w:val="24"/>
                <w:lang w:val="en-US" w:eastAsia="zh-CN" w:bidi="ar-SA"/>
              </w:rPr>
              <w:t>根据催化剂溶剂检测报告知，占比共计23.3%，即</w:t>
            </w:r>
            <w:r>
              <w:rPr>
                <w:rFonts w:hint="default" w:ascii="Times New Roman" w:hAnsi="Times New Roman" w:eastAsia="宋体" w:cs="Times New Roman"/>
                <w:color w:val="auto"/>
                <w:kern w:val="0"/>
                <w:sz w:val="24"/>
                <w:szCs w:val="24"/>
                <w:lang w:val="en-US" w:eastAsia="zh-CN" w:bidi="ar-SA"/>
              </w:rPr>
              <w:t>1.</w:t>
            </w:r>
            <w:r>
              <w:rPr>
                <w:rFonts w:hint="eastAsia" w:ascii="Times New Roman" w:hAnsi="Times New Roman" w:eastAsia="宋体" w:cs="Times New Roman"/>
                <w:color w:val="auto"/>
                <w:kern w:val="0"/>
                <w:sz w:val="24"/>
                <w:szCs w:val="24"/>
                <w:lang w:val="en-US" w:eastAsia="zh-CN" w:bidi="ar-SA"/>
              </w:rPr>
              <w:t>165</w:t>
            </w:r>
            <w:r>
              <w:rPr>
                <w:rFonts w:hint="default" w:ascii="Times New Roman" w:hAnsi="Times New Roman" w:eastAsia="宋体" w:cs="Times New Roman"/>
                <w:color w:val="auto"/>
                <w:kern w:val="0"/>
                <w:sz w:val="24"/>
                <w:szCs w:val="24"/>
                <w:lang w:val="en-US" w:eastAsia="zh-CN" w:bidi="ar-SA"/>
              </w:rPr>
              <w:t>t/a</w:t>
            </w:r>
            <w:r>
              <w:rPr>
                <w:rFonts w:hint="eastAsia" w:ascii="Times New Roman" w:hAnsi="Times New Roman" w:eastAsia="宋体" w:cs="Times New Roman"/>
                <w:color w:val="auto"/>
                <w:kern w:val="0"/>
                <w:sz w:val="24"/>
                <w:szCs w:val="24"/>
                <w:lang w:val="en-US" w:eastAsia="zh-CN" w:bidi="ar-SA"/>
              </w:rPr>
              <w:t>，检测报告见附件9</w:t>
            </w:r>
            <w:r>
              <w:rPr>
                <w:rFonts w:hint="default" w:ascii="Times New Roman" w:hAnsi="Times New Roman" w:eastAsia="宋体" w:cs="Times New Roman"/>
                <w:color w:val="auto"/>
                <w:kern w:val="0"/>
                <w:sz w:val="24"/>
                <w:szCs w:val="24"/>
                <w:lang w:val="en-US" w:eastAsia="zh-CN" w:bidi="ar-SA"/>
              </w:rPr>
              <w:t>）的10%作为挥发量计算，则配料挥发废气量为0.</w:t>
            </w:r>
            <w:r>
              <w:rPr>
                <w:rFonts w:hint="eastAsia" w:ascii="Times New Roman" w:hAnsi="Times New Roman" w:eastAsia="宋体" w:cs="Times New Roman"/>
                <w:color w:val="auto"/>
                <w:kern w:val="0"/>
                <w:sz w:val="24"/>
                <w:szCs w:val="24"/>
                <w:lang w:val="en-US" w:eastAsia="zh-CN" w:bidi="ar-SA"/>
              </w:rPr>
              <w:t>1165</w:t>
            </w:r>
            <w:r>
              <w:rPr>
                <w:rFonts w:hint="default" w:ascii="Times New Roman" w:hAnsi="Times New Roman" w:eastAsia="宋体" w:cs="Times New Roman"/>
                <w:color w:val="auto"/>
                <w:kern w:val="0"/>
                <w:sz w:val="24"/>
                <w:szCs w:val="24"/>
                <w:lang w:val="en-US" w:eastAsia="zh-CN" w:bidi="ar-SA"/>
              </w:rPr>
              <w:t>t/a（以非甲烷总烃计）。</w:t>
            </w:r>
            <w:r>
              <w:rPr>
                <w:rFonts w:hint="eastAsia" w:ascii="Times New Roman" w:hAnsi="Times New Roman" w:eastAsia="宋体" w:cs="Times New Roman"/>
                <w:color w:val="auto"/>
                <w:kern w:val="0"/>
                <w:sz w:val="24"/>
                <w:szCs w:val="24"/>
                <w:lang w:val="en-US" w:eastAsia="zh-CN" w:bidi="ar-SA"/>
              </w:rPr>
              <w:t>催化浆配制在实验室的通风橱内进行，</w:t>
            </w:r>
            <w:r>
              <w:rPr>
                <w:rFonts w:hint="eastAsia"/>
                <w:color w:val="auto"/>
                <w:sz w:val="24"/>
                <w:lang w:val="en-US" w:eastAsia="zh-CN"/>
              </w:rPr>
              <w:t>通风橱收集效率按90%计</w:t>
            </w:r>
            <w:r>
              <w:rPr>
                <w:rFonts w:hint="eastAsia"/>
                <w:color w:val="auto"/>
                <w:sz w:val="24"/>
              </w:rPr>
              <w:t>，</w:t>
            </w:r>
            <w:r>
              <w:rPr>
                <w:rFonts w:hint="eastAsia"/>
                <w:color w:val="auto"/>
                <w:sz w:val="24"/>
                <w:lang w:val="en-US" w:eastAsia="zh-CN"/>
              </w:rPr>
              <w:t>则有组织废气产生量为0.105</w:t>
            </w:r>
            <w:r>
              <w:rPr>
                <w:rFonts w:hint="default" w:ascii="Times New Roman" w:hAnsi="Times New Roman" w:eastAsia="宋体" w:cs="Times New Roman"/>
                <w:color w:val="auto"/>
                <w:kern w:val="0"/>
                <w:sz w:val="24"/>
                <w:szCs w:val="24"/>
                <w:lang w:val="en-US" w:eastAsia="zh-CN" w:bidi="ar-SA"/>
              </w:rPr>
              <w:t>t/a</w:t>
            </w:r>
            <w:r>
              <w:rPr>
                <w:rFonts w:hint="eastAsia" w:ascii="Times New Roman" w:hAnsi="Times New Roman" w:eastAsia="宋体" w:cs="Times New Roman"/>
                <w:color w:val="auto"/>
                <w:kern w:val="0"/>
                <w:sz w:val="24"/>
                <w:szCs w:val="24"/>
                <w:lang w:val="en-US" w:eastAsia="zh-CN" w:bidi="ar-SA"/>
              </w:rPr>
              <w:t>。</w:t>
            </w:r>
          </w:p>
          <w:p w14:paraId="6261D43A">
            <w:pPr>
              <w:numPr>
                <w:ilvl w:val="0"/>
                <w:numId w:val="0"/>
              </w:numPr>
              <w:adjustRightInd w:val="0"/>
              <w:snapToGrid w:val="0"/>
              <w:spacing w:line="360" w:lineRule="auto"/>
              <w:ind w:leftChars="200"/>
              <w:rPr>
                <w:rFonts w:hint="default" w:ascii="Times New Roman" w:hAnsi="Times New Roman" w:cs="Times New Roman"/>
                <w:b w:val="0"/>
                <w:bCs/>
                <w:color w:val="auto"/>
                <w:spacing w:val="0"/>
                <w:sz w:val="24"/>
                <w:szCs w:val="24"/>
                <w:lang w:val="en-US" w:eastAsia="zh-CN"/>
              </w:rPr>
            </w:pPr>
            <w:r>
              <w:rPr>
                <w:rFonts w:hint="eastAsia" w:ascii="Times New Roman" w:hAnsi="Times New Roman" w:cs="Times New Roman"/>
                <w:b w:val="0"/>
                <w:bCs/>
                <w:color w:val="auto"/>
                <w:spacing w:val="0"/>
                <w:sz w:val="24"/>
                <w:szCs w:val="24"/>
                <w:lang w:val="en-US" w:eastAsia="zh-CN"/>
              </w:rPr>
              <w:t>（2）催化剂涂覆膜制备工序废气</w:t>
            </w:r>
          </w:p>
          <w:p w14:paraId="7DDF0503">
            <w:pPr>
              <w:adjustRightInd w:val="0"/>
              <w:snapToGrid w:val="0"/>
              <w:spacing w:line="360" w:lineRule="auto"/>
              <w:ind w:firstLine="480" w:firstLineChars="200"/>
              <w:rPr>
                <w:rFonts w:hint="default" w:ascii="Times New Roman" w:hAnsi="Times New Roman" w:cs="Times New Roman"/>
                <w:b w:val="0"/>
                <w:bCs/>
                <w:color w:val="auto"/>
                <w:spacing w:val="0"/>
                <w:sz w:val="24"/>
                <w:szCs w:val="24"/>
                <w:lang w:val="en-US" w:eastAsia="zh-CN"/>
              </w:rPr>
            </w:pPr>
            <w:r>
              <w:rPr>
                <w:rFonts w:hint="eastAsia" w:ascii="Times New Roman" w:hAnsi="Times New Roman" w:cs="Times New Roman"/>
                <w:b w:val="0"/>
                <w:bCs/>
                <w:color w:val="auto"/>
                <w:spacing w:val="0"/>
                <w:sz w:val="24"/>
                <w:szCs w:val="24"/>
                <w:lang w:val="en-US" w:eastAsia="zh-CN"/>
              </w:rPr>
              <w:t>在催化剂涂覆膜制备工序中，</w:t>
            </w:r>
            <w:r>
              <w:rPr>
                <w:rFonts w:hint="eastAsia"/>
                <w:color w:val="auto"/>
                <w:sz w:val="24"/>
                <w:szCs w:val="24"/>
                <w:lang w:val="en-US" w:eastAsia="zh-CN"/>
              </w:rPr>
              <w:t>涂布在卷</w:t>
            </w:r>
            <w:r>
              <w:rPr>
                <w:rFonts w:hint="eastAsia" w:ascii="Times New Roman" w:hAnsi="Times New Roman" w:eastAsia="宋体" w:cs="Times New Roman"/>
                <w:color w:val="auto"/>
                <w:sz w:val="24"/>
                <w:szCs w:val="24"/>
                <w:lang w:val="en-US" w:eastAsia="zh-CN"/>
              </w:rPr>
              <w:t>材涂布机上进行，干燥过程在干燥箱中进行，干燥温度为120</w:t>
            </w:r>
            <w:r>
              <w:rPr>
                <w:rFonts w:hint="default" w:ascii="Times New Roman" w:hAnsi="Times New Roman"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w:t>
            </w:r>
            <w:r>
              <w:rPr>
                <w:rFonts w:hint="eastAsia" w:ascii="Times New Roman" w:hAnsi="Times New Roman" w:cs="Times New Roman"/>
                <w:color w:val="auto"/>
                <w:sz w:val="24"/>
                <w:szCs w:val="24"/>
                <w:lang w:val="en-US" w:eastAsia="zh-CN"/>
              </w:rPr>
              <w:t>乙二醇二甲醚</w:t>
            </w:r>
            <w:r>
              <w:rPr>
                <w:rFonts w:hint="default" w:ascii="Times New Roman" w:hAnsi="Times New Roman" w:eastAsia="宋体" w:cs="Times New Roman"/>
                <w:color w:val="auto"/>
                <w:sz w:val="24"/>
                <w:lang w:val="en-US" w:eastAsia="zh-CN"/>
              </w:rPr>
              <w:t>沸点为</w:t>
            </w:r>
            <w:r>
              <w:rPr>
                <w:rFonts w:hint="eastAsia" w:ascii="Times New Roman" w:hAnsi="Times New Roman" w:eastAsia="宋体" w:cs="Times New Roman"/>
                <w:color w:val="auto"/>
                <w:sz w:val="24"/>
                <w:lang w:val="en-US" w:eastAsia="zh-CN"/>
              </w:rPr>
              <w:t>85</w:t>
            </w:r>
            <w:r>
              <w:rPr>
                <w:rFonts w:hint="default" w:ascii="Times New Roman" w:hAnsi="Times New Roman" w:eastAsia="宋体" w:cs="Times New Roman"/>
                <w:color w:val="auto"/>
                <w:sz w:val="24"/>
                <w:lang w:val="en-US" w:eastAsia="zh-CN"/>
              </w:rPr>
              <w:t>℃，异丙醇沸点为83℃，故按</w:t>
            </w:r>
            <w:r>
              <w:rPr>
                <w:rFonts w:hint="eastAsia" w:ascii="Times New Roman" w:hAnsi="Times New Roman" w:cs="Times New Roman"/>
                <w:color w:val="auto"/>
                <w:sz w:val="24"/>
                <w:szCs w:val="24"/>
                <w:lang w:val="en-US" w:eastAsia="zh-CN"/>
              </w:rPr>
              <w:t>乙二醇二甲醚</w:t>
            </w:r>
            <w:r>
              <w:rPr>
                <w:rFonts w:hint="default" w:ascii="Times New Roman" w:hAnsi="Times New Roman" w:eastAsia="宋体" w:cs="Times New Roman"/>
                <w:color w:val="auto"/>
                <w:sz w:val="24"/>
                <w:lang w:val="en-US" w:eastAsia="zh-CN"/>
              </w:rPr>
              <w:t>和异丙醇全部挥发来计算，即挥发量按膜电极生产线</w:t>
            </w:r>
            <w:r>
              <w:rPr>
                <w:rFonts w:hint="eastAsia" w:ascii="Times New Roman" w:hAnsi="Times New Roman" w:cs="Times New Roman"/>
                <w:color w:val="auto"/>
                <w:sz w:val="24"/>
                <w:szCs w:val="24"/>
                <w:lang w:val="en-US" w:eastAsia="zh-CN"/>
              </w:rPr>
              <w:t>乙二醇二甲醚</w:t>
            </w:r>
            <w:r>
              <w:rPr>
                <w:rFonts w:hint="default" w:ascii="Times New Roman" w:hAnsi="Times New Roman" w:eastAsia="宋体" w:cs="Times New Roman"/>
                <w:color w:val="auto"/>
                <w:sz w:val="24"/>
                <w:lang w:val="en-US" w:eastAsia="zh-CN"/>
              </w:rPr>
              <w:t>和异丙醇年使用量（</w:t>
            </w:r>
            <w:r>
              <w:rPr>
                <w:rFonts w:hint="default" w:ascii="Times New Roman" w:hAnsi="Times New Roman" w:eastAsia="宋体" w:cs="Times New Roman"/>
                <w:color w:val="auto"/>
                <w:kern w:val="0"/>
                <w:sz w:val="24"/>
                <w:szCs w:val="24"/>
                <w:lang w:val="en-US" w:eastAsia="zh-CN" w:bidi="ar-SA"/>
              </w:rPr>
              <w:t>1.</w:t>
            </w:r>
            <w:r>
              <w:rPr>
                <w:rFonts w:hint="eastAsia" w:ascii="Times New Roman" w:hAnsi="Times New Roman" w:eastAsia="宋体" w:cs="Times New Roman"/>
                <w:color w:val="auto"/>
                <w:kern w:val="0"/>
                <w:sz w:val="24"/>
                <w:szCs w:val="24"/>
                <w:lang w:val="en-US" w:eastAsia="zh-CN" w:bidi="ar-SA"/>
              </w:rPr>
              <w:t>165</w:t>
            </w:r>
            <w:r>
              <w:rPr>
                <w:rFonts w:hint="default" w:ascii="Times New Roman" w:hAnsi="Times New Roman" w:eastAsia="宋体" w:cs="Times New Roman"/>
                <w:color w:val="auto"/>
                <w:kern w:val="0"/>
                <w:sz w:val="24"/>
                <w:szCs w:val="24"/>
                <w:lang w:val="en-US" w:eastAsia="zh-CN" w:bidi="ar-SA"/>
              </w:rPr>
              <w:t>t/a</w:t>
            </w:r>
            <w:r>
              <w:rPr>
                <w:rFonts w:hint="default" w:ascii="Times New Roman" w:hAnsi="Times New Roman" w:eastAsia="宋体" w:cs="Times New Roman"/>
                <w:color w:val="auto"/>
                <w:sz w:val="24"/>
                <w:lang w:val="en-US" w:eastAsia="zh-CN"/>
              </w:rPr>
              <w:t>）的90%计（在配料过程中已挥发10%），则涂布干燥阶段挥发废气量为</w:t>
            </w:r>
            <w:r>
              <w:rPr>
                <w:rFonts w:hint="eastAsia" w:ascii="Times New Roman" w:hAnsi="Times New Roman" w:eastAsia="宋体" w:cs="Times New Roman"/>
                <w:color w:val="auto"/>
                <w:sz w:val="24"/>
                <w:lang w:val="en-US" w:eastAsia="zh-CN"/>
              </w:rPr>
              <w:t>1.0485</w:t>
            </w:r>
            <w:r>
              <w:rPr>
                <w:rFonts w:hint="default" w:ascii="Times New Roman" w:hAnsi="Times New Roman" w:eastAsia="宋体" w:cs="Times New Roman"/>
                <w:color w:val="auto"/>
                <w:sz w:val="24"/>
                <w:lang w:val="en-US" w:eastAsia="zh-CN"/>
              </w:rPr>
              <w:t>t/a（以非甲烷总烃计）。</w:t>
            </w:r>
            <w:r>
              <w:rPr>
                <w:rFonts w:hint="eastAsia" w:ascii="Times New Roman" w:hAnsi="Times New Roman" w:eastAsia="宋体" w:cs="Times New Roman"/>
                <w:color w:val="auto"/>
                <w:sz w:val="24"/>
                <w:lang w:val="en-US" w:eastAsia="zh-CN"/>
              </w:rPr>
              <w:t>干燥</w:t>
            </w:r>
            <w:r>
              <w:rPr>
                <w:rFonts w:hint="default" w:ascii="Times New Roman" w:hAnsi="Times New Roman" w:eastAsia="宋体" w:cs="Times New Roman"/>
                <w:color w:val="auto"/>
                <w:sz w:val="24"/>
                <w:lang w:val="en-US" w:eastAsia="zh-CN"/>
              </w:rPr>
              <w:t>为密闭式管道收集，收集效率按98%计，有组织</w:t>
            </w:r>
            <w:r>
              <w:rPr>
                <w:rFonts w:hint="eastAsia" w:ascii="Times New Roman" w:hAnsi="Times New Roman" w:eastAsia="宋体" w:cs="Times New Roman"/>
                <w:color w:val="auto"/>
                <w:sz w:val="24"/>
                <w:lang w:val="en-US" w:eastAsia="zh-CN"/>
              </w:rPr>
              <w:t>废气</w:t>
            </w:r>
            <w:r>
              <w:rPr>
                <w:rFonts w:hint="default" w:ascii="Times New Roman" w:hAnsi="Times New Roman" w:eastAsia="宋体" w:cs="Times New Roman"/>
                <w:color w:val="auto"/>
                <w:sz w:val="24"/>
                <w:lang w:val="en-US" w:eastAsia="zh-CN"/>
              </w:rPr>
              <w:t>产生量为1.</w:t>
            </w:r>
            <w:r>
              <w:rPr>
                <w:rFonts w:hint="eastAsia" w:ascii="Times New Roman" w:hAnsi="Times New Roman" w:eastAsia="宋体" w:cs="Times New Roman"/>
                <w:color w:val="auto"/>
                <w:sz w:val="24"/>
                <w:lang w:val="en-US" w:eastAsia="zh-CN"/>
              </w:rPr>
              <w:t>028</w:t>
            </w:r>
            <w:r>
              <w:rPr>
                <w:rFonts w:hint="default" w:ascii="Times New Roman" w:hAnsi="Times New Roman" w:eastAsia="宋体" w:cs="Times New Roman"/>
                <w:color w:val="auto"/>
                <w:sz w:val="24"/>
                <w:lang w:val="en-US" w:eastAsia="zh-CN"/>
              </w:rPr>
              <w:t>t/a。</w:t>
            </w:r>
          </w:p>
          <w:p w14:paraId="236FE2DF">
            <w:pPr>
              <w:numPr>
                <w:ilvl w:val="0"/>
                <w:numId w:val="0"/>
              </w:numPr>
              <w:adjustRightInd w:val="0"/>
              <w:snapToGrid w:val="0"/>
              <w:spacing w:line="360" w:lineRule="auto"/>
              <w:ind w:leftChars="200"/>
              <w:rPr>
                <w:rFonts w:hint="default" w:ascii="Times New Roman" w:hAnsi="Times New Roman" w:cs="Times New Roman"/>
                <w:b w:val="0"/>
                <w:bCs/>
                <w:color w:val="auto"/>
                <w:spacing w:val="0"/>
                <w:sz w:val="24"/>
                <w:szCs w:val="24"/>
                <w:lang w:val="en-US" w:eastAsia="zh-CN"/>
              </w:rPr>
            </w:pPr>
            <w:r>
              <w:rPr>
                <w:rFonts w:hint="eastAsia" w:ascii="Times New Roman" w:hAnsi="Times New Roman" w:cs="Times New Roman"/>
                <w:b w:val="0"/>
                <w:bCs/>
                <w:color w:val="auto"/>
                <w:spacing w:val="0"/>
                <w:sz w:val="24"/>
                <w:szCs w:val="24"/>
                <w:lang w:val="en-US" w:eastAsia="zh-CN"/>
              </w:rPr>
              <w:t>（3）变色材料制备工序废气</w:t>
            </w:r>
          </w:p>
          <w:p w14:paraId="6A7F757D">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kern w:val="0"/>
                <w:sz w:val="24"/>
                <w:szCs w:val="24"/>
                <w:lang w:val="en-US" w:eastAsia="zh-CN" w:bidi="ar"/>
              </w:rPr>
              <w:t>在变色材料制备过程中，主要原料有氧化钼、钯盐溶液、甲醇、甲酸、双氧水，甲醇</w:t>
            </w:r>
            <w:r>
              <w:rPr>
                <w:rFonts w:hint="eastAsia" w:cs="Times New Roman"/>
                <w:color w:val="auto"/>
                <w:kern w:val="0"/>
                <w:sz w:val="24"/>
                <w:szCs w:val="24"/>
                <w:lang w:val="en-US" w:eastAsia="zh-CN" w:bidi="ar"/>
              </w:rPr>
              <w:t>和甲酸</w:t>
            </w:r>
            <w:r>
              <w:rPr>
                <w:rFonts w:hint="eastAsia" w:ascii="Times New Roman" w:hAnsi="Times New Roman" w:cs="Times New Roman"/>
                <w:color w:val="auto"/>
                <w:sz w:val="24"/>
                <w:szCs w:val="24"/>
                <w:lang w:val="en-US" w:eastAsia="zh-CN"/>
              </w:rPr>
              <w:t>易挥发，故在配制过程</w:t>
            </w:r>
            <w:r>
              <w:rPr>
                <w:rFonts w:hint="default" w:ascii="Times New Roman" w:hAnsi="Times New Roman" w:cs="Times New Roman"/>
                <w:color w:val="auto"/>
                <w:sz w:val="24"/>
                <w:szCs w:val="24"/>
                <w:lang w:val="en-US" w:eastAsia="zh-CN"/>
              </w:rPr>
              <w:t>中会挥发少量废气</w:t>
            </w:r>
            <w:r>
              <w:rPr>
                <w:rFonts w:hint="default" w:ascii="Times New Roman" w:hAnsi="Times New Roman" w:eastAsia="宋体" w:cs="Times New Roman"/>
                <w:color w:val="auto"/>
                <w:kern w:val="0"/>
                <w:sz w:val="24"/>
                <w:szCs w:val="24"/>
                <w:lang w:val="en-US" w:eastAsia="zh-CN" w:bidi="ar-SA"/>
              </w:rPr>
              <w:t>。因配料过程是</w:t>
            </w:r>
            <w:r>
              <w:rPr>
                <w:rFonts w:hint="eastAsia" w:cs="Times New Roman"/>
                <w:color w:val="auto"/>
                <w:kern w:val="0"/>
                <w:sz w:val="24"/>
                <w:szCs w:val="24"/>
                <w:lang w:val="en-US" w:eastAsia="zh-CN" w:bidi="ar-SA"/>
              </w:rPr>
              <w:t>在烧杯中进行添加甲醇</w:t>
            </w:r>
            <w:r>
              <w:rPr>
                <w:rFonts w:hint="default" w:ascii="Times New Roman" w:hAnsi="Times New Roman" w:eastAsia="宋体" w:cs="Times New Roman"/>
                <w:color w:val="auto"/>
                <w:kern w:val="0"/>
                <w:sz w:val="24"/>
                <w:szCs w:val="24"/>
                <w:lang w:val="en-US" w:eastAsia="zh-CN" w:bidi="ar-SA"/>
              </w:rPr>
              <w:t>（</w:t>
            </w:r>
            <w:r>
              <w:rPr>
                <w:rFonts w:hint="eastAsia" w:ascii="Times New Roman" w:hAnsi="Times New Roman" w:eastAsia="宋体" w:cs="Times New Roman"/>
                <w:color w:val="auto"/>
                <w:kern w:val="0"/>
                <w:sz w:val="24"/>
                <w:szCs w:val="24"/>
                <w:lang w:val="en-US" w:eastAsia="zh-CN" w:bidi="ar-SA"/>
              </w:rPr>
              <w:t>0.158</w:t>
            </w:r>
            <w:r>
              <w:rPr>
                <w:rFonts w:hint="default" w:ascii="Times New Roman" w:hAnsi="Times New Roman" w:eastAsia="宋体" w:cs="Times New Roman"/>
                <w:color w:val="auto"/>
                <w:kern w:val="0"/>
                <w:sz w:val="24"/>
                <w:szCs w:val="24"/>
                <w:lang w:val="en-US" w:eastAsia="zh-CN" w:bidi="ar-SA"/>
              </w:rPr>
              <w:t>t/a）</w:t>
            </w:r>
            <w:r>
              <w:rPr>
                <w:rFonts w:hint="eastAsia" w:cs="Times New Roman"/>
                <w:color w:val="auto"/>
                <w:kern w:val="0"/>
                <w:sz w:val="24"/>
                <w:szCs w:val="24"/>
                <w:lang w:val="en-US" w:eastAsia="zh-CN" w:bidi="ar-SA"/>
              </w:rPr>
              <w:t>和甲酸（0.00061</w:t>
            </w:r>
            <w:r>
              <w:rPr>
                <w:rFonts w:hint="default" w:ascii="Times New Roman" w:hAnsi="Times New Roman" w:eastAsia="宋体" w:cs="Times New Roman"/>
                <w:color w:val="auto"/>
                <w:kern w:val="0"/>
                <w:sz w:val="24"/>
                <w:szCs w:val="24"/>
                <w:lang w:val="en-US" w:eastAsia="zh-CN" w:bidi="ar-SA"/>
              </w:rPr>
              <w:t>t/a</w:t>
            </w:r>
            <w:r>
              <w:rPr>
                <w:rFonts w:hint="eastAsia"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w:t>
            </w:r>
            <w:r>
              <w:rPr>
                <w:rFonts w:hint="eastAsia"/>
                <w:color w:val="auto"/>
                <w:sz w:val="24"/>
                <w:szCs w:val="24"/>
                <w:lang w:val="en-US" w:eastAsia="zh-CN"/>
              </w:rPr>
              <w:t>按最不利情况考虑，即100%</w:t>
            </w:r>
            <w:r>
              <w:rPr>
                <w:rFonts w:hint="default" w:ascii="Times New Roman" w:hAnsi="Times New Roman" w:eastAsia="宋体" w:cs="Times New Roman"/>
                <w:color w:val="auto"/>
                <w:kern w:val="0"/>
                <w:sz w:val="24"/>
                <w:szCs w:val="24"/>
                <w:lang w:val="en-US" w:eastAsia="zh-CN" w:bidi="ar-SA"/>
              </w:rPr>
              <w:t>挥发，则配料挥发废气量为</w:t>
            </w:r>
            <w:r>
              <w:rPr>
                <w:rFonts w:hint="eastAsia" w:cs="Times New Roman"/>
                <w:color w:val="auto"/>
                <w:kern w:val="0"/>
                <w:sz w:val="24"/>
                <w:szCs w:val="24"/>
                <w:lang w:val="en-US" w:eastAsia="zh-CN" w:bidi="ar-SA"/>
              </w:rPr>
              <w:t>0.159</w:t>
            </w:r>
            <w:r>
              <w:rPr>
                <w:rFonts w:hint="default" w:ascii="Times New Roman" w:hAnsi="Times New Roman" w:eastAsia="宋体" w:cs="Times New Roman"/>
                <w:color w:val="auto"/>
                <w:kern w:val="0"/>
                <w:sz w:val="24"/>
                <w:szCs w:val="24"/>
                <w:lang w:val="en-US" w:eastAsia="zh-CN" w:bidi="ar-SA"/>
              </w:rPr>
              <w:t>t/a（以非甲烷总烃计）。</w:t>
            </w:r>
            <w:r>
              <w:rPr>
                <w:rFonts w:hint="eastAsia" w:ascii="Times New Roman" w:hAnsi="Times New Roman" w:eastAsia="宋体" w:cs="Times New Roman"/>
                <w:color w:val="auto"/>
                <w:kern w:val="0"/>
                <w:sz w:val="24"/>
                <w:szCs w:val="24"/>
                <w:lang w:val="en-US" w:eastAsia="zh-CN" w:bidi="ar"/>
              </w:rPr>
              <w:t>变色材料制备过程</w:t>
            </w:r>
            <w:r>
              <w:rPr>
                <w:rFonts w:hint="eastAsia" w:ascii="Times New Roman" w:hAnsi="Times New Roman" w:eastAsia="宋体" w:cs="Times New Roman"/>
                <w:color w:val="auto"/>
                <w:sz w:val="24"/>
                <w:highlight w:val="none"/>
              </w:rPr>
              <w:t>全部在</w:t>
            </w:r>
            <w:r>
              <w:rPr>
                <w:rFonts w:hint="eastAsia" w:ascii="Times New Roman" w:hAnsi="Times New Roman" w:eastAsia="宋体" w:cs="Times New Roman"/>
                <w:color w:val="auto"/>
                <w:sz w:val="24"/>
                <w:highlight w:val="none"/>
                <w:lang w:val="en-US" w:eastAsia="zh-CN"/>
              </w:rPr>
              <w:t>实验室的</w:t>
            </w:r>
            <w:r>
              <w:rPr>
                <w:rFonts w:hint="eastAsia" w:ascii="Times New Roman" w:hAnsi="Times New Roman" w:eastAsia="宋体" w:cs="Times New Roman"/>
                <w:color w:val="auto"/>
                <w:sz w:val="24"/>
                <w:highlight w:val="none"/>
              </w:rPr>
              <w:t>通风橱内进行</w:t>
            </w:r>
            <w:r>
              <w:rPr>
                <w:rFonts w:hint="eastAsia" w:ascii="Times New Roman" w:hAnsi="Times New Roman" w:eastAsia="宋体" w:cs="Times New Roman"/>
                <w:color w:val="auto"/>
                <w:sz w:val="24"/>
                <w:highlight w:val="none"/>
                <w:lang w:eastAsia="zh-CN"/>
              </w:rPr>
              <w:t>，</w:t>
            </w:r>
            <w:r>
              <w:rPr>
                <w:rFonts w:hint="eastAsia"/>
                <w:color w:val="auto"/>
                <w:sz w:val="24"/>
                <w:lang w:val="en-US" w:eastAsia="zh-CN"/>
              </w:rPr>
              <w:t>通风橱收集效率按90%计</w:t>
            </w:r>
            <w:r>
              <w:rPr>
                <w:rFonts w:hint="eastAsia"/>
                <w:color w:val="auto"/>
                <w:sz w:val="24"/>
              </w:rPr>
              <w:t>，</w:t>
            </w:r>
            <w:r>
              <w:rPr>
                <w:rFonts w:hint="eastAsia"/>
                <w:color w:val="auto"/>
                <w:sz w:val="24"/>
                <w:lang w:val="en-US" w:eastAsia="zh-CN"/>
              </w:rPr>
              <w:t>则有组织废气产生量为0.143</w:t>
            </w:r>
            <w:r>
              <w:rPr>
                <w:rFonts w:hint="default" w:ascii="Times New Roman" w:hAnsi="Times New Roman" w:eastAsia="宋体" w:cs="Times New Roman"/>
                <w:color w:val="auto"/>
                <w:kern w:val="0"/>
                <w:sz w:val="24"/>
                <w:szCs w:val="24"/>
                <w:lang w:val="en-US" w:eastAsia="zh-CN" w:bidi="ar-SA"/>
              </w:rPr>
              <w:t>t/a</w:t>
            </w:r>
            <w:r>
              <w:rPr>
                <w:rFonts w:hint="eastAsia" w:ascii="Times New Roman" w:hAnsi="Times New Roman" w:eastAsia="宋体" w:cs="Times New Roman"/>
                <w:color w:val="auto"/>
                <w:kern w:val="0"/>
                <w:sz w:val="24"/>
                <w:szCs w:val="24"/>
                <w:lang w:val="en-US" w:eastAsia="zh-CN" w:bidi="ar-SA"/>
              </w:rPr>
              <w:t>。</w:t>
            </w:r>
          </w:p>
          <w:p w14:paraId="42EAECC4">
            <w:pPr>
              <w:numPr>
                <w:ilvl w:val="0"/>
                <w:numId w:val="0"/>
              </w:numPr>
              <w:adjustRightInd w:val="0"/>
              <w:snapToGrid w:val="0"/>
              <w:spacing w:line="360" w:lineRule="auto"/>
              <w:ind w:leftChars="200"/>
              <w:rPr>
                <w:rFonts w:hint="default" w:ascii="Times New Roman" w:hAnsi="Times New Roman" w:cs="Times New Roman"/>
                <w:b w:val="0"/>
                <w:bCs/>
                <w:color w:val="auto"/>
                <w:spacing w:val="0"/>
                <w:sz w:val="24"/>
                <w:szCs w:val="24"/>
                <w:lang w:val="en-US" w:eastAsia="zh-CN"/>
              </w:rPr>
            </w:pPr>
            <w:r>
              <w:rPr>
                <w:rFonts w:hint="eastAsia" w:ascii="Times New Roman" w:hAnsi="Times New Roman" w:cs="Times New Roman"/>
                <w:b w:val="0"/>
                <w:bCs/>
                <w:color w:val="auto"/>
                <w:spacing w:val="0"/>
                <w:sz w:val="24"/>
                <w:szCs w:val="24"/>
                <w:lang w:val="en-US" w:eastAsia="zh-CN"/>
              </w:rPr>
              <w:t>（4）敏感层制备工序</w:t>
            </w:r>
            <w:r>
              <w:rPr>
                <w:rFonts w:hint="default" w:ascii="Times New Roman" w:hAnsi="Times New Roman" w:cs="Times New Roman"/>
                <w:b w:val="0"/>
                <w:bCs/>
                <w:color w:val="auto"/>
                <w:spacing w:val="0"/>
                <w:sz w:val="24"/>
                <w:szCs w:val="24"/>
                <w:lang w:val="en-US" w:eastAsia="zh-CN"/>
              </w:rPr>
              <w:t>废气</w:t>
            </w:r>
          </w:p>
          <w:p w14:paraId="24B9972A">
            <w:pPr>
              <w:numPr>
                <w:ilvl w:val="0"/>
                <w:numId w:val="0"/>
              </w:numPr>
              <w:adjustRightInd w:val="0"/>
              <w:snapToGrid w:val="0"/>
              <w:spacing w:line="360" w:lineRule="auto"/>
              <w:ind w:left="0" w:leftChars="0" w:firstLine="420" w:firstLineChars="175"/>
              <w:rPr>
                <w:rFonts w:hint="default"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color w:val="auto"/>
                <w:kern w:val="0"/>
                <w:sz w:val="24"/>
                <w:szCs w:val="24"/>
                <w:lang w:val="en-US" w:eastAsia="zh-CN" w:bidi="ar-SA"/>
              </w:rPr>
              <w:t>在敏感层制备过程中，主要原料有变色材料、有机硅压敏胶、PET膜，其中有机硅压敏胶含有40%甲苯</w:t>
            </w:r>
            <w:r>
              <w:rPr>
                <w:rFonts w:hint="eastAsia" w:cs="Times New Roman"/>
                <w:color w:val="auto"/>
                <w:kern w:val="0"/>
                <w:sz w:val="24"/>
                <w:szCs w:val="24"/>
                <w:lang w:val="en-US" w:eastAsia="zh-CN" w:bidi="ar-SA"/>
              </w:rPr>
              <w:t>（</w:t>
            </w:r>
            <w:r>
              <w:rPr>
                <w:rFonts w:hint="eastAsia" w:ascii="Times New Roman" w:hAnsi="Times New Roman" w:eastAsia="宋体" w:cs="Times New Roman"/>
                <w:color w:val="auto"/>
                <w:kern w:val="0"/>
                <w:sz w:val="24"/>
                <w:szCs w:val="24"/>
                <w:lang w:val="en-US" w:eastAsia="zh-CN" w:bidi="ar-SA"/>
              </w:rPr>
              <w:t>有机硅压敏胶化学品安全技术说明书</w:t>
            </w:r>
            <w:r>
              <w:rPr>
                <w:rFonts w:hint="eastAsia" w:cs="Times New Roman"/>
                <w:color w:val="auto"/>
                <w:kern w:val="0"/>
                <w:sz w:val="24"/>
                <w:szCs w:val="24"/>
                <w:lang w:val="en-US" w:eastAsia="zh-CN" w:bidi="ar-SA"/>
              </w:rPr>
              <w:t>见附件10）</w:t>
            </w:r>
            <w:r>
              <w:rPr>
                <w:rFonts w:hint="eastAsia" w:ascii="Times New Roman" w:hAnsi="Times New Roman" w:eastAsia="宋体" w:cs="Times New Roman"/>
                <w:color w:val="auto"/>
                <w:kern w:val="0"/>
                <w:sz w:val="24"/>
                <w:szCs w:val="24"/>
                <w:lang w:val="en-US" w:eastAsia="zh-CN" w:bidi="ar-SA"/>
              </w:rPr>
              <w:t>，甲苯的沸点为110.6</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kern w:val="0"/>
                <w:sz w:val="24"/>
                <w:szCs w:val="24"/>
                <w:lang w:val="en-US" w:eastAsia="zh-CN" w:bidi="ar-SA"/>
              </w:rPr>
              <w:t>在150</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kern w:val="0"/>
                <w:sz w:val="24"/>
                <w:szCs w:val="24"/>
                <w:lang w:val="en-US" w:eastAsia="zh-CN" w:bidi="ar-SA"/>
              </w:rPr>
              <w:t>烘箱中会挥发，</w:t>
            </w:r>
            <w:r>
              <w:rPr>
                <w:rFonts w:hint="default" w:ascii="Times New Roman" w:hAnsi="Times New Roman" w:eastAsia="宋体" w:cs="Times New Roman"/>
                <w:color w:val="auto"/>
                <w:sz w:val="24"/>
                <w:lang w:val="en-US" w:eastAsia="zh-CN"/>
              </w:rPr>
              <w:t>故按</w:t>
            </w:r>
            <w:r>
              <w:rPr>
                <w:rFonts w:hint="eastAsia" w:ascii="Times New Roman" w:hAnsi="Times New Roman" w:cs="Times New Roman"/>
                <w:color w:val="auto"/>
                <w:sz w:val="24"/>
                <w:szCs w:val="24"/>
                <w:lang w:val="en-US" w:eastAsia="zh-CN"/>
              </w:rPr>
              <w:t>甲苯</w:t>
            </w:r>
            <w:r>
              <w:rPr>
                <w:rFonts w:hint="default" w:ascii="Times New Roman" w:hAnsi="Times New Roman" w:eastAsia="宋体" w:cs="Times New Roman"/>
                <w:color w:val="auto"/>
                <w:sz w:val="24"/>
                <w:lang w:val="en-US" w:eastAsia="zh-CN"/>
              </w:rPr>
              <w:t>全部挥发来计算，则</w:t>
            </w:r>
            <w:r>
              <w:rPr>
                <w:rFonts w:hint="eastAsia" w:ascii="Times New Roman" w:hAnsi="Times New Roman" w:cs="Times New Roman"/>
                <w:b w:val="0"/>
                <w:bCs/>
                <w:color w:val="auto"/>
                <w:spacing w:val="0"/>
                <w:sz w:val="24"/>
                <w:szCs w:val="24"/>
                <w:lang w:val="en-US" w:eastAsia="zh-CN"/>
              </w:rPr>
              <w:t>敏感层制备工序</w:t>
            </w:r>
            <w:r>
              <w:rPr>
                <w:rFonts w:hint="default" w:ascii="Times New Roman" w:hAnsi="Times New Roman" w:eastAsia="宋体" w:cs="Times New Roman"/>
                <w:color w:val="auto"/>
                <w:sz w:val="24"/>
                <w:lang w:val="en-US" w:eastAsia="zh-CN"/>
              </w:rPr>
              <w:t>挥发废气量为</w:t>
            </w:r>
            <w:r>
              <w:rPr>
                <w:rFonts w:hint="eastAsia" w:ascii="Times New Roman" w:hAnsi="Times New Roman" w:eastAsia="宋体" w:cs="Times New Roman"/>
                <w:color w:val="auto"/>
                <w:sz w:val="24"/>
                <w:lang w:val="en-US" w:eastAsia="zh-CN"/>
              </w:rPr>
              <w:t>0.12</w:t>
            </w:r>
            <w:r>
              <w:rPr>
                <w:rFonts w:hint="default" w:ascii="Times New Roman" w:hAnsi="Times New Roman" w:eastAsia="宋体" w:cs="Times New Roman"/>
                <w:color w:val="auto"/>
                <w:sz w:val="24"/>
                <w:lang w:val="en-US" w:eastAsia="zh-CN"/>
              </w:rPr>
              <w:t>t/a（以非甲烷总烃计）。</w:t>
            </w:r>
            <w:r>
              <w:rPr>
                <w:rFonts w:hint="eastAsia" w:ascii="Times New Roman" w:hAnsi="Times New Roman" w:eastAsia="宋体" w:cs="Times New Roman"/>
                <w:color w:val="auto"/>
                <w:sz w:val="24"/>
                <w:lang w:val="en-US" w:eastAsia="zh-CN"/>
              </w:rPr>
              <w:t>干燥</w:t>
            </w:r>
            <w:r>
              <w:rPr>
                <w:rFonts w:hint="default" w:ascii="Times New Roman" w:hAnsi="Times New Roman" w:eastAsia="宋体" w:cs="Times New Roman"/>
                <w:color w:val="auto"/>
                <w:sz w:val="24"/>
                <w:lang w:val="en-US" w:eastAsia="zh-CN"/>
              </w:rPr>
              <w:t>为密闭式管道收集，收集效率按98%计，有组织</w:t>
            </w:r>
            <w:r>
              <w:rPr>
                <w:rFonts w:hint="eastAsia" w:ascii="Times New Roman" w:hAnsi="Times New Roman" w:eastAsia="宋体" w:cs="Times New Roman"/>
                <w:color w:val="auto"/>
                <w:sz w:val="24"/>
                <w:lang w:val="en-US" w:eastAsia="zh-CN"/>
              </w:rPr>
              <w:t>废气</w:t>
            </w:r>
            <w:r>
              <w:rPr>
                <w:rFonts w:hint="default" w:ascii="Times New Roman" w:hAnsi="Times New Roman" w:eastAsia="宋体" w:cs="Times New Roman"/>
                <w:color w:val="auto"/>
                <w:sz w:val="24"/>
                <w:lang w:val="en-US" w:eastAsia="zh-CN"/>
              </w:rPr>
              <w:t>产生量为</w:t>
            </w:r>
            <w:r>
              <w:rPr>
                <w:rFonts w:hint="eastAsia" w:ascii="Times New Roman" w:hAnsi="Times New Roman" w:eastAsia="宋体" w:cs="Times New Roman"/>
                <w:color w:val="auto"/>
                <w:sz w:val="24"/>
                <w:lang w:val="en-US" w:eastAsia="zh-CN"/>
              </w:rPr>
              <w:t>0.118</w:t>
            </w:r>
            <w:r>
              <w:rPr>
                <w:rFonts w:hint="default" w:ascii="Times New Roman" w:hAnsi="Times New Roman" w:eastAsia="宋体" w:cs="Times New Roman"/>
                <w:color w:val="auto"/>
                <w:sz w:val="24"/>
                <w:lang w:val="en-US" w:eastAsia="zh-CN"/>
              </w:rPr>
              <w:t>t/a</w:t>
            </w:r>
            <w:r>
              <w:rPr>
                <w:rFonts w:hint="default" w:ascii="Times New Roman" w:hAnsi="Times New Roman" w:eastAsia="宋体" w:cs="Times New Roman"/>
                <w:b w:val="0"/>
                <w:bCs w:val="0"/>
                <w:color w:val="auto"/>
                <w:kern w:val="2"/>
                <w:sz w:val="24"/>
                <w:szCs w:val="24"/>
                <w:highlight w:val="none"/>
                <w:lang w:val="en-US" w:eastAsia="zh-CN" w:bidi="ar-SA"/>
              </w:rPr>
              <w:t>。</w:t>
            </w:r>
          </w:p>
          <w:p w14:paraId="2072E6B1">
            <w:pPr>
              <w:spacing w:line="360" w:lineRule="auto"/>
              <w:ind w:firstLine="480" w:firstLineChars="200"/>
              <w:rPr>
                <w:color w:val="auto"/>
              </w:rPr>
            </w:pPr>
            <w:r>
              <w:rPr>
                <w:rFonts w:hint="eastAsia"/>
                <w:color w:val="auto"/>
                <w:sz w:val="24"/>
              </w:rPr>
              <w:t>综上，有组织非甲烷总烃经</w:t>
            </w:r>
            <w:r>
              <w:rPr>
                <w:rFonts w:hint="eastAsia"/>
                <w:color w:val="auto"/>
                <w:sz w:val="24"/>
                <w:lang w:val="en-US" w:eastAsia="zh-CN"/>
              </w:rPr>
              <w:t>通风橱/密闭式管道</w:t>
            </w:r>
            <w:r>
              <w:rPr>
                <w:rFonts w:hint="eastAsia"/>
                <w:color w:val="auto"/>
                <w:sz w:val="24"/>
              </w:rPr>
              <w:t>+二级活性炭吸附收集处理后，通过</w:t>
            </w:r>
            <w:r>
              <w:rPr>
                <w:rFonts w:hint="eastAsia"/>
                <w:color w:val="auto"/>
                <w:sz w:val="24"/>
                <w:lang w:eastAsia="zh-CN"/>
              </w:rPr>
              <w:t>17m</w:t>
            </w:r>
            <w:r>
              <w:rPr>
                <w:rFonts w:hint="eastAsia"/>
                <w:color w:val="auto"/>
                <w:sz w:val="24"/>
              </w:rPr>
              <w:t>排气筒排放</w:t>
            </w:r>
            <w:r>
              <w:rPr>
                <w:rFonts w:hint="eastAsia"/>
                <w:color w:val="auto"/>
                <w:sz w:val="24"/>
                <w:lang w:eastAsia="zh-CN"/>
              </w:rPr>
              <w:t>。</w:t>
            </w:r>
            <w:r>
              <w:rPr>
                <w:rFonts w:hint="eastAsia"/>
                <w:color w:val="auto"/>
                <w:sz w:val="24"/>
                <w:lang w:val="en-US" w:eastAsia="zh-CN"/>
              </w:rPr>
              <w:t>通风橱收集效率按90%计</w:t>
            </w:r>
            <w:r>
              <w:rPr>
                <w:rFonts w:hint="eastAsia"/>
                <w:color w:val="auto"/>
                <w:sz w:val="24"/>
              </w:rPr>
              <w:t>，</w:t>
            </w:r>
            <w:r>
              <w:rPr>
                <w:rFonts w:hint="default" w:ascii="Times New Roman" w:hAnsi="Times New Roman" w:eastAsia="宋体" w:cs="Times New Roman"/>
                <w:color w:val="auto"/>
                <w:sz w:val="24"/>
                <w:lang w:val="en-US" w:eastAsia="zh-CN"/>
              </w:rPr>
              <w:t>密闭式管道收集效率按98%计，</w:t>
            </w:r>
            <w:r>
              <w:rPr>
                <w:rFonts w:hint="eastAsia"/>
                <w:color w:val="auto"/>
                <w:sz w:val="24"/>
              </w:rPr>
              <w:t>二级活性炭吸附效率根据《</w:t>
            </w:r>
            <w:r>
              <w:rPr>
                <w:rFonts w:ascii="宋体" w:hAnsi="宋体" w:cs="宋体"/>
                <w:color w:val="auto"/>
                <w:sz w:val="24"/>
              </w:rPr>
              <w:t>主要污染物总量减排核算技术指南</w:t>
            </w:r>
            <w:r>
              <w:rPr>
                <w:color w:val="auto"/>
                <w:sz w:val="24"/>
              </w:rPr>
              <w:t>（2022年修订）</w:t>
            </w:r>
            <w:r>
              <w:rPr>
                <w:rFonts w:hint="eastAsia"/>
                <w:color w:val="auto"/>
                <w:sz w:val="24"/>
              </w:rPr>
              <w:t>》（环办综合函（2022）350号）表2-3 VOCs废气收集率和治理设施去除率通用系数中一次活性炭吸附集中再生并活化VOCs去除效率为50%核算，本项目使用二级活性炭去除效率为75%。</w:t>
            </w:r>
            <w:r>
              <w:rPr>
                <w:rFonts w:hint="eastAsia"/>
                <w:color w:val="auto"/>
                <w:sz w:val="24"/>
                <w:szCs w:val="24"/>
                <w:lang w:val="en-US" w:eastAsia="zh-CN"/>
              </w:rPr>
              <w:t>选用的卷</w:t>
            </w:r>
            <w:r>
              <w:rPr>
                <w:rFonts w:hint="eastAsia" w:ascii="Times New Roman" w:hAnsi="Times New Roman" w:eastAsia="宋体" w:cs="Times New Roman"/>
                <w:color w:val="auto"/>
                <w:sz w:val="24"/>
                <w:szCs w:val="24"/>
                <w:lang w:val="en-US" w:eastAsia="zh-CN"/>
              </w:rPr>
              <w:t>材涂布机和</w:t>
            </w:r>
            <w:r>
              <w:rPr>
                <w:rFonts w:hint="eastAsia"/>
                <w:color w:val="auto"/>
                <w:sz w:val="24"/>
                <w:szCs w:val="24"/>
                <w:lang w:val="en-US" w:eastAsia="zh-CN"/>
              </w:rPr>
              <w:t>烘箱为一体机，风量为3000</w:t>
            </w:r>
            <w:r>
              <w:rPr>
                <w:bCs/>
                <w:color w:val="auto"/>
                <w:sz w:val="24"/>
                <w:szCs w:val="24"/>
              </w:rPr>
              <w:t>m</w:t>
            </w:r>
            <w:r>
              <w:rPr>
                <w:bCs/>
                <w:color w:val="auto"/>
                <w:sz w:val="24"/>
                <w:szCs w:val="24"/>
                <w:vertAlign w:val="superscript"/>
              </w:rPr>
              <w:t>3</w:t>
            </w:r>
            <w:r>
              <w:rPr>
                <w:bCs/>
                <w:color w:val="auto"/>
                <w:sz w:val="24"/>
                <w:szCs w:val="24"/>
              </w:rPr>
              <w:t>/h，</w:t>
            </w:r>
            <w:r>
              <w:rPr>
                <w:rFonts w:hint="eastAsia"/>
                <w:bCs/>
                <w:color w:val="auto"/>
                <w:sz w:val="24"/>
                <w:szCs w:val="24"/>
                <w:lang w:val="en-US" w:eastAsia="zh-CN"/>
              </w:rPr>
              <w:t>通风橱通风橱宽1.5米，安全操作开启高度0.5米，设计要求面风速0.5米/秒，则所需风量为Q=V×A×3600=0.5×1.5×0.5×3600=1350</w:t>
            </w:r>
            <w:r>
              <w:rPr>
                <w:bCs/>
                <w:color w:val="auto"/>
                <w:sz w:val="24"/>
                <w:szCs w:val="24"/>
              </w:rPr>
              <w:t>m</w:t>
            </w:r>
            <w:r>
              <w:rPr>
                <w:bCs/>
                <w:color w:val="auto"/>
                <w:sz w:val="24"/>
                <w:szCs w:val="24"/>
                <w:vertAlign w:val="superscript"/>
              </w:rPr>
              <w:t>3</w:t>
            </w:r>
            <w:r>
              <w:rPr>
                <w:bCs/>
                <w:color w:val="auto"/>
                <w:sz w:val="24"/>
                <w:szCs w:val="24"/>
              </w:rPr>
              <w:t>/h</w:t>
            </w:r>
            <w:r>
              <w:rPr>
                <w:rFonts w:hint="eastAsia"/>
                <w:bCs/>
                <w:color w:val="auto"/>
                <w:sz w:val="24"/>
                <w:szCs w:val="24"/>
                <w:lang w:eastAsia="zh-CN"/>
              </w:rPr>
              <w:t>，</w:t>
            </w:r>
            <w:r>
              <w:rPr>
                <w:rFonts w:hint="eastAsia"/>
                <w:bCs/>
                <w:color w:val="auto"/>
                <w:sz w:val="24"/>
                <w:szCs w:val="24"/>
                <w:lang w:val="en-US" w:eastAsia="zh-CN"/>
              </w:rPr>
              <w:t>产生的废气经一根排气筒进行排放，则理论上</w:t>
            </w:r>
            <w:r>
              <w:rPr>
                <w:bCs/>
                <w:color w:val="auto"/>
                <w:sz w:val="24"/>
              </w:rPr>
              <w:t>风机风量为</w:t>
            </w:r>
            <w:r>
              <w:rPr>
                <w:rFonts w:hint="eastAsia"/>
                <w:bCs/>
                <w:color w:val="auto"/>
                <w:sz w:val="24"/>
                <w:lang w:val="en-US" w:eastAsia="zh-CN"/>
              </w:rPr>
              <w:t>435</w:t>
            </w:r>
            <w:r>
              <w:rPr>
                <w:bCs/>
                <w:color w:val="auto"/>
                <w:sz w:val="24"/>
              </w:rPr>
              <w:t>0m</w:t>
            </w:r>
            <w:r>
              <w:rPr>
                <w:bCs/>
                <w:color w:val="auto"/>
                <w:sz w:val="24"/>
                <w:vertAlign w:val="superscript"/>
              </w:rPr>
              <w:t>3</w:t>
            </w:r>
            <w:r>
              <w:rPr>
                <w:bCs/>
                <w:color w:val="auto"/>
                <w:sz w:val="24"/>
              </w:rPr>
              <w:t>/h</w:t>
            </w:r>
            <w:r>
              <w:rPr>
                <w:bCs/>
                <w:color w:val="auto"/>
                <w:sz w:val="24"/>
                <w:szCs w:val="24"/>
              </w:rPr>
              <w:t>，</w:t>
            </w:r>
            <w:r>
              <w:rPr>
                <w:rFonts w:hint="eastAsia"/>
                <w:color w:val="auto"/>
                <w:sz w:val="24"/>
                <w:szCs w:val="24"/>
                <w:highlight w:val="none"/>
              </w:rPr>
              <w:t>考虑到管道风量漏风，设计风量取计算风量的1.2倍，则</w:t>
            </w:r>
            <w:r>
              <w:rPr>
                <w:rFonts w:hint="eastAsia"/>
                <w:color w:val="auto"/>
                <w:sz w:val="24"/>
                <w:szCs w:val="24"/>
                <w:highlight w:val="none"/>
                <w:lang w:val="en-US" w:eastAsia="zh-CN"/>
              </w:rPr>
              <w:t>设计</w:t>
            </w:r>
            <w:r>
              <w:rPr>
                <w:rFonts w:hint="eastAsia"/>
                <w:color w:val="auto"/>
                <w:sz w:val="24"/>
                <w:szCs w:val="24"/>
                <w:highlight w:val="none"/>
              </w:rPr>
              <w:t>风量为</w:t>
            </w:r>
            <w:r>
              <w:rPr>
                <w:rFonts w:hint="eastAsia"/>
                <w:color w:val="auto"/>
                <w:sz w:val="24"/>
                <w:szCs w:val="24"/>
                <w:highlight w:val="none"/>
                <w:lang w:val="en-US" w:eastAsia="zh-CN"/>
              </w:rPr>
              <w:t>5220</w:t>
            </w:r>
            <w:r>
              <w:rPr>
                <w:rFonts w:hint="eastAsia"/>
                <w:color w:val="auto"/>
                <w:sz w:val="24"/>
                <w:szCs w:val="24"/>
                <w:highlight w:val="none"/>
              </w:rPr>
              <w:t>m</w:t>
            </w:r>
            <w:r>
              <w:rPr>
                <w:rFonts w:hint="eastAsia"/>
                <w:color w:val="auto"/>
                <w:sz w:val="24"/>
                <w:szCs w:val="24"/>
                <w:highlight w:val="none"/>
                <w:vertAlign w:val="superscript"/>
              </w:rPr>
              <w:t>3</w:t>
            </w:r>
            <w:r>
              <w:rPr>
                <w:rFonts w:hint="eastAsia"/>
                <w:color w:val="auto"/>
                <w:sz w:val="24"/>
                <w:szCs w:val="24"/>
                <w:highlight w:val="none"/>
              </w:rPr>
              <w:t>/h，取整为</w:t>
            </w:r>
            <w:r>
              <w:rPr>
                <w:rFonts w:hint="eastAsia"/>
                <w:color w:val="auto"/>
                <w:sz w:val="24"/>
                <w:szCs w:val="24"/>
                <w:highlight w:val="none"/>
                <w:lang w:val="en-US" w:eastAsia="zh-CN"/>
              </w:rPr>
              <w:t>5300</w:t>
            </w:r>
            <w:r>
              <w:rPr>
                <w:rFonts w:hint="eastAsia"/>
                <w:color w:val="auto"/>
                <w:sz w:val="24"/>
                <w:szCs w:val="24"/>
                <w:highlight w:val="none"/>
              </w:rPr>
              <w:t>m</w:t>
            </w:r>
            <w:r>
              <w:rPr>
                <w:rFonts w:hint="eastAsia"/>
                <w:color w:val="auto"/>
                <w:sz w:val="24"/>
                <w:szCs w:val="24"/>
                <w:highlight w:val="none"/>
                <w:vertAlign w:val="superscript"/>
              </w:rPr>
              <w:t>3</w:t>
            </w:r>
            <w:r>
              <w:rPr>
                <w:rFonts w:hint="eastAsia"/>
                <w:color w:val="auto"/>
                <w:sz w:val="24"/>
                <w:szCs w:val="24"/>
                <w:highlight w:val="none"/>
              </w:rPr>
              <w:t>/h。</w:t>
            </w:r>
            <w:r>
              <w:rPr>
                <w:bCs/>
                <w:color w:val="auto"/>
                <w:sz w:val="24"/>
                <w:highlight w:val="none"/>
              </w:rPr>
              <w:t>年工作</w:t>
            </w:r>
            <w:r>
              <w:rPr>
                <w:rFonts w:hint="eastAsia"/>
                <w:bCs/>
                <w:color w:val="auto"/>
                <w:sz w:val="24"/>
                <w:highlight w:val="none"/>
                <w:lang w:val="en-US" w:eastAsia="zh-CN"/>
              </w:rPr>
              <w:t>2000</w:t>
            </w:r>
            <w:r>
              <w:rPr>
                <w:bCs/>
                <w:color w:val="auto"/>
                <w:sz w:val="24"/>
                <w:highlight w:val="none"/>
              </w:rPr>
              <w:t>h</w:t>
            </w:r>
            <w:r>
              <w:rPr>
                <w:rFonts w:hint="eastAsia"/>
                <w:bCs/>
                <w:color w:val="auto"/>
                <w:sz w:val="24"/>
              </w:rPr>
              <w:t>，具体产污环节、废气产生和排放量见下表所示</w:t>
            </w:r>
            <w:r>
              <w:rPr>
                <w:bCs/>
                <w:color w:val="auto"/>
                <w:sz w:val="24"/>
              </w:rPr>
              <w:t>。</w:t>
            </w:r>
          </w:p>
          <w:p w14:paraId="736104A0">
            <w:pPr>
              <w:tabs>
                <w:tab w:val="left" w:pos="2539"/>
              </w:tabs>
              <w:adjustRightInd w:val="0"/>
              <w:snapToGrid w:val="0"/>
              <w:jc w:val="center"/>
              <w:rPr>
                <w:b/>
                <w:color w:val="auto"/>
                <w:sz w:val="24"/>
              </w:rPr>
            </w:pPr>
            <w:r>
              <w:rPr>
                <w:rFonts w:hint="eastAsia"/>
                <w:b/>
                <w:color w:val="auto"/>
                <w:sz w:val="24"/>
              </w:rPr>
              <w:t xml:space="preserve">表4-2   </w:t>
            </w:r>
            <w:r>
              <w:rPr>
                <w:rFonts w:hint="eastAsia"/>
                <w:b/>
                <w:color w:val="auto"/>
                <w:sz w:val="24"/>
                <w:lang w:val="en-US" w:eastAsia="zh-CN"/>
              </w:rPr>
              <w:t>项目</w:t>
            </w:r>
            <w:r>
              <w:rPr>
                <w:rFonts w:hint="eastAsia"/>
                <w:b/>
                <w:color w:val="auto"/>
                <w:sz w:val="24"/>
              </w:rPr>
              <w:t>废气产生及排放结果汇总表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80"/>
              <w:gridCol w:w="1334"/>
              <w:gridCol w:w="801"/>
              <w:gridCol w:w="997"/>
              <w:gridCol w:w="857"/>
              <w:gridCol w:w="1035"/>
              <w:gridCol w:w="870"/>
              <w:gridCol w:w="847"/>
            </w:tblGrid>
            <w:tr w14:paraId="2A0276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pct"/>
                  <w:vMerge w:val="restart"/>
                  <w:tcBorders>
                    <w:tl2br w:val="nil"/>
                    <w:tr2bl w:val="nil"/>
                  </w:tcBorders>
                  <w:noWrap w:val="0"/>
                  <w:vAlign w:val="center"/>
                </w:tcPr>
                <w:p w14:paraId="1AB29F8F">
                  <w:pPr>
                    <w:adjustRightInd w:val="0"/>
                    <w:snapToGrid w:val="0"/>
                    <w:jc w:val="center"/>
                    <w:rPr>
                      <w:b/>
                      <w:bCs/>
                      <w:color w:val="auto"/>
                    </w:rPr>
                  </w:pPr>
                  <w:r>
                    <w:rPr>
                      <w:b/>
                      <w:bCs/>
                      <w:color w:val="auto"/>
                    </w:rPr>
                    <w:t>产污环节</w:t>
                  </w:r>
                </w:p>
              </w:tc>
              <w:tc>
                <w:tcPr>
                  <w:tcW w:w="811" w:type="pct"/>
                  <w:vMerge w:val="restart"/>
                  <w:tcBorders>
                    <w:tl2br w:val="nil"/>
                    <w:tr2bl w:val="nil"/>
                  </w:tcBorders>
                  <w:noWrap w:val="0"/>
                  <w:vAlign w:val="center"/>
                </w:tcPr>
                <w:p w14:paraId="6DFD525C">
                  <w:pPr>
                    <w:adjustRightInd w:val="0"/>
                    <w:snapToGrid w:val="0"/>
                    <w:jc w:val="center"/>
                    <w:rPr>
                      <w:b/>
                      <w:bCs/>
                      <w:color w:val="auto"/>
                    </w:rPr>
                  </w:pPr>
                  <w:r>
                    <w:rPr>
                      <w:b/>
                      <w:bCs/>
                      <w:color w:val="auto"/>
                    </w:rPr>
                    <w:t>污染物种类</w:t>
                  </w:r>
                </w:p>
              </w:tc>
              <w:tc>
                <w:tcPr>
                  <w:tcW w:w="1614" w:type="pct"/>
                  <w:gridSpan w:val="3"/>
                  <w:tcBorders>
                    <w:tl2br w:val="nil"/>
                    <w:tr2bl w:val="nil"/>
                  </w:tcBorders>
                  <w:noWrap w:val="0"/>
                  <w:vAlign w:val="center"/>
                </w:tcPr>
                <w:p w14:paraId="4D31C378">
                  <w:pPr>
                    <w:adjustRightInd w:val="0"/>
                    <w:snapToGrid w:val="0"/>
                    <w:jc w:val="center"/>
                    <w:rPr>
                      <w:b/>
                      <w:bCs/>
                      <w:color w:val="auto"/>
                    </w:rPr>
                  </w:pPr>
                  <w:r>
                    <w:rPr>
                      <w:b/>
                      <w:bCs/>
                      <w:color w:val="auto"/>
                    </w:rPr>
                    <w:t>污染物产生</w:t>
                  </w:r>
                </w:p>
              </w:tc>
              <w:tc>
                <w:tcPr>
                  <w:tcW w:w="1673" w:type="pct"/>
                  <w:gridSpan w:val="3"/>
                  <w:tcBorders>
                    <w:tl2br w:val="nil"/>
                    <w:tr2bl w:val="nil"/>
                  </w:tcBorders>
                  <w:noWrap w:val="0"/>
                  <w:vAlign w:val="center"/>
                </w:tcPr>
                <w:p w14:paraId="0D97114E">
                  <w:pPr>
                    <w:adjustRightInd w:val="0"/>
                    <w:snapToGrid w:val="0"/>
                    <w:jc w:val="center"/>
                    <w:rPr>
                      <w:b/>
                      <w:bCs/>
                      <w:color w:val="auto"/>
                    </w:rPr>
                  </w:pPr>
                  <w:r>
                    <w:rPr>
                      <w:b/>
                      <w:bCs/>
                      <w:color w:val="auto"/>
                    </w:rPr>
                    <w:t>污染物排放</w:t>
                  </w:r>
                </w:p>
              </w:tc>
            </w:tr>
            <w:tr w14:paraId="03ACF9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pct"/>
                  <w:vMerge w:val="continue"/>
                  <w:tcBorders>
                    <w:tl2br w:val="nil"/>
                    <w:tr2bl w:val="nil"/>
                  </w:tcBorders>
                  <w:noWrap w:val="0"/>
                  <w:vAlign w:val="center"/>
                </w:tcPr>
                <w:p w14:paraId="21786AA8">
                  <w:pPr>
                    <w:adjustRightInd w:val="0"/>
                    <w:snapToGrid w:val="0"/>
                    <w:jc w:val="center"/>
                    <w:rPr>
                      <w:b/>
                      <w:bCs/>
                      <w:color w:val="auto"/>
                    </w:rPr>
                  </w:pPr>
                </w:p>
              </w:tc>
              <w:tc>
                <w:tcPr>
                  <w:tcW w:w="811" w:type="pct"/>
                  <w:vMerge w:val="continue"/>
                  <w:tcBorders>
                    <w:tl2br w:val="nil"/>
                    <w:tr2bl w:val="nil"/>
                  </w:tcBorders>
                  <w:noWrap w:val="0"/>
                  <w:vAlign w:val="center"/>
                </w:tcPr>
                <w:p w14:paraId="36D09444">
                  <w:pPr>
                    <w:adjustRightInd w:val="0"/>
                    <w:snapToGrid w:val="0"/>
                    <w:jc w:val="center"/>
                    <w:rPr>
                      <w:b/>
                      <w:bCs/>
                      <w:color w:val="auto"/>
                    </w:rPr>
                  </w:pPr>
                </w:p>
              </w:tc>
              <w:tc>
                <w:tcPr>
                  <w:tcW w:w="487" w:type="pct"/>
                  <w:tcBorders>
                    <w:tl2br w:val="nil"/>
                    <w:tr2bl w:val="nil"/>
                  </w:tcBorders>
                  <w:noWrap w:val="0"/>
                  <w:vAlign w:val="center"/>
                </w:tcPr>
                <w:p w14:paraId="5C18E770">
                  <w:pPr>
                    <w:pStyle w:val="70"/>
                    <w:adjustRightInd w:val="0"/>
                    <w:snapToGrid w:val="0"/>
                    <w:spacing w:line="240" w:lineRule="auto"/>
                    <w:ind w:firstLine="0"/>
                    <w:jc w:val="center"/>
                    <w:rPr>
                      <w:b/>
                      <w:bCs/>
                      <w:color w:val="auto"/>
                      <w:szCs w:val="21"/>
                    </w:rPr>
                  </w:pPr>
                  <w:r>
                    <w:rPr>
                      <w:b/>
                      <w:bCs/>
                      <w:color w:val="auto"/>
                      <w:szCs w:val="21"/>
                    </w:rPr>
                    <w:t>产生量t/a</w:t>
                  </w:r>
                </w:p>
              </w:tc>
              <w:tc>
                <w:tcPr>
                  <w:tcW w:w="606" w:type="pct"/>
                  <w:tcBorders>
                    <w:tl2br w:val="nil"/>
                    <w:tr2bl w:val="nil"/>
                  </w:tcBorders>
                  <w:noWrap w:val="0"/>
                  <w:vAlign w:val="center"/>
                </w:tcPr>
                <w:p w14:paraId="06E0C664">
                  <w:pPr>
                    <w:pStyle w:val="70"/>
                    <w:adjustRightInd w:val="0"/>
                    <w:snapToGrid w:val="0"/>
                    <w:spacing w:line="240" w:lineRule="auto"/>
                    <w:ind w:firstLine="0"/>
                    <w:jc w:val="center"/>
                    <w:rPr>
                      <w:b/>
                      <w:bCs/>
                      <w:color w:val="auto"/>
                      <w:szCs w:val="21"/>
                    </w:rPr>
                  </w:pPr>
                  <w:r>
                    <w:rPr>
                      <w:rFonts w:hint="eastAsia"/>
                      <w:b/>
                      <w:bCs/>
                      <w:color w:val="auto"/>
                      <w:szCs w:val="21"/>
                    </w:rPr>
                    <w:t>产生</w:t>
                  </w:r>
                  <w:r>
                    <w:rPr>
                      <w:b/>
                      <w:bCs/>
                      <w:color w:val="auto"/>
                      <w:szCs w:val="21"/>
                    </w:rPr>
                    <w:t>速率kg/h</w:t>
                  </w:r>
                </w:p>
              </w:tc>
              <w:tc>
                <w:tcPr>
                  <w:tcW w:w="520" w:type="pct"/>
                  <w:tcBorders>
                    <w:tl2br w:val="nil"/>
                    <w:tr2bl w:val="nil"/>
                  </w:tcBorders>
                  <w:noWrap w:val="0"/>
                  <w:vAlign w:val="center"/>
                </w:tcPr>
                <w:p w14:paraId="7FAFB1B7">
                  <w:pPr>
                    <w:pStyle w:val="70"/>
                    <w:adjustRightInd w:val="0"/>
                    <w:snapToGrid w:val="0"/>
                    <w:spacing w:line="240" w:lineRule="auto"/>
                    <w:ind w:firstLine="0"/>
                    <w:jc w:val="center"/>
                    <w:rPr>
                      <w:b/>
                      <w:bCs/>
                      <w:color w:val="auto"/>
                      <w:szCs w:val="21"/>
                    </w:rPr>
                  </w:pPr>
                  <w:r>
                    <w:rPr>
                      <w:b/>
                      <w:bCs/>
                      <w:color w:val="auto"/>
                      <w:szCs w:val="21"/>
                    </w:rPr>
                    <w:t>产生</w:t>
                  </w:r>
                </w:p>
                <w:p w14:paraId="67D5E7E4">
                  <w:pPr>
                    <w:pStyle w:val="70"/>
                    <w:adjustRightInd w:val="0"/>
                    <w:snapToGrid w:val="0"/>
                    <w:spacing w:line="240" w:lineRule="auto"/>
                    <w:ind w:firstLine="0"/>
                    <w:jc w:val="center"/>
                    <w:rPr>
                      <w:b/>
                      <w:bCs/>
                      <w:color w:val="auto"/>
                      <w:szCs w:val="21"/>
                    </w:rPr>
                  </w:pPr>
                  <w:r>
                    <w:rPr>
                      <w:b/>
                      <w:bCs/>
                      <w:color w:val="auto"/>
                      <w:szCs w:val="21"/>
                    </w:rPr>
                    <w:t>浓度mg/m</w:t>
                  </w:r>
                  <w:r>
                    <w:rPr>
                      <w:b/>
                      <w:bCs/>
                      <w:color w:val="auto"/>
                      <w:szCs w:val="21"/>
                      <w:vertAlign w:val="superscript"/>
                    </w:rPr>
                    <w:t>3</w:t>
                  </w:r>
                </w:p>
              </w:tc>
              <w:tc>
                <w:tcPr>
                  <w:tcW w:w="629" w:type="pct"/>
                  <w:tcBorders>
                    <w:tl2br w:val="nil"/>
                    <w:tr2bl w:val="nil"/>
                  </w:tcBorders>
                  <w:noWrap w:val="0"/>
                  <w:vAlign w:val="center"/>
                </w:tcPr>
                <w:p w14:paraId="4E8AA285">
                  <w:pPr>
                    <w:pStyle w:val="70"/>
                    <w:adjustRightInd w:val="0"/>
                    <w:snapToGrid w:val="0"/>
                    <w:spacing w:line="240" w:lineRule="auto"/>
                    <w:ind w:firstLine="0"/>
                    <w:jc w:val="center"/>
                    <w:rPr>
                      <w:b/>
                      <w:bCs/>
                      <w:color w:val="auto"/>
                      <w:szCs w:val="21"/>
                    </w:rPr>
                  </w:pPr>
                  <w:r>
                    <w:rPr>
                      <w:b/>
                      <w:bCs/>
                      <w:color w:val="auto"/>
                      <w:szCs w:val="21"/>
                    </w:rPr>
                    <w:t>排放量t/a</w:t>
                  </w:r>
                </w:p>
              </w:tc>
              <w:tc>
                <w:tcPr>
                  <w:tcW w:w="529" w:type="pct"/>
                  <w:tcBorders>
                    <w:tl2br w:val="nil"/>
                    <w:tr2bl w:val="nil"/>
                  </w:tcBorders>
                  <w:noWrap w:val="0"/>
                  <w:vAlign w:val="center"/>
                </w:tcPr>
                <w:p w14:paraId="604C1EAF">
                  <w:pPr>
                    <w:pStyle w:val="70"/>
                    <w:adjustRightInd w:val="0"/>
                    <w:snapToGrid w:val="0"/>
                    <w:spacing w:line="240" w:lineRule="auto"/>
                    <w:ind w:firstLine="0"/>
                    <w:jc w:val="center"/>
                    <w:rPr>
                      <w:b/>
                      <w:bCs/>
                      <w:color w:val="auto"/>
                      <w:szCs w:val="21"/>
                    </w:rPr>
                  </w:pPr>
                  <w:r>
                    <w:rPr>
                      <w:rFonts w:hint="eastAsia"/>
                      <w:b/>
                      <w:bCs/>
                      <w:color w:val="auto"/>
                      <w:szCs w:val="21"/>
                    </w:rPr>
                    <w:t>排放</w:t>
                  </w:r>
                  <w:r>
                    <w:rPr>
                      <w:b/>
                      <w:bCs/>
                      <w:color w:val="auto"/>
                      <w:szCs w:val="21"/>
                    </w:rPr>
                    <w:t>速率kg/h</w:t>
                  </w:r>
                </w:p>
              </w:tc>
              <w:tc>
                <w:tcPr>
                  <w:tcW w:w="515" w:type="pct"/>
                  <w:tcBorders>
                    <w:tl2br w:val="nil"/>
                    <w:tr2bl w:val="nil"/>
                  </w:tcBorders>
                  <w:noWrap w:val="0"/>
                  <w:vAlign w:val="center"/>
                </w:tcPr>
                <w:p w14:paraId="3DC58671">
                  <w:pPr>
                    <w:pStyle w:val="70"/>
                    <w:adjustRightInd w:val="0"/>
                    <w:snapToGrid w:val="0"/>
                    <w:spacing w:line="240" w:lineRule="auto"/>
                    <w:ind w:firstLine="0"/>
                    <w:jc w:val="center"/>
                    <w:rPr>
                      <w:b/>
                      <w:bCs/>
                      <w:color w:val="auto"/>
                      <w:szCs w:val="21"/>
                    </w:rPr>
                  </w:pPr>
                  <w:r>
                    <w:rPr>
                      <w:b/>
                      <w:bCs/>
                      <w:color w:val="auto"/>
                      <w:szCs w:val="21"/>
                    </w:rPr>
                    <w:t>排放</w:t>
                  </w:r>
                </w:p>
                <w:p w14:paraId="340F6F53">
                  <w:pPr>
                    <w:pStyle w:val="70"/>
                    <w:adjustRightInd w:val="0"/>
                    <w:snapToGrid w:val="0"/>
                    <w:spacing w:line="240" w:lineRule="auto"/>
                    <w:ind w:firstLine="0"/>
                    <w:jc w:val="center"/>
                    <w:rPr>
                      <w:b/>
                      <w:bCs/>
                      <w:color w:val="auto"/>
                      <w:szCs w:val="21"/>
                    </w:rPr>
                  </w:pPr>
                  <w:r>
                    <w:rPr>
                      <w:b/>
                      <w:bCs/>
                      <w:color w:val="auto"/>
                      <w:szCs w:val="21"/>
                    </w:rPr>
                    <w:t>浓度mg/m</w:t>
                  </w:r>
                  <w:r>
                    <w:rPr>
                      <w:b/>
                      <w:bCs/>
                      <w:color w:val="auto"/>
                      <w:szCs w:val="21"/>
                      <w:vertAlign w:val="superscript"/>
                    </w:rPr>
                    <w:t>3</w:t>
                  </w:r>
                </w:p>
              </w:tc>
            </w:tr>
            <w:tr w14:paraId="6D16DE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pct"/>
                  <w:tcBorders>
                    <w:tl2br w:val="nil"/>
                    <w:tr2bl w:val="nil"/>
                  </w:tcBorders>
                  <w:noWrap w:val="0"/>
                  <w:vAlign w:val="center"/>
                </w:tcPr>
                <w:p w14:paraId="0F3576C9">
                  <w:pPr>
                    <w:adjustRightInd w:val="0"/>
                    <w:snapToGrid w:val="0"/>
                    <w:jc w:val="center"/>
                    <w:rPr>
                      <w:color w:val="auto"/>
                    </w:rPr>
                  </w:pPr>
                  <w:r>
                    <w:rPr>
                      <w:rFonts w:hint="default"/>
                      <w:color w:val="auto"/>
                      <w:lang w:val="en-US" w:eastAsia="zh-CN"/>
                    </w:rPr>
                    <w:t>催化浆料配制工序</w:t>
                  </w:r>
                </w:p>
              </w:tc>
              <w:tc>
                <w:tcPr>
                  <w:tcW w:w="811" w:type="pct"/>
                  <w:tcBorders>
                    <w:tl2br w:val="nil"/>
                    <w:tr2bl w:val="nil"/>
                  </w:tcBorders>
                  <w:noWrap w:val="0"/>
                  <w:vAlign w:val="center"/>
                </w:tcPr>
                <w:p w14:paraId="4ADCEF7B">
                  <w:pPr>
                    <w:adjustRightInd w:val="0"/>
                    <w:snapToGrid w:val="0"/>
                    <w:jc w:val="center"/>
                    <w:rPr>
                      <w:color w:val="auto"/>
                    </w:rPr>
                  </w:pPr>
                  <w:r>
                    <w:rPr>
                      <w:rFonts w:hint="eastAsia"/>
                      <w:color w:val="auto"/>
                    </w:rPr>
                    <w:t>非甲烷总烃</w:t>
                  </w:r>
                </w:p>
              </w:tc>
              <w:tc>
                <w:tcPr>
                  <w:tcW w:w="487" w:type="pct"/>
                  <w:tcBorders>
                    <w:tl2br w:val="nil"/>
                    <w:tr2bl w:val="nil"/>
                  </w:tcBorders>
                  <w:noWrap w:val="0"/>
                  <w:vAlign w:val="center"/>
                </w:tcPr>
                <w:p w14:paraId="454819F3">
                  <w:pPr>
                    <w:adjustRightInd w:val="0"/>
                    <w:snapToGrid w:val="0"/>
                    <w:jc w:val="center"/>
                    <w:rPr>
                      <w:rFonts w:hint="default" w:eastAsia="宋体"/>
                      <w:color w:val="auto"/>
                      <w:lang w:val="en-US" w:eastAsia="zh-CN"/>
                    </w:rPr>
                  </w:pPr>
                  <w:r>
                    <w:rPr>
                      <w:rFonts w:hint="eastAsia"/>
                      <w:color w:val="auto"/>
                      <w:lang w:val="en-US" w:eastAsia="zh-CN"/>
                    </w:rPr>
                    <w:t>0.105</w:t>
                  </w:r>
                </w:p>
              </w:tc>
              <w:tc>
                <w:tcPr>
                  <w:tcW w:w="606" w:type="pct"/>
                  <w:vMerge w:val="restart"/>
                  <w:tcBorders>
                    <w:tl2br w:val="nil"/>
                    <w:tr2bl w:val="nil"/>
                  </w:tcBorders>
                  <w:noWrap w:val="0"/>
                  <w:vAlign w:val="center"/>
                </w:tcPr>
                <w:p w14:paraId="056575E6">
                  <w:pPr>
                    <w:adjustRightInd w:val="0"/>
                    <w:snapToGrid w:val="0"/>
                    <w:jc w:val="center"/>
                    <w:rPr>
                      <w:rFonts w:hint="default" w:eastAsia="宋体"/>
                      <w:color w:val="auto"/>
                      <w:lang w:val="en-US" w:eastAsia="zh-CN"/>
                    </w:rPr>
                  </w:pPr>
                  <w:r>
                    <w:rPr>
                      <w:rFonts w:hint="eastAsia"/>
                      <w:color w:val="auto"/>
                      <w:lang w:val="en-US" w:eastAsia="zh-CN"/>
                    </w:rPr>
                    <w:t>0.697</w:t>
                  </w:r>
                </w:p>
              </w:tc>
              <w:tc>
                <w:tcPr>
                  <w:tcW w:w="520" w:type="pct"/>
                  <w:vMerge w:val="restart"/>
                  <w:tcBorders>
                    <w:tl2br w:val="nil"/>
                    <w:tr2bl w:val="nil"/>
                  </w:tcBorders>
                  <w:noWrap w:val="0"/>
                  <w:vAlign w:val="center"/>
                </w:tcPr>
                <w:p w14:paraId="29B06FFD">
                  <w:pPr>
                    <w:adjustRightInd w:val="0"/>
                    <w:snapToGrid w:val="0"/>
                    <w:jc w:val="center"/>
                    <w:rPr>
                      <w:rFonts w:hint="default" w:eastAsia="宋体"/>
                      <w:color w:val="auto"/>
                      <w:lang w:val="en-US" w:eastAsia="zh-CN"/>
                    </w:rPr>
                  </w:pPr>
                  <w:r>
                    <w:rPr>
                      <w:rFonts w:hint="eastAsia"/>
                      <w:color w:val="auto"/>
                      <w:lang w:val="en-US" w:eastAsia="zh-CN"/>
                    </w:rPr>
                    <w:t>131.5</w:t>
                  </w:r>
                </w:p>
              </w:tc>
              <w:tc>
                <w:tcPr>
                  <w:tcW w:w="629" w:type="pct"/>
                  <w:vMerge w:val="restart"/>
                  <w:tcBorders>
                    <w:tl2br w:val="nil"/>
                    <w:tr2bl w:val="nil"/>
                  </w:tcBorders>
                  <w:noWrap w:val="0"/>
                  <w:vAlign w:val="center"/>
                </w:tcPr>
                <w:p w14:paraId="1C26E6D5">
                  <w:pPr>
                    <w:adjustRightInd w:val="0"/>
                    <w:snapToGrid w:val="0"/>
                    <w:jc w:val="center"/>
                    <w:rPr>
                      <w:rFonts w:hint="default" w:eastAsia="宋体"/>
                      <w:color w:val="auto"/>
                      <w:lang w:val="en-US" w:eastAsia="zh-CN"/>
                    </w:rPr>
                  </w:pPr>
                  <w:r>
                    <w:rPr>
                      <w:rFonts w:hint="eastAsia"/>
                      <w:color w:val="auto"/>
                      <w:lang w:val="en-US" w:eastAsia="zh-CN"/>
                    </w:rPr>
                    <w:t>0.349</w:t>
                  </w:r>
                </w:p>
              </w:tc>
              <w:tc>
                <w:tcPr>
                  <w:tcW w:w="529" w:type="pct"/>
                  <w:vMerge w:val="restart"/>
                  <w:tcBorders>
                    <w:tl2br w:val="nil"/>
                    <w:tr2bl w:val="nil"/>
                  </w:tcBorders>
                  <w:noWrap w:val="0"/>
                  <w:vAlign w:val="center"/>
                </w:tcPr>
                <w:p w14:paraId="2FC23776">
                  <w:pPr>
                    <w:adjustRightInd w:val="0"/>
                    <w:snapToGrid w:val="0"/>
                    <w:jc w:val="center"/>
                    <w:rPr>
                      <w:rFonts w:hint="default" w:eastAsia="宋体"/>
                      <w:color w:val="auto"/>
                      <w:lang w:val="en-US" w:eastAsia="zh-CN"/>
                    </w:rPr>
                  </w:pPr>
                  <w:r>
                    <w:rPr>
                      <w:rFonts w:hint="eastAsia" w:eastAsia="宋体"/>
                      <w:color w:val="auto"/>
                      <w:lang w:val="en-US" w:eastAsia="zh-CN"/>
                    </w:rPr>
                    <w:t>0.</w:t>
                  </w:r>
                  <w:r>
                    <w:rPr>
                      <w:rFonts w:hint="eastAsia"/>
                      <w:color w:val="auto"/>
                      <w:lang w:val="en-US" w:eastAsia="zh-CN"/>
                    </w:rPr>
                    <w:t>175</w:t>
                  </w:r>
                </w:p>
              </w:tc>
              <w:tc>
                <w:tcPr>
                  <w:tcW w:w="515" w:type="pct"/>
                  <w:vMerge w:val="restart"/>
                  <w:tcBorders>
                    <w:tl2br w:val="nil"/>
                    <w:tr2bl w:val="nil"/>
                  </w:tcBorders>
                  <w:noWrap w:val="0"/>
                  <w:vAlign w:val="center"/>
                </w:tcPr>
                <w:p w14:paraId="4D709A97">
                  <w:pPr>
                    <w:adjustRightInd w:val="0"/>
                    <w:snapToGrid w:val="0"/>
                    <w:jc w:val="center"/>
                    <w:rPr>
                      <w:rFonts w:hint="default" w:eastAsia="宋体"/>
                      <w:color w:val="auto"/>
                      <w:lang w:val="en-US" w:eastAsia="zh-CN"/>
                    </w:rPr>
                  </w:pPr>
                  <w:r>
                    <w:rPr>
                      <w:rFonts w:hint="eastAsia"/>
                      <w:color w:val="auto"/>
                      <w:lang w:val="en-US" w:eastAsia="zh-CN"/>
                    </w:rPr>
                    <w:t>33</w:t>
                  </w:r>
                </w:p>
              </w:tc>
            </w:tr>
            <w:tr w14:paraId="5FE062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pct"/>
                  <w:tcBorders>
                    <w:tl2br w:val="nil"/>
                    <w:tr2bl w:val="nil"/>
                  </w:tcBorders>
                  <w:noWrap w:val="0"/>
                  <w:vAlign w:val="center"/>
                </w:tcPr>
                <w:p w14:paraId="30CBF167">
                  <w:pPr>
                    <w:adjustRightInd w:val="0"/>
                    <w:snapToGrid w:val="0"/>
                    <w:jc w:val="center"/>
                    <w:rPr>
                      <w:color w:val="auto"/>
                    </w:rPr>
                  </w:pPr>
                  <w:r>
                    <w:rPr>
                      <w:rFonts w:hint="eastAsia"/>
                      <w:color w:val="auto"/>
                      <w:lang w:val="en-US" w:eastAsia="zh-CN"/>
                    </w:rPr>
                    <w:t>催化剂涂覆膜制备工序</w:t>
                  </w:r>
                </w:p>
              </w:tc>
              <w:tc>
                <w:tcPr>
                  <w:tcW w:w="811" w:type="pct"/>
                  <w:tcBorders>
                    <w:tl2br w:val="nil"/>
                    <w:tr2bl w:val="nil"/>
                  </w:tcBorders>
                  <w:noWrap w:val="0"/>
                  <w:vAlign w:val="center"/>
                </w:tcPr>
                <w:p w14:paraId="11586B59">
                  <w:pPr>
                    <w:adjustRightInd w:val="0"/>
                    <w:snapToGrid w:val="0"/>
                    <w:jc w:val="center"/>
                    <w:rPr>
                      <w:color w:val="auto"/>
                    </w:rPr>
                  </w:pPr>
                  <w:r>
                    <w:rPr>
                      <w:rFonts w:hint="eastAsia"/>
                      <w:color w:val="auto"/>
                    </w:rPr>
                    <w:t>非甲烷总烃</w:t>
                  </w:r>
                </w:p>
              </w:tc>
              <w:tc>
                <w:tcPr>
                  <w:tcW w:w="487" w:type="pct"/>
                  <w:tcBorders>
                    <w:tl2br w:val="nil"/>
                    <w:tr2bl w:val="nil"/>
                  </w:tcBorders>
                  <w:noWrap w:val="0"/>
                  <w:vAlign w:val="center"/>
                </w:tcPr>
                <w:p w14:paraId="5C9A62B8">
                  <w:pPr>
                    <w:adjustRightInd w:val="0"/>
                    <w:snapToGrid w:val="0"/>
                    <w:jc w:val="center"/>
                    <w:rPr>
                      <w:rFonts w:hint="default" w:eastAsia="宋体"/>
                      <w:color w:val="auto"/>
                      <w:lang w:val="en-US" w:eastAsia="zh-CN"/>
                    </w:rPr>
                  </w:pPr>
                  <w:r>
                    <w:rPr>
                      <w:rFonts w:hint="eastAsia"/>
                      <w:color w:val="auto"/>
                      <w:lang w:val="en-US" w:eastAsia="zh-CN"/>
                    </w:rPr>
                    <w:t>1.028</w:t>
                  </w:r>
                </w:p>
              </w:tc>
              <w:tc>
                <w:tcPr>
                  <w:tcW w:w="606" w:type="pct"/>
                  <w:vMerge w:val="continue"/>
                  <w:tcBorders>
                    <w:tl2br w:val="nil"/>
                    <w:tr2bl w:val="nil"/>
                  </w:tcBorders>
                  <w:noWrap w:val="0"/>
                  <w:vAlign w:val="center"/>
                </w:tcPr>
                <w:p w14:paraId="7B7DC638">
                  <w:pPr>
                    <w:adjustRightInd w:val="0"/>
                    <w:snapToGrid w:val="0"/>
                    <w:jc w:val="center"/>
                    <w:rPr>
                      <w:color w:val="auto"/>
                    </w:rPr>
                  </w:pPr>
                </w:p>
              </w:tc>
              <w:tc>
                <w:tcPr>
                  <w:tcW w:w="520" w:type="pct"/>
                  <w:vMerge w:val="continue"/>
                  <w:tcBorders>
                    <w:tl2br w:val="nil"/>
                    <w:tr2bl w:val="nil"/>
                  </w:tcBorders>
                  <w:noWrap w:val="0"/>
                  <w:vAlign w:val="center"/>
                </w:tcPr>
                <w:p w14:paraId="7AA35EE7">
                  <w:pPr>
                    <w:adjustRightInd w:val="0"/>
                    <w:snapToGrid w:val="0"/>
                    <w:jc w:val="center"/>
                    <w:rPr>
                      <w:color w:val="auto"/>
                    </w:rPr>
                  </w:pPr>
                </w:p>
              </w:tc>
              <w:tc>
                <w:tcPr>
                  <w:tcW w:w="629" w:type="pct"/>
                  <w:vMerge w:val="continue"/>
                  <w:tcBorders>
                    <w:tl2br w:val="nil"/>
                    <w:tr2bl w:val="nil"/>
                  </w:tcBorders>
                  <w:noWrap w:val="0"/>
                  <w:vAlign w:val="center"/>
                </w:tcPr>
                <w:p w14:paraId="7412A17A">
                  <w:pPr>
                    <w:adjustRightInd w:val="0"/>
                    <w:snapToGrid w:val="0"/>
                    <w:jc w:val="center"/>
                    <w:rPr>
                      <w:color w:val="auto"/>
                    </w:rPr>
                  </w:pPr>
                </w:p>
              </w:tc>
              <w:tc>
                <w:tcPr>
                  <w:tcW w:w="529" w:type="pct"/>
                  <w:vMerge w:val="continue"/>
                  <w:tcBorders>
                    <w:tl2br w:val="nil"/>
                    <w:tr2bl w:val="nil"/>
                  </w:tcBorders>
                  <w:noWrap w:val="0"/>
                  <w:vAlign w:val="center"/>
                </w:tcPr>
                <w:p w14:paraId="7924B275">
                  <w:pPr>
                    <w:adjustRightInd w:val="0"/>
                    <w:snapToGrid w:val="0"/>
                    <w:jc w:val="center"/>
                    <w:rPr>
                      <w:color w:val="auto"/>
                    </w:rPr>
                  </w:pPr>
                </w:p>
              </w:tc>
              <w:tc>
                <w:tcPr>
                  <w:tcW w:w="515" w:type="pct"/>
                  <w:vMerge w:val="continue"/>
                  <w:tcBorders>
                    <w:tl2br w:val="nil"/>
                    <w:tr2bl w:val="nil"/>
                  </w:tcBorders>
                  <w:noWrap w:val="0"/>
                  <w:vAlign w:val="center"/>
                </w:tcPr>
                <w:p w14:paraId="0301226E">
                  <w:pPr>
                    <w:adjustRightInd w:val="0"/>
                    <w:snapToGrid w:val="0"/>
                    <w:jc w:val="center"/>
                    <w:rPr>
                      <w:color w:val="auto"/>
                    </w:rPr>
                  </w:pPr>
                </w:p>
              </w:tc>
            </w:tr>
            <w:tr w14:paraId="641C2A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pct"/>
                  <w:tcBorders>
                    <w:tl2br w:val="nil"/>
                    <w:tr2bl w:val="nil"/>
                  </w:tcBorders>
                  <w:noWrap w:val="0"/>
                  <w:vAlign w:val="center"/>
                </w:tcPr>
                <w:p w14:paraId="426C3779">
                  <w:pPr>
                    <w:adjustRightInd w:val="0"/>
                    <w:snapToGrid w:val="0"/>
                    <w:jc w:val="center"/>
                    <w:rPr>
                      <w:color w:val="auto"/>
                    </w:rPr>
                  </w:pPr>
                  <w:r>
                    <w:rPr>
                      <w:rFonts w:hint="eastAsia"/>
                      <w:color w:val="auto"/>
                      <w:lang w:val="en-US" w:eastAsia="zh-CN"/>
                    </w:rPr>
                    <w:t>变色材料制备工序</w:t>
                  </w:r>
                </w:p>
              </w:tc>
              <w:tc>
                <w:tcPr>
                  <w:tcW w:w="811" w:type="pct"/>
                  <w:tcBorders>
                    <w:tl2br w:val="nil"/>
                    <w:tr2bl w:val="nil"/>
                  </w:tcBorders>
                  <w:noWrap w:val="0"/>
                  <w:vAlign w:val="center"/>
                </w:tcPr>
                <w:p w14:paraId="1B023766">
                  <w:pPr>
                    <w:adjustRightInd w:val="0"/>
                    <w:snapToGrid w:val="0"/>
                    <w:jc w:val="center"/>
                    <w:rPr>
                      <w:color w:val="auto"/>
                    </w:rPr>
                  </w:pPr>
                  <w:r>
                    <w:rPr>
                      <w:rFonts w:hint="eastAsia"/>
                      <w:color w:val="auto"/>
                    </w:rPr>
                    <w:t>非甲烷总烃</w:t>
                  </w:r>
                </w:p>
              </w:tc>
              <w:tc>
                <w:tcPr>
                  <w:tcW w:w="487" w:type="pct"/>
                  <w:tcBorders>
                    <w:tl2br w:val="nil"/>
                    <w:tr2bl w:val="nil"/>
                  </w:tcBorders>
                  <w:noWrap w:val="0"/>
                  <w:vAlign w:val="center"/>
                </w:tcPr>
                <w:p w14:paraId="0C7B8434">
                  <w:pPr>
                    <w:adjustRightInd w:val="0"/>
                    <w:snapToGrid w:val="0"/>
                    <w:jc w:val="center"/>
                    <w:rPr>
                      <w:rFonts w:hint="default" w:eastAsia="宋体"/>
                      <w:color w:val="auto"/>
                      <w:lang w:val="en-US" w:eastAsia="zh-CN"/>
                    </w:rPr>
                  </w:pPr>
                  <w:r>
                    <w:rPr>
                      <w:rFonts w:hint="eastAsia"/>
                      <w:color w:val="auto"/>
                      <w:lang w:val="en-US" w:eastAsia="zh-CN"/>
                    </w:rPr>
                    <w:t>0.143</w:t>
                  </w:r>
                </w:p>
              </w:tc>
              <w:tc>
                <w:tcPr>
                  <w:tcW w:w="606" w:type="pct"/>
                  <w:vMerge w:val="continue"/>
                  <w:tcBorders>
                    <w:tl2br w:val="nil"/>
                    <w:tr2bl w:val="nil"/>
                  </w:tcBorders>
                  <w:noWrap w:val="0"/>
                  <w:vAlign w:val="center"/>
                </w:tcPr>
                <w:p w14:paraId="08BCDDDD">
                  <w:pPr>
                    <w:adjustRightInd w:val="0"/>
                    <w:snapToGrid w:val="0"/>
                    <w:jc w:val="center"/>
                    <w:rPr>
                      <w:color w:val="auto"/>
                    </w:rPr>
                  </w:pPr>
                </w:p>
              </w:tc>
              <w:tc>
                <w:tcPr>
                  <w:tcW w:w="520" w:type="pct"/>
                  <w:vMerge w:val="continue"/>
                  <w:tcBorders>
                    <w:tl2br w:val="nil"/>
                    <w:tr2bl w:val="nil"/>
                  </w:tcBorders>
                  <w:noWrap w:val="0"/>
                  <w:vAlign w:val="center"/>
                </w:tcPr>
                <w:p w14:paraId="0BE0749B">
                  <w:pPr>
                    <w:adjustRightInd w:val="0"/>
                    <w:snapToGrid w:val="0"/>
                    <w:jc w:val="center"/>
                    <w:rPr>
                      <w:color w:val="auto"/>
                    </w:rPr>
                  </w:pPr>
                </w:p>
              </w:tc>
              <w:tc>
                <w:tcPr>
                  <w:tcW w:w="629" w:type="pct"/>
                  <w:vMerge w:val="continue"/>
                  <w:tcBorders>
                    <w:tl2br w:val="nil"/>
                    <w:tr2bl w:val="nil"/>
                  </w:tcBorders>
                  <w:noWrap w:val="0"/>
                  <w:vAlign w:val="center"/>
                </w:tcPr>
                <w:p w14:paraId="608EC958">
                  <w:pPr>
                    <w:adjustRightInd w:val="0"/>
                    <w:snapToGrid w:val="0"/>
                    <w:jc w:val="center"/>
                    <w:rPr>
                      <w:color w:val="auto"/>
                    </w:rPr>
                  </w:pPr>
                </w:p>
              </w:tc>
              <w:tc>
                <w:tcPr>
                  <w:tcW w:w="529" w:type="pct"/>
                  <w:vMerge w:val="continue"/>
                  <w:tcBorders>
                    <w:tl2br w:val="nil"/>
                    <w:tr2bl w:val="nil"/>
                  </w:tcBorders>
                  <w:noWrap w:val="0"/>
                  <w:vAlign w:val="center"/>
                </w:tcPr>
                <w:p w14:paraId="1E9E23FA">
                  <w:pPr>
                    <w:adjustRightInd w:val="0"/>
                    <w:snapToGrid w:val="0"/>
                    <w:jc w:val="center"/>
                    <w:rPr>
                      <w:color w:val="auto"/>
                    </w:rPr>
                  </w:pPr>
                </w:p>
              </w:tc>
              <w:tc>
                <w:tcPr>
                  <w:tcW w:w="515" w:type="pct"/>
                  <w:vMerge w:val="continue"/>
                  <w:tcBorders>
                    <w:tl2br w:val="nil"/>
                    <w:tr2bl w:val="nil"/>
                  </w:tcBorders>
                  <w:noWrap w:val="0"/>
                  <w:vAlign w:val="center"/>
                </w:tcPr>
                <w:p w14:paraId="33EFB3D3">
                  <w:pPr>
                    <w:adjustRightInd w:val="0"/>
                    <w:snapToGrid w:val="0"/>
                    <w:jc w:val="center"/>
                    <w:rPr>
                      <w:color w:val="auto"/>
                    </w:rPr>
                  </w:pPr>
                </w:p>
              </w:tc>
            </w:tr>
            <w:tr w14:paraId="00A6F3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pct"/>
                  <w:tcBorders>
                    <w:tl2br w:val="nil"/>
                    <w:tr2bl w:val="nil"/>
                  </w:tcBorders>
                  <w:noWrap w:val="0"/>
                  <w:vAlign w:val="center"/>
                </w:tcPr>
                <w:p w14:paraId="0B3E4B58">
                  <w:pPr>
                    <w:adjustRightInd w:val="0"/>
                    <w:snapToGrid w:val="0"/>
                    <w:jc w:val="center"/>
                    <w:rPr>
                      <w:color w:val="auto"/>
                    </w:rPr>
                  </w:pPr>
                  <w:r>
                    <w:rPr>
                      <w:rFonts w:hint="eastAsia"/>
                      <w:color w:val="auto"/>
                      <w:lang w:val="en-US" w:eastAsia="zh-CN"/>
                    </w:rPr>
                    <w:t>敏感层制备工序</w:t>
                  </w:r>
                </w:p>
              </w:tc>
              <w:tc>
                <w:tcPr>
                  <w:tcW w:w="811" w:type="pct"/>
                  <w:tcBorders>
                    <w:tl2br w:val="nil"/>
                    <w:tr2bl w:val="nil"/>
                  </w:tcBorders>
                  <w:noWrap w:val="0"/>
                  <w:vAlign w:val="center"/>
                </w:tcPr>
                <w:p w14:paraId="0F93DF8A">
                  <w:pPr>
                    <w:adjustRightInd w:val="0"/>
                    <w:snapToGrid w:val="0"/>
                    <w:jc w:val="center"/>
                    <w:rPr>
                      <w:color w:val="auto"/>
                    </w:rPr>
                  </w:pPr>
                  <w:r>
                    <w:rPr>
                      <w:rFonts w:hint="eastAsia"/>
                      <w:color w:val="auto"/>
                    </w:rPr>
                    <w:t>非甲烷总烃</w:t>
                  </w:r>
                </w:p>
              </w:tc>
              <w:tc>
                <w:tcPr>
                  <w:tcW w:w="487" w:type="pct"/>
                  <w:tcBorders>
                    <w:tl2br w:val="nil"/>
                    <w:tr2bl w:val="nil"/>
                  </w:tcBorders>
                  <w:noWrap w:val="0"/>
                  <w:vAlign w:val="center"/>
                </w:tcPr>
                <w:p w14:paraId="4EF90F4F">
                  <w:pPr>
                    <w:adjustRightInd w:val="0"/>
                    <w:snapToGrid w:val="0"/>
                    <w:jc w:val="center"/>
                    <w:rPr>
                      <w:rFonts w:hint="default" w:eastAsia="宋体"/>
                      <w:color w:val="auto"/>
                      <w:lang w:val="en-US" w:eastAsia="zh-CN"/>
                    </w:rPr>
                  </w:pPr>
                  <w:r>
                    <w:rPr>
                      <w:rFonts w:hint="eastAsia"/>
                      <w:color w:val="auto"/>
                      <w:lang w:val="en-US" w:eastAsia="zh-CN"/>
                    </w:rPr>
                    <w:t>0.118</w:t>
                  </w:r>
                </w:p>
              </w:tc>
              <w:tc>
                <w:tcPr>
                  <w:tcW w:w="606" w:type="pct"/>
                  <w:vMerge w:val="continue"/>
                  <w:tcBorders>
                    <w:tl2br w:val="nil"/>
                    <w:tr2bl w:val="nil"/>
                  </w:tcBorders>
                  <w:noWrap w:val="0"/>
                  <w:vAlign w:val="center"/>
                </w:tcPr>
                <w:p w14:paraId="7DBFFD59">
                  <w:pPr>
                    <w:adjustRightInd w:val="0"/>
                    <w:snapToGrid w:val="0"/>
                    <w:jc w:val="center"/>
                    <w:rPr>
                      <w:color w:val="auto"/>
                    </w:rPr>
                  </w:pPr>
                </w:p>
              </w:tc>
              <w:tc>
                <w:tcPr>
                  <w:tcW w:w="520" w:type="pct"/>
                  <w:vMerge w:val="continue"/>
                  <w:tcBorders>
                    <w:tl2br w:val="nil"/>
                    <w:tr2bl w:val="nil"/>
                  </w:tcBorders>
                  <w:noWrap w:val="0"/>
                  <w:vAlign w:val="center"/>
                </w:tcPr>
                <w:p w14:paraId="6BAF0BD0">
                  <w:pPr>
                    <w:adjustRightInd w:val="0"/>
                    <w:snapToGrid w:val="0"/>
                    <w:jc w:val="center"/>
                    <w:rPr>
                      <w:color w:val="auto"/>
                    </w:rPr>
                  </w:pPr>
                </w:p>
              </w:tc>
              <w:tc>
                <w:tcPr>
                  <w:tcW w:w="629" w:type="pct"/>
                  <w:vMerge w:val="continue"/>
                  <w:tcBorders>
                    <w:tl2br w:val="nil"/>
                    <w:tr2bl w:val="nil"/>
                  </w:tcBorders>
                  <w:noWrap w:val="0"/>
                  <w:vAlign w:val="center"/>
                </w:tcPr>
                <w:p w14:paraId="1B210D89">
                  <w:pPr>
                    <w:adjustRightInd w:val="0"/>
                    <w:snapToGrid w:val="0"/>
                    <w:jc w:val="center"/>
                    <w:rPr>
                      <w:color w:val="auto"/>
                    </w:rPr>
                  </w:pPr>
                </w:p>
              </w:tc>
              <w:tc>
                <w:tcPr>
                  <w:tcW w:w="529" w:type="pct"/>
                  <w:vMerge w:val="continue"/>
                  <w:tcBorders>
                    <w:tl2br w:val="nil"/>
                    <w:tr2bl w:val="nil"/>
                  </w:tcBorders>
                  <w:noWrap w:val="0"/>
                  <w:vAlign w:val="center"/>
                </w:tcPr>
                <w:p w14:paraId="6695C966">
                  <w:pPr>
                    <w:adjustRightInd w:val="0"/>
                    <w:snapToGrid w:val="0"/>
                    <w:jc w:val="center"/>
                    <w:rPr>
                      <w:color w:val="auto"/>
                    </w:rPr>
                  </w:pPr>
                </w:p>
              </w:tc>
              <w:tc>
                <w:tcPr>
                  <w:tcW w:w="515" w:type="pct"/>
                  <w:vMerge w:val="continue"/>
                  <w:tcBorders>
                    <w:tl2br w:val="nil"/>
                    <w:tr2bl w:val="nil"/>
                  </w:tcBorders>
                  <w:noWrap w:val="0"/>
                  <w:vAlign w:val="center"/>
                </w:tcPr>
                <w:p w14:paraId="1AD3A78B">
                  <w:pPr>
                    <w:adjustRightInd w:val="0"/>
                    <w:snapToGrid w:val="0"/>
                    <w:jc w:val="center"/>
                    <w:rPr>
                      <w:color w:val="auto"/>
                    </w:rPr>
                  </w:pPr>
                </w:p>
              </w:tc>
            </w:tr>
            <w:tr w14:paraId="69BA72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11" w:type="pct"/>
                  <w:gridSpan w:val="2"/>
                  <w:tcBorders>
                    <w:tl2br w:val="nil"/>
                    <w:tr2bl w:val="nil"/>
                  </w:tcBorders>
                  <w:noWrap w:val="0"/>
                  <w:vAlign w:val="center"/>
                </w:tcPr>
                <w:p w14:paraId="1876EA8B">
                  <w:pPr>
                    <w:adjustRightInd w:val="0"/>
                    <w:snapToGrid w:val="0"/>
                    <w:jc w:val="center"/>
                    <w:rPr>
                      <w:color w:val="auto"/>
                    </w:rPr>
                  </w:pPr>
                  <w:r>
                    <w:rPr>
                      <w:rFonts w:hint="eastAsia"/>
                      <w:color w:val="auto"/>
                    </w:rPr>
                    <w:t>DA00</w:t>
                  </w:r>
                  <w:r>
                    <w:rPr>
                      <w:rFonts w:hint="eastAsia"/>
                      <w:color w:val="auto"/>
                      <w:lang w:val="en-US" w:eastAsia="zh-CN"/>
                    </w:rPr>
                    <w:t>1</w:t>
                  </w:r>
                  <w:r>
                    <w:rPr>
                      <w:rFonts w:hint="eastAsia"/>
                      <w:color w:val="auto"/>
                    </w:rPr>
                    <w:t>合计</w:t>
                  </w:r>
                </w:p>
              </w:tc>
              <w:tc>
                <w:tcPr>
                  <w:tcW w:w="487" w:type="pct"/>
                  <w:tcBorders>
                    <w:tl2br w:val="nil"/>
                    <w:tr2bl w:val="nil"/>
                  </w:tcBorders>
                  <w:noWrap w:val="0"/>
                  <w:vAlign w:val="center"/>
                </w:tcPr>
                <w:p w14:paraId="689A6764">
                  <w:pPr>
                    <w:adjustRightInd w:val="0"/>
                    <w:snapToGrid w:val="0"/>
                    <w:jc w:val="center"/>
                    <w:rPr>
                      <w:rFonts w:hint="default" w:eastAsia="宋体"/>
                      <w:color w:val="auto"/>
                      <w:lang w:val="en-US" w:eastAsia="zh-CN"/>
                    </w:rPr>
                  </w:pPr>
                  <w:r>
                    <w:rPr>
                      <w:rFonts w:hint="eastAsia"/>
                      <w:color w:val="auto"/>
                      <w:lang w:val="en-US" w:eastAsia="zh-CN"/>
                    </w:rPr>
                    <w:t>1.394</w:t>
                  </w:r>
                </w:p>
              </w:tc>
              <w:tc>
                <w:tcPr>
                  <w:tcW w:w="606" w:type="pct"/>
                  <w:vMerge w:val="continue"/>
                  <w:tcBorders>
                    <w:tl2br w:val="nil"/>
                    <w:tr2bl w:val="nil"/>
                  </w:tcBorders>
                  <w:noWrap w:val="0"/>
                  <w:vAlign w:val="center"/>
                </w:tcPr>
                <w:p w14:paraId="497E3CF9">
                  <w:pPr>
                    <w:adjustRightInd w:val="0"/>
                    <w:snapToGrid w:val="0"/>
                    <w:jc w:val="center"/>
                    <w:rPr>
                      <w:color w:val="auto"/>
                    </w:rPr>
                  </w:pPr>
                </w:p>
              </w:tc>
              <w:tc>
                <w:tcPr>
                  <w:tcW w:w="520" w:type="pct"/>
                  <w:vMerge w:val="continue"/>
                  <w:tcBorders>
                    <w:tl2br w:val="nil"/>
                    <w:tr2bl w:val="nil"/>
                  </w:tcBorders>
                  <w:noWrap w:val="0"/>
                  <w:vAlign w:val="center"/>
                </w:tcPr>
                <w:p w14:paraId="25B81D9B">
                  <w:pPr>
                    <w:adjustRightInd w:val="0"/>
                    <w:snapToGrid w:val="0"/>
                    <w:jc w:val="center"/>
                    <w:rPr>
                      <w:color w:val="auto"/>
                    </w:rPr>
                  </w:pPr>
                </w:p>
              </w:tc>
              <w:tc>
                <w:tcPr>
                  <w:tcW w:w="629" w:type="pct"/>
                  <w:vMerge w:val="continue"/>
                  <w:tcBorders>
                    <w:tl2br w:val="nil"/>
                    <w:tr2bl w:val="nil"/>
                  </w:tcBorders>
                  <w:noWrap w:val="0"/>
                  <w:vAlign w:val="center"/>
                </w:tcPr>
                <w:p w14:paraId="635AD0A5">
                  <w:pPr>
                    <w:adjustRightInd w:val="0"/>
                    <w:snapToGrid w:val="0"/>
                    <w:jc w:val="center"/>
                    <w:rPr>
                      <w:color w:val="auto"/>
                    </w:rPr>
                  </w:pPr>
                </w:p>
              </w:tc>
              <w:tc>
                <w:tcPr>
                  <w:tcW w:w="529" w:type="pct"/>
                  <w:vMerge w:val="continue"/>
                  <w:tcBorders>
                    <w:tl2br w:val="nil"/>
                    <w:tr2bl w:val="nil"/>
                  </w:tcBorders>
                  <w:noWrap w:val="0"/>
                  <w:vAlign w:val="center"/>
                </w:tcPr>
                <w:p w14:paraId="692EC466">
                  <w:pPr>
                    <w:adjustRightInd w:val="0"/>
                    <w:snapToGrid w:val="0"/>
                    <w:jc w:val="center"/>
                    <w:rPr>
                      <w:color w:val="auto"/>
                    </w:rPr>
                  </w:pPr>
                </w:p>
              </w:tc>
              <w:tc>
                <w:tcPr>
                  <w:tcW w:w="515" w:type="pct"/>
                  <w:vMerge w:val="continue"/>
                  <w:tcBorders>
                    <w:tl2br w:val="nil"/>
                    <w:tr2bl w:val="nil"/>
                  </w:tcBorders>
                  <w:noWrap w:val="0"/>
                  <w:vAlign w:val="center"/>
                </w:tcPr>
                <w:p w14:paraId="09CC0391">
                  <w:pPr>
                    <w:adjustRightInd w:val="0"/>
                    <w:snapToGrid w:val="0"/>
                    <w:jc w:val="center"/>
                    <w:rPr>
                      <w:color w:val="auto"/>
                    </w:rPr>
                  </w:pPr>
                </w:p>
              </w:tc>
            </w:tr>
            <w:tr w14:paraId="60CC87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11" w:type="pct"/>
                  <w:gridSpan w:val="2"/>
                  <w:tcBorders>
                    <w:tl2br w:val="nil"/>
                    <w:tr2bl w:val="nil"/>
                  </w:tcBorders>
                  <w:noWrap w:val="0"/>
                  <w:vAlign w:val="center"/>
                </w:tcPr>
                <w:p w14:paraId="49AE2C89">
                  <w:pPr>
                    <w:adjustRightInd w:val="0"/>
                    <w:snapToGrid w:val="0"/>
                    <w:jc w:val="center"/>
                    <w:rPr>
                      <w:rFonts w:hint="eastAsia"/>
                      <w:color w:val="auto"/>
                      <w:kern w:val="2"/>
                      <w:sz w:val="21"/>
                      <w:szCs w:val="24"/>
                      <w:lang w:val="en-US" w:eastAsia="zh-CN" w:bidi="ar-SA"/>
                    </w:rPr>
                  </w:pPr>
                  <w:r>
                    <w:rPr>
                      <w:rFonts w:hint="default"/>
                      <w:color w:val="auto"/>
                      <w:lang w:val="en-US" w:eastAsia="zh-CN"/>
                    </w:rPr>
                    <w:t>催化浆料配制</w:t>
                  </w:r>
                  <w:r>
                    <w:rPr>
                      <w:rFonts w:hint="eastAsia"/>
                      <w:color w:val="auto"/>
                      <w:lang w:val="en-US" w:eastAsia="zh-CN"/>
                    </w:rPr>
                    <w:t>废气</w:t>
                  </w:r>
                </w:p>
              </w:tc>
              <w:tc>
                <w:tcPr>
                  <w:tcW w:w="487" w:type="pct"/>
                  <w:tcBorders>
                    <w:tl2br w:val="nil"/>
                    <w:tr2bl w:val="nil"/>
                  </w:tcBorders>
                  <w:noWrap w:val="0"/>
                  <w:vAlign w:val="center"/>
                </w:tcPr>
                <w:p w14:paraId="62C2B28F">
                  <w:pPr>
                    <w:adjustRightInd w:val="0"/>
                    <w:snapToGrid w:val="0"/>
                    <w:jc w:val="center"/>
                    <w:rPr>
                      <w:rFonts w:hint="eastAsia" w:eastAsia="宋体"/>
                      <w:color w:val="auto"/>
                      <w:kern w:val="2"/>
                      <w:sz w:val="21"/>
                      <w:szCs w:val="24"/>
                      <w:lang w:val="en-US" w:eastAsia="zh-CN" w:bidi="ar-SA"/>
                    </w:rPr>
                  </w:pPr>
                  <w:r>
                    <w:rPr>
                      <w:rFonts w:hint="eastAsia"/>
                      <w:color w:val="auto"/>
                      <w:lang w:val="en-US" w:eastAsia="zh-CN"/>
                    </w:rPr>
                    <w:t>0.0117</w:t>
                  </w:r>
                </w:p>
              </w:tc>
              <w:tc>
                <w:tcPr>
                  <w:tcW w:w="606" w:type="pct"/>
                  <w:tcBorders>
                    <w:tl2br w:val="nil"/>
                    <w:tr2bl w:val="nil"/>
                  </w:tcBorders>
                  <w:noWrap w:val="0"/>
                  <w:vAlign w:val="center"/>
                </w:tcPr>
                <w:p w14:paraId="318AE551">
                  <w:pPr>
                    <w:keepNext w:val="0"/>
                    <w:keepLines w:val="0"/>
                    <w:widowControl/>
                    <w:suppressLineNumbers w:val="0"/>
                    <w:jc w:val="right"/>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2"/>
                      <w:szCs w:val="22"/>
                      <w:u w:val="none"/>
                      <w:lang w:val="en-US" w:eastAsia="zh-CN" w:bidi="ar"/>
                    </w:rPr>
                    <w:t>0.0059</w:t>
                  </w:r>
                </w:p>
              </w:tc>
              <w:tc>
                <w:tcPr>
                  <w:tcW w:w="520" w:type="pct"/>
                  <w:tcBorders>
                    <w:tl2br w:val="nil"/>
                    <w:tr2bl w:val="nil"/>
                  </w:tcBorders>
                  <w:noWrap w:val="0"/>
                  <w:vAlign w:val="center"/>
                </w:tcPr>
                <w:p w14:paraId="1F747ABC">
                  <w:pPr>
                    <w:adjustRightInd w:val="0"/>
                    <w:snapToGrid w:val="0"/>
                    <w:jc w:val="center"/>
                    <w:rPr>
                      <w:rFonts w:hint="eastAsia" w:eastAsia="宋体"/>
                      <w:color w:val="auto"/>
                      <w:lang w:val="en-US" w:eastAsia="zh-CN"/>
                    </w:rPr>
                  </w:pPr>
                  <w:r>
                    <w:rPr>
                      <w:rFonts w:hint="eastAsia"/>
                      <w:color w:val="auto"/>
                      <w:lang w:val="en-US" w:eastAsia="zh-CN"/>
                    </w:rPr>
                    <w:t>/</w:t>
                  </w:r>
                </w:p>
              </w:tc>
              <w:tc>
                <w:tcPr>
                  <w:tcW w:w="629" w:type="pct"/>
                  <w:tcBorders>
                    <w:tl2br w:val="nil"/>
                    <w:tr2bl w:val="nil"/>
                  </w:tcBorders>
                  <w:noWrap w:val="0"/>
                  <w:vAlign w:val="center"/>
                </w:tcPr>
                <w:p w14:paraId="3446238C">
                  <w:pPr>
                    <w:adjustRightInd w:val="0"/>
                    <w:snapToGrid w:val="0"/>
                    <w:jc w:val="center"/>
                    <w:rPr>
                      <w:rFonts w:hint="eastAsia" w:eastAsia="宋体"/>
                      <w:color w:val="auto"/>
                      <w:kern w:val="2"/>
                      <w:sz w:val="21"/>
                      <w:szCs w:val="24"/>
                      <w:lang w:val="en-US" w:eastAsia="zh-CN" w:bidi="ar-SA"/>
                    </w:rPr>
                  </w:pPr>
                  <w:r>
                    <w:rPr>
                      <w:rFonts w:hint="eastAsia"/>
                      <w:color w:val="auto"/>
                      <w:lang w:val="en-US" w:eastAsia="zh-CN"/>
                    </w:rPr>
                    <w:t>0.0117</w:t>
                  </w:r>
                </w:p>
              </w:tc>
              <w:tc>
                <w:tcPr>
                  <w:tcW w:w="529" w:type="pct"/>
                  <w:tcBorders>
                    <w:tl2br w:val="nil"/>
                    <w:tr2bl w:val="nil"/>
                  </w:tcBorders>
                  <w:noWrap w:val="0"/>
                  <w:vAlign w:val="center"/>
                </w:tcPr>
                <w:p w14:paraId="1E5DDF6D">
                  <w:pPr>
                    <w:keepNext w:val="0"/>
                    <w:keepLines w:val="0"/>
                    <w:widowControl/>
                    <w:suppressLineNumbers w:val="0"/>
                    <w:jc w:val="right"/>
                    <w:textAlignment w:val="center"/>
                    <w:rPr>
                      <w:rFonts w:hint="default" w:ascii="Times New Roman" w:hAnsi="Times New Roman"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0.0059</w:t>
                  </w:r>
                </w:p>
              </w:tc>
              <w:tc>
                <w:tcPr>
                  <w:tcW w:w="515" w:type="pct"/>
                  <w:tcBorders>
                    <w:tl2br w:val="nil"/>
                    <w:tr2bl w:val="nil"/>
                  </w:tcBorders>
                  <w:noWrap w:val="0"/>
                  <w:vAlign w:val="center"/>
                </w:tcPr>
                <w:p w14:paraId="08FC978C">
                  <w:pPr>
                    <w:adjustRightInd w:val="0"/>
                    <w:snapToGrid w:val="0"/>
                    <w:jc w:val="center"/>
                    <w:rPr>
                      <w:rFonts w:hint="eastAsia" w:eastAsia="宋体"/>
                      <w:color w:val="auto"/>
                      <w:lang w:val="en-US" w:eastAsia="zh-CN"/>
                    </w:rPr>
                  </w:pPr>
                  <w:r>
                    <w:rPr>
                      <w:rFonts w:hint="eastAsia"/>
                      <w:color w:val="auto"/>
                      <w:lang w:val="en-US" w:eastAsia="zh-CN"/>
                    </w:rPr>
                    <w:t>/</w:t>
                  </w:r>
                </w:p>
              </w:tc>
            </w:tr>
            <w:tr w14:paraId="401623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11" w:type="pct"/>
                  <w:gridSpan w:val="2"/>
                  <w:tcBorders>
                    <w:tl2br w:val="nil"/>
                    <w:tr2bl w:val="nil"/>
                  </w:tcBorders>
                  <w:noWrap w:val="0"/>
                  <w:vAlign w:val="center"/>
                </w:tcPr>
                <w:p w14:paraId="5D02B399">
                  <w:pPr>
                    <w:adjustRightInd w:val="0"/>
                    <w:snapToGrid w:val="0"/>
                    <w:jc w:val="center"/>
                    <w:rPr>
                      <w:rFonts w:hint="eastAsia"/>
                      <w:color w:val="auto"/>
                      <w:kern w:val="2"/>
                      <w:sz w:val="21"/>
                      <w:szCs w:val="24"/>
                      <w:lang w:val="en-US" w:eastAsia="zh-CN" w:bidi="ar-SA"/>
                    </w:rPr>
                  </w:pPr>
                  <w:r>
                    <w:rPr>
                      <w:rFonts w:hint="eastAsia"/>
                      <w:color w:val="auto"/>
                      <w:lang w:val="en-US" w:eastAsia="zh-CN"/>
                    </w:rPr>
                    <w:t>催化剂涂覆膜制备废气</w:t>
                  </w:r>
                </w:p>
              </w:tc>
              <w:tc>
                <w:tcPr>
                  <w:tcW w:w="487" w:type="pct"/>
                  <w:tcBorders>
                    <w:tl2br w:val="nil"/>
                    <w:tr2bl w:val="nil"/>
                  </w:tcBorders>
                  <w:noWrap w:val="0"/>
                  <w:vAlign w:val="center"/>
                </w:tcPr>
                <w:p w14:paraId="789309ED">
                  <w:pPr>
                    <w:adjustRightInd w:val="0"/>
                    <w:snapToGrid w:val="0"/>
                    <w:jc w:val="center"/>
                    <w:rPr>
                      <w:rFonts w:hint="eastAsia" w:eastAsia="宋体"/>
                      <w:color w:val="auto"/>
                      <w:kern w:val="2"/>
                      <w:sz w:val="21"/>
                      <w:szCs w:val="24"/>
                      <w:lang w:val="en-US" w:eastAsia="zh-CN" w:bidi="ar-SA"/>
                    </w:rPr>
                  </w:pPr>
                  <w:r>
                    <w:rPr>
                      <w:rFonts w:hint="eastAsia"/>
                      <w:color w:val="auto"/>
                      <w:lang w:val="en-US" w:eastAsia="zh-CN"/>
                    </w:rPr>
                    <w:t>0.021</w:t>
                  </w:r>
                </w:p>
              </w:tc>
              <w:tc>
                <w:tcPr>
                  <w:tcW w:w="606" w:type="pct"/>
                  <w:tcBorders>
                    <w:tl2br w:val="nil"/>
                    <w:tr2bl w:val="nil"/>
                  </w:tcBorders>
                  <w:noWrap w:val="0"/>
                  <w:vAlign w:val="center"/>
                </w:tcPr>
                <w:p w14:paraId="5A0C5130">
                  <w:pPr>
                    <w:keepNext w:val="0"/>
                    <w:keepLines w:val="0"/>
                    <w:widowControl/>
                    <w:suppressLineNumbers w:val="0"/>
                    <w:jc w:val="right"/>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2"/>
                      <w:szCs w:val="22"/>
                      <w:u w:val="none"/>
                      <w:lang w:val="en-US" w:eastAsia="zh-CN" w:bidi="ar"/>
                    </w:rPr>
                    <w:t>0.0105</w:t>
                  </w:r>
                </w:p>
              </w:tc>
              <w:tc>
                <w:tcPr>
                  <w:tcW w:w="520" w:type="pct"/>
                  <w:tcBorders>
                    <w:tl2br w:val="nil"/>
                    <w:tr2bl w:val="nil"/>
                  </w:tcBorders>
                  <w:noWrap w:val="0"/>
                  <w:vAlign w:val="center"/>
                </w:tcPr>
                <w:p w14:paraId="7D6590E7">
                  <w:pPr>
                    <w:adjustRightInd w:val="0"/>
                    <w:snapToGrid w:val="0"/>
                    <w:jc w:val="center"/>
                    <w:rPr>
                      <w:rFonts w:hint="eastAsia" w:eastAsia="宋体"/>
                      <w:color w:val="auto"/>
                      <w:lang w:val="en-US" w:eastAsia="zh-CN"/>
                    </w:rPr>
                  </w:pPr>
                  <w:r>
                    <w:rPr>
                      <w:rFonts w:hint="eastAsia"/>
                      <w:color w:val="auto"/>
                      <w:lang w:val="en-US" w:eastAsia="zh-CN"/>
                    </w:rPr>
                    <w:t>/</w:t>
                  </w:r>
                </w:p>
              </w:tc>
              <w:tc>
                <w:tcPr>
                  <w:tcW w:w="629" w:type="pct"/>
                  <w:tcBorders>
                    <w:tl2br w:val="nil"/>
                    <w:tr2bl w:val="nil"/>
                  </w:tcBorders>
                  <w:noWrap w:val="0"/>
                  <w:vAlign w:val="center"/>
                </w:tcPr>
                <w:p w14:paraId="62FB7687">
                  <w:pPr>
                    <w:adjustRightInd w:val="0"/>
                    <w:snapToGrid w:val="0"/>
                    <w:jc w:val="center"/>
                    <w:rPr>
                      <w:rFonts w:hint="eastAsia" w:eastAsia="宋体"/>
                      <w:color w:val="auto"/>
                      <w:kern w:val="2"/>
                      <w:sz w:val="21"/>
                      <w:szCs w:val="24"/>
                      <w:lang w:val="en-US" w:eastAsia="zh-CN" w:bidi="ar-SA"/>
                    </w:rPr>
                  </w:pPr>
                  <w:r>
                    <w:rPr>
                      <w:rFonts w:hint="eastAsia"/>
                      <w:color w:val="auto"/>
                      <w:lang w:val="en-US" w:eastAsia="zh-CN"/>
                    </w:rPr>
                    <w:t>0.021</w:t>
                  </w:r>
                </w:p>
              </w:tc>
              <w:tc>
                <w:tcPr>
                  <w:tcW w:w="529" w:type="pct"/>
                  <w:tcBorders>
                    <w:tl2br w:val="nil"/>
                    <w:tr2bl w:val="nil"/>
                  </w:tcBorders>
                  <w:noWrap w:val="0"/>
                  <w:vAlign w:val="center"/>
                </w:tcPr>
                <w:p w14:paraId="55833287">
                  <w:pPr>
                    <w:keepNext w:val="0"/>
                    <w:keepLines w:val="0"/>
                    <w:widowControl/>
                    <w:suppressLineNumbers w:val="0"/>
                    <w:jc w:val="right"/>
                    <w:textAlignment w:val="center"/>
                    <w:rPr>
                      <w:rFonts w:hint="default" w:ascii="Times New Roman" w:hAnsi="Times New Roman"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0.0105</w:t>
                  </w:r>
                </w:p>
              </w:tc>
              <w:tc>
                <w:tcPr>
                  <w:tcW w:w="515" w:type="pct"/>
                  <w:tcBorders>
                    <w:tl2br w:val="nil"/>
                    <w:tr2bl w:val="nil"/>
                  </w:tcBorders>
                  <w:noWrap w:val="0"/>
                  <w:vAlign w:val="center"/>
                </w:tcPr>
                <w:p w14:paraId="7EB019BC">
                  <w:pPr>
                    <w:adjustRightInd w:val="0"/>
                    <w:snapToGrid w:val="0"/>
                    <w:jc w:val="center"/>
                    <w:rPr>
                      <w:rFonts w:hint="eastAsia" w:eastAsia="宋体"/>
                      <w:color w:val="auto"/>
                      <w:lang w:val="en-US" w:eastAsia="zh-CN"/>
                    </w:rPr>
                  </w:pPr>
                  <w:r>
                    <w:rPr>
                      <w:rFonts w:hint="eastAsia"/>
                      <w:color w:val="auto"/>
                      <w:lang w:val="en-US" w:eastAsia="zh-CN"/>
                    </w:rPr>
                    <w:t>/</w:t>
                  </w:r>
                </w:p>
              </w:tc>
            </w:tr>
            <w:tr w14:paraId="51C33F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11" w:type="pct"/>
                  <w:gridSpan w:val="2"/>
                  <w:tcBorders>
                    <w:tl2br w:val="nil"/>
                    <w:tr2bl w:val="nil"/>
                  </w:tcBorders>
                  <w:noWrap w:val="0"/>
                  <w:vAlign w:val="center"/>
                </w:tcPr>
                <w:p w14:paraId="34B87AB3">
                  <w:pPr>
                    <w:adjustRightInd w:val="0"/>
                    <w:snapToGrid w:val="0"/>
                    <w:jc w:val="center"/>
                    <w:rPr>
                      <w:rFonts w:hint="eastAsia"/>
                      <w:color w:val="auto"/>
                      <w:kern w:val="2"/>
                      <w:sz w:val="21"/>
                      <w:szCs w:val="24"/>
                      <w:lang w:val="en-US" w:eastAsia="zh-CN" w:bidi="ar-SA"/>
                    </w:rPr>
                  </w:pPr>
                  <w:r>
                    <w:rPr>
                      <w:rFonts w:hint="eastAsia"/>
                      <w:color w:val="auto"/>
                      <w:lang w:val="en-US" w:eastAsia="zh-CN"/>
                    </w:rPr>
                    <w:t>变色材料制备废气</w:t>
                  </w:r>
                </w:p>
              </w:tc>
              <w:tc>
                <w:tcPr>
                  <w:tcW w:w="487" w:type="pct"/>
                  <w:tcBorders>
                    <w:tl2br w:val="nil"/>
                    <w:tr2bl w:val="nil"/>
                  </w:tcBorders>
                  <w:noWrap w:val="0"/>
                  <w:vAlign w:val="center"/>
                </w:tcPr>
                <w:p w14:paraId="3A96C9B4">
                  <w:pPr>
                    <w:adjustRightInd w:val="0"/>
                    <w:snapToGrid w:val="0"/>
                    <w:jc w:val="center"/>
                    <w:rPr>
                      <w:rFonts w:hint="default" w:eastAsia="宋体"/>
                      <w:color w:val="auto"/>
                      <w:kern w:val="2"/>
                      <w:sz w:val="21"/>
                      <w:szCs w:val="24"/>
                      <w:lang w:val="en-US" w:eastAsia="zh-CN" w:bidi="ar-SA"/>
                    </w:rPr>
                  </w:pPr>
                  <w:r>
                    <w:rPr>
                      <w:rFonts w:hint="eastAsia"/>
                      <w:color w:val="auto"/>
                      <w:lang w:val="en-US" w:eastAsia="zh-CN"/>
                    </w:rPr>
                    <w:t>0.016</w:t>
                  </w:r>
                </w:p>
              </w:tc>
              <w:tc>
                <w:tcPr>
                  <w:tcW w:w="606" w:type="pct"/>
                  <w:tcBorders>
                    <w:tl2br w:val="nil"/>
                    <w:tr2bl w:val="nil"/>
                  </w:tcBorders>
                  <w:noWrap w:val="0"/>
                  <w:vAlign w:val="center"/>
                </w:tcPr>
                <w:p w14:paraId="177FD342">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2"/>
                      <w:szCs w:val="22"/>
                      <w:u w:val="none"/>
                      <w:lang w:val="en-US" w:eastAsia="zh-CN" w:bidi="ar"/>
                    </w:rPr>
                    <w:t>0.008</w:t>
                  </w:r>
                </w:p>
              </w:tc>
              <w:tc>
                <w:tcPr>
                  <w:tcW w:w="520" w:type="pct"/>
                  <w:tcBorders>
                    <w:tl2br w:val="nil"/>
                    <w:tr2bl w:val="nil"/>
                  </w:tcBorders>
                  <w:noWrap w:val="0"/>
                  <w:vAlign w:val="center"/>
                </w:tcPr>
                <w:p w14:paraId="6171F908">
                  <w:pPr>
                    <w:adjustRightInd w:val="0"/>
                    <w:snapToGrid w:val="0"/>
                    <w:jc w:val="center"/>
                    <w:rPr>
                      <w:rFonts w:hint="eastAsia" w:eastAsia="宋体"/>
                      <w:color w:val="auto"/>
                      <w:lang w:val="en-US" w:eastAsia="zh-CN"/>
                    </w:rPr>
                  </w:pPr>
                  <w:r>
                    <w:rPr>
                      <w:rFonts w:hint="eastAsia"/>
                      <w:color w:val="auto"/>
                      <w:lang w:val="en-US" w:eastAsia="zh-CN"/>
                    </w:rPr>
                    <w:t>/</w:t>
                  </w:r>
                </w:p>
              </w:tc>
              <w:tc>
                <w:tcPr>
                  <w:tcW w:w="629" w:type="pct"/>
                  <w:tcBorders>
                    <w:tl2br w:val="nil"/>
                    <w:tr2bl w:val="nil"/>
                  </w:tcBorders>
                  <w:noWrap w:val="0"/>
                  <w:vAlign w:val="center"/>
                </w:tcPr>
                <w:p w14:paraId="195DC3EE">
                  <w:pPr>
                    <w:adjustRightInd w:val="0"/>
                    <w:snapToGrid w:val="0"/>
                    <w:jc w:val="center"/>
                    <w:rPr>
                      <w:rFonts w:hint="eastAsia" w:eastAsia="宋体"/>
                      <w:color w:val="auto"/>
                      <w:kern w:val="2"/>
                      <w:sz w:val="21"/>
                      <w:szCs w:val="24"/>
                      <w:lang w:val="en-US" w:eastAsia="zh-CN" w:bidi="ar-SA"/>
                    </w:rPr>
                  </w:pPr>
                  <w:r>
                    <w:rPr>
                      <w:rFonts w:hint="eastAsia"/>
                      <w:color w:val="auto"/>
                    </w:rPr>
                    <w:t>0.</w:t>
                  </w:r>
                  <w:r>
                    <w:rPr>
                      <w:rFonts w:hint="eastAsia"/>
                      <w:color w:val="auto"/>
                      <w:lang w:val="en-US" w:eastAsia="zh-CN"/>
                    </w:rPr>
                    <w:t>016</w:t>
                  </w:r>
                </w:p>
              </w:tc>
              <w:tc>
                <w:tcPr>
                  <w:tcW w:w="529" w:type="pct"/>
                  <w:tcBorders>
                    <w:tl2br w:val="nil"/>
                    <w:tr2bl w:val="nil"/>
                  </w:tcBorders>
                  <w:noWrap w:val="0"/>
                  <w:vAlign w:val="center"/>
                </w:tcPr>
                <w:p w14:paraId="1E24E34E">
                  <w:pPr>
                    <w:keepNext w:val="0"/>
                    <w:keepLines w:val="0"/>
                    <w:widowControl/>
                    <w:suppressLineNumbers w:val="0"/>
                    <w:jc w:val="center"/>
                    <w:textAlignment w:val="center"/>
                    <w:rPr>
                      <w:rFonts w:hint="default" w:ascii="Times New Roman" w:hAnsi="Times New Roman"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0.008</w:t>
                  </w:r>
                </w:p>
              </w:tc>
              <w:tc>
                <w:tcPr>
                  <w:tcW w:w="515" w:type="pct"/>
                  <w:tcBorders>
                    <w:tl2br w:val="nil"/>
                    <w:tr2bl w:val="nil"/>
                  </w:tcBorders>
                  <w:noWrap w:val="0"/>
                  <w:vAlign w:val="center"/>
                </w:tcPr>
                <w:p w14:paraId="767AF118">
                  <w:pPr>
                    <w:adjustRightInd w:val="0"/>
                    <w:snapToGrid w:val="0"/>
                    <w:jc w:val="center"/>
                    <w:rPr>
                      <w:rFonts w:hint="eastAsia" w:eastAsia="宋体"/>
                      <w:color w:val="auto"/>
                      <w:lang w:val="en-US" w:eastAsia="zh-CN"/>
                    </w:rPr>
                  </w:pPr>
                  <w:r>
                    <w:rPr>
                      <w:rFonts w:hint="eastAsia"/>
                      <w:color w:val="auto"/>
                      <w:lang w:val="en-US" w:eastAsia="zh-CN"/>
                    </w:rPr>
                    <w:t>/</w:t>
                  </w:r>
                </w:p>
              </w:tc>
            </w:tr>
            <w:tr w14:paraId="0F24DF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11" w:type="pct"/>
                  <w:gridSpan w:val="2"/>
                  <w:tcBorders>
                    <w:tl2br w:val="nil"/>
                    <w:tr2bl w:val="nil"/>
                  </w:tcBorders>
                  <w:noWrap w:val="0"/>
                  <w:vAlign w:val="center"/>
                </w:tcPr>
                <w:p w14:paraId="0FCDCC08">
                  <w:pPr>
                    <w:adjustRightInd w:val="0"/>
                    <w:snapToGrid w:val="0"/>
                    <w:jc w:val="center"/>
                    <w:rPr>
                      <w:rFonts w:hint="eastAsia"/>
                      <w:color w:val="auto"/>
                      <w:kern w:val="2"/>
                      <w:sz w:val="21"/>
                      <w:szCs w:val="24"/>
                      <w:lang w:val="en-US" w:eastAsia="zh-CN" w:bidi="ar-SA"/>
                    </w:rPr>
                  </w:pPr>
                  <w:r>
                    <w:rPr>
                      <w:rFonts w:hint="eastAsia"/>
                      <w:color w:val="auto"/>
                      <w:lang w:val="en-US" w:eastAsia="zh-CN"/>
                    </w:rPr>
                    <w:t>敏感层制备废气</w:t>
                  </w:r>
                </w:p>
              </w:tc>
              <w:tc>
                <w:tcPr>
                  <w:tcW w:w="487" w:type="pct"/>
                  <w:tcBorders>
                    <w:tl2br w:val="nil"/>
                    <w:tr2bl w:val="nil"/>
                  </w:tcBorders>
                  <w:noWrap w:val="0"/>
                  <w:vAlign w:val="center"/>
                </w:tcPr>
                <w:p w14:paraId="15CEDB5E">
                  <w:pPr>
                    <w:adjustRightInd w:val="0"/>
                    <w:snapToGrid w:val="0"/>
                    <w:jc w:val="center"/>
                    <w:rPr>
                      <w:rFonts w:hint="eastAsia" w:eastAsia="宋体"/>
                      <w:color w:val="auto"/>
                      <w:kern w:val="2"/>
                      <w:sz w:val="21"/>
                      <w:szCs w:val="24"/>
                      <w:lang w:val="en-US" w:eastAsia="zh-CN" w:bidi="ar-SA"/>
                    </w:rPr>
                  </w:pPr>
                  <w:r>
                    <w:rPr>
                      <w:rFonts w:hint="eastAsia"/>
                      <w:color w:val="auto"/>
                      <w:lang w:val="en-US" w:eastAsia="zh-CN"/>
                    </w:rPr>
                    <w:t>0.0024</w:t>
                  </w:r>
                </w:p>
              </w:tc>
              <w:tc>
                <w:tcPr>
                  <w:tcW w:w="606" w:type="pct"/>
                  <w:tcBorders>
                    <w:tl2br w:val="nil"/>
                    <w:tr2bl w:val="nil"/>
                  </w:tcBorders>
                  <w:noWrap w:val="0"/>
                  <w:vAlign w:val="center"/>
                </w:tcPr>
                <w:p w14:paraId="0AC20917">
                  <w:pPr>
                    <w:keepNext w:val="0"/>
                    <w:keepLines w:val="0"/>
                    <w:widowControl/>
                    <w:suppressLineNumbers w:val="0"/>
                    <w:jc w:val="right"/>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2"/>
                      <w:szCs w:val="22"/>
                      <w:u w:val="none"/>
                      <w:lang w:val="en-US" w:eastAsia="zh-CN" w:bidi="ar"/>
                    </w:rPr>
                    <w:t>0.0012</w:t>
                  </w:r>
                </w:p>
              </w:tc>
              <w:tc>
                <w:tcPr>
                  <w:tcW w:w="520" w:type="pct"/>
                  <w:tcBorders>
                    <w:tl2br w:val="nil"/>
                    <w:tr2bl w:val="nil"/>
                  </w:tcBorders>
                  <w:noWrap w:val="0"/>
                  <w:vAlign w:val="center"/>
                </w:tcPr>
                <w:p w14:paraId="033BFDDB">
                  <w:pPr>
                    <w:adjustRightInd w:val="0"/>
                    <w:snapToGrid w:val="0"/>
                    <w:jc w:val="center"/>
                    <w:rPr>
                      <w:rFonts w:hint="eastAsia" w:eastAsia="宋体"/>
                      <w:color w:val="auto"/>
                      <w:lang w:val="en-US" w:eastAsia="zh-CN"/>
                    </w:rPr>
                  </w:pPr>
                  <w:r>
                    <w:rPr>
                      <w:rFonts w:hint="eastAsia"/>
                      <w:color w:val="auto"/>
                      <w:lang w:val="en-US" w:eastAsia="zh-CN"/>
                    </w:rPr>
                    <w:t>/</w:t>
                  </w:r>
                </w:p>
              </w:tc>
              <w:tc>
                <w:tcPr>
                  <w:tcW w:w="629" w:type="pct"/>
                  <w:tcBorders>
                    <w:tl2br w:val="nil"/>
                    <w:tr2bl w:val="nil"/>
                  </w:tcBorders>
                  <w:noWrap w:val="0"/>
                  <w:vAlign w:val="center"/>
                </w:tcPr>
                <w:p w14:paraId="21608F0E">
                  <w:pPr>
                    <w:adjustRightInd w:val="0"/>
                    <w:snapToGrid w:val="0"/>
                    <w:jc w:val="center"/>
                    <w:rPr>
                      <w:rFonts w:hint="eastAsia" w:eastAsia="宋体"/>
                      <w:color w:val="auto"/>
                      <w:kern w:val="2"/>
                      <w:sz w:val="21"/>
                      <w:szCs w:val="24"/>
                      <w:lang w:val="en-US" w:eastAsia="zh-CN" w:bidi="ar-SA"/>
                    </w:rPr>
                  </w:pPr>
                  <w:r>
                    <w:rPr>
                      <w:rFonts w:hint="eastAsia"/>
                      <w:color w:val="auto"/>
                      <w:lang w:val="en-US" w:eastAsia="zh-CN"/>
                    </w:rPr>
                    <w:t>0.0024</w:t>
                  </w:r>
                </w:p>
              </w:tc>
              <w:tc>
                <w:tcPr>
                  <w:tcW w:w="529" w:type="pct"/>
                  <w:tcBorders>
                    <w:tl2br w:val="nil"/>
                    <w:tr2bl w:val="nil"/>
                  </w:tcBorders>
                  <w:noWrap w:val="0"/>
                  <w:vAlign w:val="center"/>
                </w:tcPr>
                <w:p w14:paraId="5D359D34">
                  <w:pPr>
                    <w:keepNext w:val="0"/>
                    <w:keepLines w:val="0"/>
                    <w:widowControl/>
                    <w:suppressLineNumbers w:val="0"/>
                    <w:jc w:val="right"/>
                    <w:textAlignment w:val="center"/>
                    <w:rPr>
                      <w:rFonts w:hint="default" w:ascii="Times New Roman" w:hAnsi="Times New Roman"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0.0012</w:t>
                  </w:r>
                </w:p>
              </w:tc>
              <w:tc>
                <w:tcPr>
                  <w:tcW w:w="515" w:type="pct"/>
                  <w:tcBorders>
                    <w:tl2br w:val="nil"/>
                    <w:tr2bl w:val="nil"/>
                  </w:tcBorders>
                  <w:noWrap w:val="0"/>
                  <w:vAlign w:val="center"/>
                </w:tcPr>
                <w:p w14:paraId="6BA764CD">
                  <w:pPr>
                    <w:adjustRightInd w:val="0"/>
                    <w:snapToGrid w:val="0"/>
                    <w:jc w:val="center"/>
                    <w:rPr>
                      <w:rFonts w:hint="eastAsia" w:eastAsia="宋体"/>
                      <w:color w:val="auto"/>
                      <w:lang w:val="en-US" w:eastAsia="zh-CN"/>
                    </w:rPr>
                  </w:pPr>
                  <w:r>
                    <w:rPr>
                      <w:rFonts w:hint="eastAsia"/>
                      <w:color w:val="auto"/>
                      <w:lang w:val="en-US" w:eastAsia="zh-CN"/>
                    </w:rPr>
                    <w:t>/</w:t>
                  </w:r>
                </w:p>
              </w:tc>
            </w:tr>
          </w:tbl>
          <w:p w14:paraId="4CBEDF99">
            <w:pPr>
              <w:numPr>
                <w:ilvl w:val="1"/>
                <w:numId w:val="10"/>
              </w:numPr>
              <w:adjustRightInd w:val="0"/>
              <w:snapToGrid w:val="0"/>
              <w:spacing w:line="360" w:lineRule="auto"/>
              <w:rPr>
                <w:rFonts w:hint="default" w:ascii="Times New Roman" w:hAnsi="Times New Roman" w:cs="Times New Roman"/>
                <w:b/>
                <w:bCs w:val="0"/>
                <w:color w:val="auto"/>
                <w:spacing w:val="0"/>
                <w:sz w:val="24"/>
                <w:szCs w:val="24"/>
                <w:lang w:val="en-US" w:eastAsia="zh-CN"/>
              </w:rPr>
            </w:pPr>
            <w:r>
              <w:rPr>
                <w:rFonts w:hint="default" w:ascii="Times New Roman" w:hAnsi="Times New Roman" w:cs="Times New Roman"/>
                <w:b/>
                <w:bCs w:val="0"/>
                <w:color w:val="auto"/>
                <w:spacing w:val="0"/>
                <w:sz w:val="24"/>
                <w:szCs w:val="24"/>
                <w:lang w:val="en-US" w:eastAsia="zh-CN"/>
              </w:rPr>
              <w:t>废气达标排放及影响分析</w:t>
            </w:r>
          </w:p>
          <w:p w14:paraId="3A73439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bCs w:val="0"/>
                <w:color w:val="auto"/>
                <w:spacing w:val="0"/>
                <w:sz w:val="24"/>
                <w:szCs w:val="24"/>
                <w:lang w:val="en-US" w:eastAsia="zh-CN"/>
              </w:rPr>
            </w:pPr>
            <w:r>
              <w:rPr>
                <w:rFonts w:hint="default" w:ascii="Times New Roman" w:hAnsi="Times New Roman" w:eastAsia="宋体" w:cs="Times New Roman"/>
                <w:color w:val="auto"/>
                <w:sz w:val="24"/>
                <w:szCs w:val="24"/>
                <w:lang w:val="en-US" w:eastAsia="zh-CN"/>
              </w:rPr>
              <w:t>项目催化浆料配制工序废气</w:t>
            </w:r>
            <w:r>
              <w:rPr>
                <w:rFonts w:hint="eastAsia" w:ascii="Times New Roman" w:hAnsi="Times New Roman" w:eastAsia="宋体" w:cs="Times New Roman"/>
                <w:color w:val="auto"/>
                <w:sz w:val="24"/>
                <w:szCs w:val="24"/>
                <w:lang w:val="en-US" w:eastAsia="zh-CN"/>
              </w:rPr>
              <w:t>、变色材料制备工序废气</w:t>
            </w:r>
            <w:r>
              <w:rPr>
                <w:rFonts w:hint="default" w:ascii="Times New Roman" w:hAnsi="Times New Roman" w:eastAsia="宋体" w:cs="Times New Roman"/>
                <w:color w:val="auto"/>
                <w:kern w:val="0"/>
                <w:sz w:val="24"/>
                <w:szCs w:val="24"/>
                <w:lang w:val="en-US" w:eastAsia="zh-CN" w:bidi="ar-SA"/>
              </w:rPr>
              <w:t>采用</w:t>
            </w:r>
            <w:r>
              <w:rPr>
                <w:rFonts w:hint="eastAsia" w:ascii="Times New Roman" w:hAnsi="Times New Roman" w:eastAsia="宋体" w:cs="Times New Roman"/>
                <w:color w:val="auto"/>
                <w:kern w:val="0"/>
                <w:sz w:val="24"/>
                <w:szCs w:val="24"/>
                <w:lang w:val="en-US" w:eastAsia="zh-CN" w:bidi="ar-SA"/>
              </w:rPr>
              <w:t>通风橱</w:t>
            </w:r>
            <w:r>
              <w:rPr>
                <w:rFonts w:hint="default" w:ascii="Times New Roman" w:hAnsi="Times New Roman" w:eastAsia="宋体" w:cs="Times New Roman"/>
                <w:color w:val="auto"/>
                <w:sz w:val="24"/>
                <w:szCs w:val="24"/>
                <w:lang w:val="en-US" w:eastAsia="zh-CN"/>
              </w:rPr>
              <w:t>收集，催化剂涂覆膜制备工序</w:t>
            </w:r>
            <w:r>
              <w:rPr>
                <w:rFonts w:hint="eastAsia" w:ascii="Times New Roman" w:hAnsi="Times New Roman" w:eastAsia="宋体" w:cs="Times New Roman"/>
                <w:color w:val="auto"/>
                <w:sz w:val="24"/>
                <w:szCs w:val="24"/>
                <w:lang w:val="en-US" w:eastAsia="zh-CN"/>
              </w:rPr>
              <w:t>废气、敏感层制备工序废气采用</w:t>
            </w:r>
            <w:r>
              <w:rPr>
                <w:rFonts w:hint="default" w:ascii="Times New Roman" w:hAnsi="Times New Roman" w:eastAsia="宋体" w:cs="Times New Roman"/>
                <w:color w:val="auto"/>
                <w:sz w:val="24"/>
                <w:lang w:val="en-US" w:eastAsia="zh-CN"/>
              </w:rPr>
              <w:t>密闭式</w:t>
            </w:r>
            <w:r>
              <w:rPr>
                <w:rFonts w:hint="eastAsia" w:ascii="Times New Roman" w:hAnsi="Times New Roman" w:eastAsia="宋体" w:cs="Times New Roman"/>
                <w:color w:val="auto"/>
                <w:sz w:val="24"/>
                <w:szCs w:val="24"/>
                <w:lang w:val="en-US" w:eastAsia="zh-CN"/>
              </w:rPr>
              <w:t>管道收集，</w:t>
            </w:r>
            <w:r>
              <w:rPr>
                <w:rFonts w:hint="default" w:ascii="Times New Roman" w:hAnsi="Times New Roman" w:eastAsia="宋体" w:cs="Times New Roman"/>
                <w:color w:val="auto"/>
                <w:sz w:val="24"/>
                <w:szCs w:val="24"/>
                <w:lang w:val="en-US" w:eastAsia="zh-CN"/>
              </w:rPr>
              <w:t>经</w:t>
            </w:r>
            <w:r>
              <w:rPr>
                <w:rFonts w:hint="eastAsia" w:ascii="Times New Roman" w:hAnsi="Times New Roman" w:eastAsia="宋体" w:cs="Times New Roman"/>
                <w:color w:val="auto"/>
                <w:sz w:val="24"/>
                <w:szCs w:val="24"/>
                <w:lang w:val="en-US" w:eastAsia="zh-CN"/>
              </w:rPr>
              <w:t>“二</w:t>
            </w:r>
            <w:r>
              <w:rPr>
                <w:rFonts w:hint="default" w:ascii="Times New Roman" w:hAnsi="Times New Roman" w:eastAsia="宋体" w:cs="Times New Roman"/>
                <w:color w:val="auto"/>
                <w:sz w:val="24"/>
                <w:szCs w:val="24"/>
                <w:lang w:val="en-US" w:eastAsia="zh-CN"/>
              </w:rPr>
              <w:t>级活性炭吸附装置</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处理后通过</w:t>
            </w:r>
            <w:r>
              <w:rPr>
                <w:rFonts w:hint="eastAsia" w:ascii="Times New Roman" w:hAnsi="Times New Roman" w:eastAsia="宋体" w:cs="Times New Roman"/>
                <w:color w:val="auto"/>
                <w:sz w:val="24"/>
                <w:szCs w:val="24"/>
                <w:lang w:val="en-US" w:eastAsia="zh-CN"/>
              </w:rPr>
              <w:t>17m</w:t>
            </w:r>
            <w:r>
              <w:rPr>
                <w:rFonts w:hint="default" w:ascii="Times New Roman" w:hAnsi="Times New Roman" w:eastAsia="宋体" w:cs="Times New Roman"/>
                <w:color w:val="auto"/>
                <w:sz w:val="24"/>
                <w:szCs w:val="24"/>
                <w:lang w:val="en-US" w:eastAsia="zh-CN"/>
              </w:rPr>
              <w:t>高排气</w:t>
            </w:r>
            <w:r>
              <w:rPr>
                <w:rFonts w:hint="default" w:ascii="Times New Roman" w:hAnsi="Times New Roman" w:eastAsia="宋体" w:cs="Times New Roman"/>
                <w:color w:val="auto"/>
                <w:sz w:val="24"/>
                <w:szCs w:val="24"/>
                <w:highlight w:val="none"/>
                <w:lang w:val="en-US" w:eastAsia="zh-CN"/>
              </w:rPr>
              <w:t>筒（DA001）排放</w:t>
            </w:r>
            <w:r>
              <w:rPr>
                <w:rFonts w:hint="default" w:ascii="Times New Roman" w:hAnsi="Times New Roman" w:eastAsia="宋体" w:cs="Times New Roman"/>
                <w:color w:val="auto"/>
                <w:sz w:val="24"/>
                <w:szCs w:val="24"/>
                <w:lang w:val="en-US" w:eastAsia="zh-CN"/>
              </w:rPr>
              <w:t>，排放浓度</w:t>
            </w:r>
            <w:r>
              <w:rPr>
                <w:rFonts w:hint="default" w:ascii="Times New Roman" w:hAnsi="Times New Roman" w:eastAsia="宋体" w:cs="Times New Roman"/>
                <w:color w:val="auto"/>
                <w:w w:val="100"/>
                <w:kern w:val="2"/>
                <w:sz w:val="24"/>
                <w:szCs w:val="24"/>
                <w:lang w:val="en-US" w:eastAsia="zh-CN" w:bidi="ar-SA"/>
              </w:rPr>
              <w:t>满足</w:t>
            </w:r>
            <w:r>
              <w:rPr>
                <w:rFonts w:hint="eastAsia"/>
                <w:color w:val="auto"/>
                <w:sz w:val="24"/>
                <w:lang w:val="en-US" w:eastAsia="zh-CN"/>
              </w:rPr>
              <w:t>《大气污染物综合排放标准》（GB16297-1996）表2二级标准。</w:t>
            </w:r>
          </w:p>
          <w:p w14:paraId="0CD7320A">
            <w:pPr>
              <w:numPr>
                <w:ilvl w:val="1"/>
                <w:numId w:val="10"/>
              </w:numPr>
              <w:adjustRightInd w:val="0"/>
              <w:snapToGrid w:val="0"/>
              <w:spacing w:line="360" w:lineRule="auto"/>
              <w:rPr>
                <w:rFonts w:hint="default" w:ascii="Times New Roman" w:hAnsi="Times New Roman" w:cs="Times New Roman"/>
                <w:b/>
                <w:bCs w:val="0"/>
                <w:color w:val="auto"/>
                <w:spacing w:val="0"/>
                <w:sz w:val="24"/>
                <w:szCs w:val="24"/>
                <w:lang w:val="en-US" w:eastAsia="zh-CN"/>
              </w:rPr>
            </w:pPr>
            <w:r>
              <w:rPr>
                <w:rFonts w:hint="default" w:ascii="Times New Roman" w:hAnsi="Times New Roman" w:cs="Times New Roman"/>
                <w:b/>
                <w:bCs w:val="0"/>
                <w:color w:val="auto"/>
                <w:spacing w:val="0"/>
                <w:sz w:val="24"/>
                <w:szCs w:val="24"/>
                <w:lang w:val="en-US" w:eastAsia="zh-CN"/>
              </w:rPr>
              <w:t>废气治理措施可行性分析</w:t>
            </w:r>
          </w:p>
          <w:p w14:paraId="79132C5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lang w:val="en-US" w:eastAsia="zh-CN"/>
              </w:rPr>
              <w:t>项目催化浆料配制工序废气</w:t>
            </w:r>
            <w:r>
              <w:rPr>
                <w:rFonts w:hint="eastAsia" w:ascii="Times New Roman" w:hAnsi="Times New Roman" w:eastAsia="宋体" w:cs="Times New Roman"/>
                <w:color w:val="auto"/>
                <w:sz w:val="24"/>
                <w:szCs w:val="24"/>
                <w:lang w:val="en-US" w:eastAsia="zh-CN"/>
              </w:rPr>
              <w:t>、变色材料制备工序废气</w:t>
            </w:r>
            <w:r>
              <w:rPr>
                <w:rFonts w:hint="default" w:ascii="Times New Roman" w:hAnsi="Times New Roman" w:eastAsia="宋体" w:cs="Times New Roman"/>
                <w:color w:val="auto"/>
                <w:kern w:val="0"/>
                <w:sz w:val="24"/>
                <w:szCs w:val="24"/>
                <w:lang w:val="en-US" w:eastAsia="zh-CN" w:bidi="ar-SA"/>
              </w:rPr>
              <w:t>采用</w:t>
            </w:r>
            <w:r>
              <w:rPr>
                <w:rFonts w:hint="eastAsia" w:ascii="Times New Roman" w:hAnsi="Times New Roman" w:eastAsia="宋体" w:cs="Times New Roman"/>
                <w:color w:val="auto"/>
                <w:kern w:val="0"/>
                <w:sz w:val="24"/>
                <w:szCs w:val="24"/>
                <w:lang w:val="en-US" w:eastAsia="zh-CN" w:bidi="ar-SA"/>
              </w:rPr>
              <w:t>通风橱</w:t>
            </w:r>
            <w:r>
              <w:rPr>
                <w:rFonts w:hint="default" w:ascii="Times New Roman" w:hAnsi="Times New Roman" w:eastAsia="宋体" w:cs="Times New Roman"/>
                <w:color w:val="auto"/>
                <w:sz w:val="24"/>
                <w:szCs w:val="24"/>
                <w:lang w:val="en-US" w:eastAsia="zh-CN"/>
              </w:rPr>
              <w:t>收集，催化剂涂覆膜制备工序</w:t>
            </w:r>
            <w:r>
              <w:rPr>
                <w:rFonts w:hint="eastAsia" w:ascii="Times New Roman" w:hAnsi="Times New Roman" w:eastAsia="宋体" w:cs="Times New Roman"/>
                <w:color w:val="auto"/>
                <w:sz w:val="24"/>
                <w:szCs w:val="24"/>
                <w:lang w:val="en-US" w:eastAsia="zh-CN"/>
              </w:rPr>
              <w:t>废气、敏感层制备工序废气采用</w:t>
            </w:r>
            <w:r>
              <w:rPr>
                <w:rFonts w:hint="default" w:ascii="Times New Roman" w:hAnsi="Times New Roman" w:eastAsia="宋体" w:cs="Times New Roman"/>
                <w:color w:val="auto"/>
                <w:sz w:val="24"/>
                <w:lang w:val="en-US" w:eastAsia="zh-CN"/>
              </w:rPr>
              <w:t>密闭式</w:t>
            </w:r>
            <w:r>
              <w:rPr>
                <w:rFonts w:hint="eastAsia" w:ascii="Times New Roman" w:hAnsi="Times New Roman" w:eastAsia="宋体" w:cs="Times New Roman"/>
                <w:color w:val="auto"/>
                <w:sz w:val="24"/>
                <w:szCs w:val="24"/>
                <w:lang w:val="en-US" w:eastAsia="zh-CN"/>
              </w:rPr>
              <w:t>管道收集，</w:t>
            </w:r>
            <w:r>
              <w:rPr>
                <w:rFonts w:hint="default" w:ascii="Times New Roman" w:hAnsi="Times New Roman" w:eastAsia="宋体" w:cs="Times New Roman"/>
                <w:color w:val="auto"/>
                <w:sz w:val="24"/>
                <w:szCs w:val="24"/>
                <w:lang w:val="en-US" w:eastAsia="zh-CN"/>
              </w:rPr>
              <w:t>经</w:t>
            </w:r>
            <w:r>
              <w:rPr>
                <w:rFonts w:hint="eastAsia" w:ascii="Times New Roman" w:hAnsi="Times New Roman" w:eastAsia="宋体" w:cs="Times New Roman"/>
                <w:color w:val="auto"/>
                <w:sz w:val="24"/>
                <w:szCs w:val="24"/>
                <w:lang w:val="en-US" w:eastAsia="zh-CN"/>
              </w:rPr>
              <w:t>“二</w:t>
            </w:r>
            <w:r>
              <w:rPr>
                <w:rFonts w:hint="default" w:ascii="Times New Roman" w:hAnsi="Times New Roman" w:eastAsia="宋体" w:cs="Times New Roman"/>
                <w:color w:val="auto"/>
                <w:sz w:val="24"/>
                <w:szCs w:val="24"/>
                <w:lang w:val="en-US" w:eastAsia="zh-CN"/>
              </w:rPr>
              <w:t>级活性炭吸附装置</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处理后通过</w:t>
            </w:r>
            <w:r>
              <w:rPr>
                <w:rFonts w:hint="eastAsia" w:ascii="Times New Roman" w:hAnsi="Times New Roman" w:eastAsia="宋体" w:cs="Times New Roman"/>
                <w:color w:val="auto"/>
                <w:sz w:val="24"/>
                <w:szCs w:val="24"/>
                <w:lang w:val="en-US" w:eastAsia="zh-CN"/>
              </w:rPr>
              <w:t>17</w:t>
            </w:r>
            <w:r>
              <w:rPr>
                <w:rFonts w:hint="default" w:ascii="Times New Roman" w:hAnsi="Times New Roman" w:eastAsia="宋体" w:cs="Times New Roman"/>
                <w:color w:val="auto"/>
                <w:sz w:val="24"/>
                <w:szCs w:val="24"/>
                <w:lang w:val="en-US" w:eastAsia="zh-CN"/>
              </w:rPr>
              <w:t>m高排气</w:t>
            </w:r>
            <w:r>
              <w:rPr>
                <w:rFonts w:hint="default" w:ascii="Times New Roman" w:hAnsi="Times New Roman" w:eastAsia="宋体" w:cs="Times New Roman"/>
                <w:color w:val="auto"/>
                <w:sz w:val="24"/>
                <w:szCs w:val="24"/>
                <w:highlight w:val="none"/>
                <w:lang w:val="en-US" w:eastAsia="zh-CN"/>
              </w:rPr>
              <w:t>筒（DA001）排放</w:t>
            </w:r>
            <w:r>
              <w:rPr>
                <w:rFonts w:hint="default" w:ascii="Times New Roman" w:hAnsi="Times New Roman" w:cs="Times New Roman"/>
                <w:color w:val="auto"/>
                <w:sz w:val="24"/>
                <w:szCs w:val="24"/>
                <w:lang w:val="en-US" w:eastAsia="zh-CN" w:bidi="ar"/>
              </w:rPr>
              <w:t>。</w:t>
            </w:r>
            <w:r>
              <w:rPr>
                <w:rFonts w:hint="eastAsia"/>
                <w:color w:val="auto"/>
                <w:sz w:val="24"/>
                <w:szCs w:val="24"/>
                <w:lang w:val="en-US" w:eastAsia="zh-CN"/>
              </w:rPr>
              <w:t>活性炭是一种广谱吸附剂，对绝大多数有机废气都具有良好的吸附作用，同时对产生的恶臭也有一定的吸附作用。</w:t>
            </w:r>
            <w:r>
              <w:rPr>
                <w:rFonts w:hint="eastAsia"/>
                <w:color w:val="auto"/>
                <w:sz w:val="24"/>
                <w:szCs w:val="24"/>
                <w:highlight w:val="none"/>
                <w:lang w:val="en-US" w:eastAsia="zh-CN"/>
              </w:rPr>
              <w:t>本项目经处理后的废气可以满足</w:t>
            </w:r>
            <w:r>
              <w:rPr>
                <w:rFonts w:hint="eastAsia"/>
                <w:color w:val="auto"/>
                <w:sz w:val="24"/>
                <w:lang w:val="en-US" w:eastAsia="zh-CN"/>
              </w:rPr>
              <w:t>《大气污染物综合排放标准》（GB16297-1996）表2二级标准，</w:t>
            </w:r>
            <w:r>
              <w:rPr>
                <w:rFonts w:hint="eastAsia"/>
                <w:color w:val="auto"/>
                <w:sz w:val="24"/>
                <w:szCs w:val="24"/>
                <w:lang w:val="en-US" w:eastAsia="zh-CN"/>
              </w:rPr>
              <w:t>实现达标排放。因此本项目采用二级活性炭吸附处理措施技术上可行。</w:t>
            </w:r>
          </w:p>
          <w:p w14:paraId="5252AF34">
            <w:pPr>
              <w:numPr>
                <w:ilvl w:val="1"/>
                <w:numId w:val="10"/>
              </w:numPr>
              <w:adjustRightInd w:val="0"/>
              <w:snapToGrid w:val="0"/>
              <w:spacing w:line="360" w:lineRule="auto"/>
              <w:rPr>
                <w:rFonts w:hint="default" w:ascii="Times New Roman" w:hAnsi="Times New Roman" w:cs="Times New Roman"/>
                <w:b/>
                <w:bCs w:val="0"/>
                <w:color w:val="auto"/>
                <w:spacing w:val="0"/>
                <w:sz w:val="24"/>
                <w:szCs w:val="24"/>
                <w:lang w:val="en-US" w:eastAsia="zh-CN"/>
              </w:rPr>
            </w:pPr>
            <w:r>
              <w:rPr>
                <w:rFonts w:hint="default" w:ascii="Times New Roman" w:hAnsi="Times New Roman" w:cs="Times New Roman"/>
                <w:b/>
                <w:bCs w:val="0"/>
                <w:color w:val="auto"/>
                <w:spacing w:val="0"/>
                <w:sz w:val="24"/>
                <w:szCs w:val="24"/>
                <w:lang w:val="en-US" w:eastAsia="zh-CN"/>
              </w:rPr>
              <w:t>排放口基本情况</w:t>
            </w:r>
          </w:p>
          <w:p w14:paraId="784BCA54">
            <w:pPr>
              <w:numPr>
                <w:ilvl w:val="0"/>
                <w:numId w:val="0"/>
              </w:numPr>
              <w:adjustRightInd w:val="0"/>
              <w:snapToGrid w:val="0"/>
              <w:spacing w:line="240" w:lineRule="auto"/>
              <w:ind w:leftChars="0" w:firstLine="480" w:firstLineChars="200"/>
              <w:rPr>
                <w:rFonts w:hint="default" w:ascii="Times New Roman" w:hAnsi="Times New Roman" w:cs="Times New Roman"/>
                <w:b w:val="0"/>
                <w:bCs/>
                <w:color w:val="auto"/>
                <w:spacing w:val="0"/>
                <w:sz w:val="24"/>
                <w:szCs w:val="24"/>
                <w:lang w:val="en-US" w:eastAsia="zh-CN"/>
              </w:rPr>
            </w:pPr>
            <w:r>
              <w:rPr>
                <w:rFonts w:hint="default" w:ascii="Times New Roman" w:hAnsi="Times New Roman" w:cs="Times New Roman"/>
                <w:b w:val="0"/>
                <w:bCs/>
                <w:color w:val="auto"/>
                <w:spacing w:val="0"/>
                <w:sz w:val="24"/>
                <w:szCs w:val="24"/>
                <w:lang w:val="en-US" w:eastAsia="zh-CN"/>
              </w:rPr>
              <w:t>本项目废气排放口基本情况见下表。</w:t>
            </w:r>
          </w:p>
          <w:p w14:paraId="21578024">
            <w:pPr>
              <w:numPr>
                <w:ilvl w:val="0"/>
                <w:numId w:val="0"/>
              </w:numPr>
              <w:adjustRightInd w:val="0"/>
              <w:snapToGrid w:val="0"/>
              <w:spacing w:line="240" w:lineRule="auto"/>
              <w:jc w:val="center"/>
              <w:rPr>
                <w:rFonts w:hint="default" w:ascii="Times New Roman" w:hAnsi="Times New Roman" w:cs="Times New Roman"/>
                <w:b/>
                <w:bCs w:val="0"/>
                <w:color w:val="auto"/>
                <w:spacing w:val="0"/>
                <w:sz w:val="21"/>
                <w:szCs w:val="21"/>
                <w:lang w:val="en-US" w:eastAsia="zh-CN"/>
              </w:rPr>
            </w:pPr>
            <w:r>
              <w:rPr>
                <w:rFonts w:hint="default" w:ascii="Times New Roman" w:hAnsi="Times New Roman" w:cs="Times New Roman"/>
                <w:b/>
                <w:bCs w:val="0"/>
                <w:color w:val="auto"/>
                <w:spacing w:val="0"/>
                <w:sz w:val="24"/>
                <w:szCs w:val="24"/>
                <w:lang w:val="en-US" w:eastAsia="zh-CN"/>
              </w:rPr>
              <w:t>表4-</w:t>
            </w:r>
            <w:r>
              <w:rPr>
                <w:rFonts w:hint="eastAsia" w:ascii="Times New Roman" w:hAnsi="Times New Roman" w:cs="Times New Roman"/>
                <w:b/>
                <w:bCs w:val="0"/>
                <w:color w:val="auto"/>
                <w:spacing w:val="0"/>
                <w:sz w:val="24"/>
                <w:szCs w:val="24"/>
                <w:lang w:val="en-US" w:eastAsia="zh-CN"/>
              </w:rPr>
              <w:t xml:space="preserve">3  </w:t>
            </w:r>
            <w:r>
              <w:rPr>
                <w:rFonts w:hint="default" w:ascii="Times New Roman" w:hAnsi="Times New Roman" w:cs="Times New Roman"/>
                <w:b/>
                <w:bCs w:val="0"/>
                <w:color w:val="auto"/>
                <w:spacing w:val="0"/>
                <w:sz w:val="24"/>
                <w:szCs w:val="24"/>
                <w:lang w:val="en-US" w:eastAsia="zh-CN"/>
              </w:rPr>
              <w:t>废气排放口基本情况一览表</w:t>
            </w:r>
          </w:p>
          <w:tbl>
            <w:tblPr>
              <w:tblStyle w:val="26"/>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8"/>
              <w:gridCol w:w="1395"/>
              <w:gridCol w:w="1627"/>
              <w:gridCol w:w="438"/>
              <w:gridCol w:w="571"/>
              <w:gridCol w:w="571"/>
              <w:gridCol w:w="790"/>
              <w:gridCol w:w="1892"/>
            </w:tblGrid>
            <w:tr w14:paraId="7D3C0D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571" w:type="pct"/>
                  <w:tcBorders>
                    <w:tl2br w:val="nil"/>
                    <w:tr2bl w:val="nil"/>
                  </w:tcBorders>
                  <w:shd w:val="clear" w:color="auto" w:fill="auto"/>
                  <w:noWrap w:val="0"/>
                  <w:vAlign w:val="center"/>
                </w:tcPr>
                <w:p w14:paraId="73F28CA4">
                  <w:pPr>
                    <w:pStyle w:val="6"/>
                    <w:ind w:firstLine="0" w:firstLineChars="0"/>
                    <w:jc w:val="center"/>
                    <w:rPr>
                      <w:b/>
                      <w:color w:val="auto"/>
                      <w:szCs w:val="21"/>
                    </w:rPr>
                  </w:pPr>
                  <w:r>
                    <w:rPr>
                      <w:b/>
                      <w:color w:val="auto"/>
                      <w:szCs w:val="21"/>
                    </w:rPr>
                    <w:t>编号</w:t>
                  </w:r>
                </w:p>
              </w:tc>
              <w:tc>
                <w:tcPr>
                  <w:tcW w:w="848" w:type="pct"/>
                  <w:tcBorders>
                    <w:tl2br w:val="nil"/>
                    <w:tr2bl w:val="nil"/>
                  </w:tcBorders>
                  <w:shd w:val="clear" w:color="auto" w:fill="FFFFFF"/>
                  <w:noWrap w:val="0"/>
                  <w:vAlign w:val="center"/>
                </w:tcPr>
                <w:p w14:paraId="638F1D71">
                  <w:pPr>
                    <w:pStyle w:val="6"/>
                    <w:ind w:firstLine="0" w:firstLineChars="0"/>
                    <w:jc w:val="center"/>
                    <w:rPr>
                      <w:b/>
                      <w:color w:val="auto"/>
                      <w:szCs w:val="21"/>
                    </w:rPr>
                  </w:pPr>
                  <w:r>
                    <w:rPr>
                      <w:b/>
                      <w:color w:val="auto"/>
                      <w:szCs w:val="21"/>
                    </w:rPr>
                    <w:t>名称</w:t>
                  </w:r>
                </w:p>
              </w:tc>
              <w:tc>
                <w:tcPr>
                  <w:tcW w:w="989" w:type="pct"/>
                  <w:tcBorders>
                    <w:tl2br w:val="nil"/>
                    <w:tr2bl w:val="nil"/>
                  </w:tcBorders>
                  <w:shd w:val="clear" w:color="auto" w:fill="FFFFFF"/>
                  <w:noWrap w:val="0"/>
                  <w:vAlign w:val="center"/>
                </w:tcPr>
                <w:p w14:paraId="42704213">
                  <w:pPr>
                    <w:pStyle w:val="6"/>
                    <w:ind w:firstLine="0" w:firstLineChars="0"/>
                    <w:jc w:val="center"/>
                    <w:rPr>
                      <w:b/>
                      <w:color w:val="auto"/>
                      <w:szCs w:val="21"/>
                    </w:rPr>
                  </w:pPr>
                  <w:r>
                    <w:rPr>
                      <w:b/>
                      <w:color w:val="auto"/>
                      <w:szCs w:val="21"/>
                    </w:rPr>
                    <w:t>排气筒底部中心坐标/°</w:t>
                  </w:r>
                </w:p>
              </w:tc>
              <w:tc>
                <w:tcPr>
                  <w:tcW w:w="266" w:type="pct"/>
                  <w:tcBorders>
                    <w:tl2br w:val="nil"/>
                    <w:tr2bl w:val="nil"/>
                  </w:tcBorders>
                  <w:noWrap w:val="0"/>
                  <w:vAlign w:val="center"/>
                </w:tcPr>
                <w:p w14:paraId="41D43E5B">
                  <w:pPr>
                    <w:pStyle w:val="6"/>
                    <w:ind w:firstLine="0" w:firstLineChars="0"/>
                    <w:jc w:val="center"/>
                    <w:rPr>
                      <w:b/>
                      <w:color w:val="auto"/>
                      <w:szCs w:val="21"/>
                    </w:rPr>
                  </w:pPr>
                  <w:r>
                    <w:rPr>
                      <w:b/>
                      <w:color w:val="auto"/>
                      <w:szCs w:val="21"/>
                    </w:rPr>
                    <w:t>排气筒高度/m</w:t>
                  </w:r>
                </w:p>
              </w:tc>
              <w:tc>
                <w:tcPr>
                  <w:tcW w:w="347" w:type="pct"/>
                  <w:tcBorders>
                    <w:tl2br w:val="nil"/>
                    <w:tr2bl w:val="nil"/>
                  </w:tcBorders>
                  <w:noWrap w:val="0"/>
                  <w:vAlign w:val="center"/>
                </w:tcPr>
                <w:p w14:paraId="3DE1D391">
                  <w:pPr>
                    <w:pStyle w:val="6"/>
                    <w:ind w:firstLine="0" w:firstLineChars="0"/>
                    <w:jc w:val="center"/>
                    <w:rPr>
                      <w:b/>
                      <w:color w:val="auto"/>
                      <w:szCs w:val="21"/>
                    </w:rPr>
                  </w:pPr>
                  <w:r>
                    <w:rPr>
                      <w:b/>
                      <w:color w:val="auto"/>
                      <w:szCs w:val="21"/>
                    </w:rPr>
                    <w:t>排气筒出口内径/m</w:t>
                  </w:r>
                </w:p>
              </w:tc>
              <w:tc>
                <w:tcPr>
                  <w:tcW w:w="347" w:type="pct"/>
                  <w:tcBorders>
                    <w:tl2br w:val="nil"/>
                    <w:tr2bl w:val="nil"/>
                  </w:tcBorders>
                  <w:noWrap w:val="0"/>
                  <w:vAlign w:val="center"/>
                </w:tcPr>
                <w:p w14:paraId="1A6390A2">
                  <w:pPr>
                    <w:pStyle w:val="6"/>
                    <w:ind w:firstLine="0" w:firstLineChars="0"/>
                    <w:jc w:val="center"/>
                    <w:rPr>
                      <w:b/>
                      <w:color w:val="auto"/>
                      <w:szCs w:val="21"/>
                    </w:rPr>
                  </w:pPr>
                  <w:r>
                    <w:rPr>
                      <w:b/>
                      <w:color w:val="auto"/>
                      <w:szCs w:val="21"/>
                    </w:rPr>
                    <w:t>烟气温度/℃</w:t>
                  </w:r>
                </w:p>
              </w:tc>
              <w:tc>
                <w:tcPr>
                  <w:tcW w:w="480" w:type="pct"/>
                  <w:tcBorders>
                    <w:tl2br w:val="nil"/>
                    <w:tr2bl w:val="nil"/>
                  </w:tcBorders>
                  <w:noWrap w:val="0"/>
                  <w:vAlign w:val="center"/>
                </w:tcPr>
                <w:p w14:paraId="25B02522">
                  <w:pPr>
                    <w:pStyle w:val="6"/>
                    <w:ind w:firstLine="0" w:firstLineChars="0"/>
                    <w:jc w:val="center"/>
                    <w:rPr>
                      <w:b/>
                      <w:color w:val="auto"/>
                      <w:szCs w:val="21"/>
                    </w:rPr>
                  </w:pPr>
                  <w:r>
                    <w:rPr>
                      <w:b/>
                      <w:color w:val="auto"/>
                      <w:szCs w:val="21"/>
                    </w:rPr>
                    <w:t>排放口类型</w:t>
                  </w:r>
                </w:p>
              </w:tc>
              <w:tc>
                <w:tcPr>
                  <w:tcW w:w="1150" w:type="pct"/>
                  <w:tcBorders>
                    <w:tl2br w:val="nil"/>
                    <w:tr2bl w:val="nil"/>
                  </w:tcBorders>
                  <w:noWrap w:val="0"/>
                  <w:vAlign w:val="center"/>
                </w:tcPr>
                <w:p w14:paraId="721CE364">
                  <w:pPr>
                    <w:pStyle w:val="6"/>
                    <w:ind w:firstLine="0" w:firstLineChars="0"/>
                    <w:jc w:val="center"/>
                    <w:rPr>
                      <w:b/>
                      <w:color w:val="auto"/>
                      <w:szCs w:val="21"/>
                    </w:rPr>
                  </w:pPr>
                  <w:r>
                    <w:rPr>
                      <w:b/>
                      <w:color w:val="auto"/>
                      <w:szCs w:val="21"/>
                    </w:rPr>
                    <w:t>排放标准</w:t>
                  </w:r>
                </w:p>
              </w:tc>
            </w:tr>
            <w:tr w14:paraId="722C05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571" w:type="pct"/>
                  <w:tcBorders>
                    <w:tl2br w:val="nil"/>
                    <w:tr2bl w:val="nil"/>
                  </w:tcBorders>
                  <w:shd w:val="clear" w:color="auto" w:fill="auto"/>
                  <w:noWrap w:val="0"/>
                  <w:vAlign w:val="center"/>
                </w:tcPr>
                <w:p w14:paraId="7E18A064">
                  <w:pPr>
                    <w:pStyle w:val="6"/>
                    <w:ind w:firstLine="0" w:firstLineChars="0"/>
                    <w:jc w:val="center"/>
                    <w:rPr>
                      <w:color w:val="auto"/>
                      <w:szCs w:val="21"/>
                    </w:rPr>
                  </w:pPr>
                  <w:r>
                    <w:rPr>
                      <w:rFonts w:hint="eastAsia"/>
                      <w:color w:val="auto"/>
                      <w:szCs w:val="21"/>
                    </w:rPr>
                    <w:t>DA001</w:t>
                  </w:r>
                </w:p>
              </w:tc>
              <w:tc>
                <w:tcPr>
                  <w:tcW w:w="848" w:type="pct"/>
                  <w:tcBorders>
                    <w:tl2br w:val="nil"/>
                    <w:tr2bl w:val="nil"/>
                  </w:tcBorders>
                  <w:shd w:val="clear" w:color="auto" w:fill="FFFFFF"/>
                  <w:noWrap w:val="0"/>
                  <w:vAlign w:val="center"/>
                </w:tcPr>
                <w:p w14:paraId="19CD3671">
                  <w:pPr>
                    <w:pStyle w:val="6"/>
                    <w:ind w:firstLine="0" w:firstLineChars="0"/>
                    <w:jc w:val="center"/>
                    <w:rPr>
                      <w:color w:val="auto"/>
                      <w:szCs w:val="21"/>
                    </w:rPr>
                  </w:pPr>
                  <w:r>
                    <w:rPr>
                      <w:rFonts w:hint="eastAsia"/>
                      <w:color w:val="auto"/>
                      <w:szCs w:val="21"/>
                    </w:rPr>
                    <w:t>废气</w:t>
                  </w:r>
                  <w:r>
                    <w:rPr>
                      <w:color w:val="auto"/>
                      <w:szCs w:val="21"/>
                    </w:rPr>
                    <w:t>排气筒</w:t>
                  </w:r>
                </w:p>
              </w:tc>
              <w:tc>
                <w:tcPr>
                  <w:tcW w:w="989" w:type="pct"/>
                  <w:tcBorders>
                    <w:tl2br w:val="nil"/>
                    <w:tr2bl w:val="nil"/>
                  </w:tcBorders>
                  <w:shd w:val="clear" w:color="auto" w:fill="FFFFFF"/>
                  <w:noWrap w:val="0"/>
                  <w:vAlign w:val="center"/>
                </w:tcPr>
                <w:p w14:paraId="6DFC4604">
                  <w:pPr>
                    <w:pStyle w:val="23"/>
                    <w:spacing w:before="0" w:beforeAutospacing="0" w:after="0" w:afterAutospacing="0"/>
                    <w:jc w:val="center"/>
                    <w:rPr>
                      <w:rFonts w:ascii="Times New Roman" w:hAnsi="Times New Roman"/>
                      <w:color w:val="auto"/>
                      <w:sz w:val="21"/>
                      <w:szCs w:val="21"/>
                    </w:rPr>
                  </w:pPr>
                  <w:r>
                    <w:rPr>
                      <w:rFonts w:hint="eastAsia" w:ascii="Times New Roman" w:hAnsi="Times New Roman"/>
                      <w:color w:val="auto"/>
                      <w:sz w:val="21"/>
                      <w:szCs w:val="21"/>
                    </w:rPr>
                    <w:t>108.95802766</w:t>
                  </w:r>
                  <w:r>
                    <w:rPr>
                      <w:rFonts w:hint="eastAsia" w:ascii="Times New Roman" w:hAnsi="Times New Roman"/>
                      <w:color w:val="auto"/>
                      <w:sz w:val="21"/>
                      <w:szCs w:val="21"/>
                      <w:lang w:eastAsia="zh-CN"/>
                    </w:rPr>
                    <w:t>，</w:t>
                  </w:r>
                  <w:r>
                    <w:rPr>
                      <w:rFonts w:hint="eastAsia" w:ascii="Times New Roman" w:hAnsi="Times New Roman"/>
                      <w:color w:val="auto"/>
                      <w:sz w:val="21"/>
                      <w:szCs w:val="21"/>
                    </w:rPr>
                    <w:t>34.53591314</w:t>
                  </w:r>
                </w:p>
              </w:tc>
              <w:tc>
                <w:tcPr>
                  <w:tcW w:w="266" w:type="pct"/>
                  <w:tcBorders>
                    <w:tl2br w:val="nil"/>
                    <w:tr2bl w:val="nil"/>
                  </w:tcBorders>
                  <w:noWrap w:val="0"/>
                  <w:vAlign w:val="center"/>
                </w:tcPr>
                <w:p w14:paraId="311CC4A1">
                  <w:pPr>
                    <w:pStyle w:val="6"/>
                    <w:ind w:firstLine="0" w:firstLineChars="0"/>
                    <w:jc w:val="center"/>
                    <w:rPr>
                      <w:rFonts w:hint="default" w:eastAsia="宋体"/>
                      <w:color w:val="auto"/>
                      <w:szCs w:val="21"/>
                      <w:lang w:val="en-US" w:eastAsia="zh-CN"/>
                    </w:rPr>
                  </w:pPr>
                  <w:r>
                    <w:rPr>
                      <w:rFonts w:hint="eastAsia"/>
                      <w:color w:val="auto"/>
                      <w:szCs w:val="21"/>
                      <w:lang w:val="en-US" w:eastAsia="zh-CN"/>
                    </w:rPr>
                    <w:t>17</w:t>
                  </w:r>
                </w:p>
              </w:tc>
              <w:tc>
                <w:tcPr>
                  <w:tcW w:w="347" w:type="pct"/>
                  <w:tcBorders>
                    <w:tl2br w:val="nil"/>
                    <w:tr2bl w:val="nil"/>
                  </w:tcBorders>
                  <w:noWrap w:val="0"/>
                  <w:vAlign w:val="center"/>
                </w:tcPr>
                <w:p w14:paraId="67C43B2F">
                  <w:pPr>
                    <w:pStyle w:val="6"/>
                    <w:ind w:firstLine="0" w:firstLineChars="0"/>
                    <w:jc w:val="center"/>
                    <w:rPr>
                      <w:color w:val="auto"/>
                      <w:szCs w:val="21"/>
                    </w:rPr>
                  </w:pPr>
                  <w:r>
                    <w:rPr>
                      <w:rFonts w:hint="eastAsia"/>
                      <w:color w:val="auto"/>
                      <w:szCs w:val="21"/>
                    </w:rPr>
                    <w:t>0.4</w:t>
                  </w:r>
                </w:p>
              </w:tc>
              <w:tc>
                <w:tcPr>
                  <w:tcW w:w="347" w:type="pct"/>
                  <w:tcBorders>
                    <w:tl2br w:val="nil"/>
                    <w:tr2bl w:val="nil"/>
                  </w:tcBorders>
                  <w:noWrap w:val="0"/>
                  <w:vAlign w:val="center"/>
                </w:tcPr>
                <w:p w14:paraId="3FC77499">
                  <w:pPr>
                    <w:pStyle w:val="6"/>
                    <w:ind w:firstLine="0" w:firstLineChars="0"/>
                    <w:jc w:val="center"/>
                    <w:rPr>
                      <w:color w:val="auto"/>
                      <w:szCs w:val="21"/>
                    </w:rPr>
                  </w:pPr>
                  <w:r>
                    <w:rPr>
                      <w:color w:val="auto"/>
                      <w:szCs w:val="21"/>
                    </w:rPr>
                    <w:t>2</w:t>
                  </w:r>
                  <w:r>
                    <w:rPr>
                      <w:rFonts w:hint="eastAsia"/>
                      <w:color w:val="auto"/>
                      <w:szCs w:val="21"/>
                    </w:rPr>
                    <w:t>5</w:t>
                  </w:r>
                </w:p>
              </w:tc>
              <w:tc>
                <w:tcPr>
                  <w:tcW w:w="480" w:type="pct"/>
                  <w:tcBorders>
                    <w:tl2br w:val="nil"/>
                    <w:tr2bl w:val="nil"/>
                  </w:tcBorders>
                  <w:noWrap w:val="0"/>
                  <w:vAlign w:val="center"/>
                </w:tcPr>
                <w:p w14:paraId="36207FB0">
                  <w:pPr>
                    <w:pStyle w:val="6"/>
                    <w:ind w:firstLine="0" w:firstLineChars="0"/>
                    <w:jc w:val="center"/>
                    <w:rPr>
                      <w:color w:val="auto"/>
                      <w:szCs w:val="21"/>
                    </w:rPr>
                  </w:pPr>
                  <w:r>
                    <w:rPr>
                      <w:rFonts w:hint="eastAsia"/>
                      <w:color w:val="auto"/>
                      <w:szCs w:val="21"/>
                    </w:rPr>
                    <w:t>一般</w:t>
                  </w:r>
                  <w:r>
                    <w:rPr>
                      <w:color w:val="auto"/>
                      <w:szCs w:val="21"/>
                    </w:rPr>
                    <w:t>排放口</w:t>
                  </w:r>
                </w:p>
              </w:tc>
              <w:tc>
                <w:tcPr>
                  <w:tcW w:w="1150" w:type="pct"/>
                  <w:tcBorders>
                    <w:tl2br w:val="nil"/>
                    <w:tr2bl w:val="nil"/>
                  </w:tcBorders>
                  <w:noWrap w:val="0"/>
                  <w:vAlign w:val="center"/>
                </w:tcPr>
                <w:p w14:paraId="115BE97B">
                  <w:pPr>
                    <w:pStyle w:val="6"/>
                    <w:kinsoku w:val="0"/>
                    <w:ind w:firstLine="0" w:firstLineChars="0"/>
                    <w:jc w:val="center"/>
                    <w:rPr>
                      <w:color w:val="auto"/>
                      <w:szCs w:val="21"/>
                    </w:rPr>
                  </w:pPr>
                  <w:r>
                    <w:rPr>
                      <w:rFonts w:hint="eastAsia"/>
                      <w:color w:val="auto"/>
                      <w:szCs w:val="21"/>
                      <w:lang w:val="en-US" w:eastAsia="zh-CN"/>
                    </w:rPr>
                    <w:t>《大气污染物综合排放标准》（GB16297-1996）表2二级标准</w:t>
                  </w:r>
                </w:p>
              </w:tc>
            </w:tr>
          </w:tbl>
          <w:p w14:paraId="11195524">
            <w:pPr>
              <w:numPr>
                <w:ilvl w:val="1"/>
                <w:numId w:val="10"/>
              </w:numPr>
              <w:adjustRightInd w:val="0"/>
              <w:snapToGrid w:val="0"/>
              <w:spacing w:line="360" w:lineRule="auto"/>
              <w:rPr>
                <w:rFonts w:hint="default" w:ascii="Times New Roman" w:hAnsi="Times New Roman" w:cs="Times New Roman"/>
                <w:b/>
                <w:bCs w:val="0"/>
                <w:color w:val="auto"/>
                <w:spacing w:val="0"/>
                <w:sz w:val="24"/>
                <w:szCs w:val="24"/>
                <w:lang w:val="en-US" w:eastAsia="zh-CN"/>
              </w:rPr>
            </w:pPr>
            <w:r>
              <w:rPr>
                <w:rFonts w:hint="default" w:ascii="Times New Roman" w:hAnsi="Times New Roman" w:cs="Times New Roman"/>
                <w:b/>
                <w:bCs w:val="0"/>
                <w:color w:val="auto"/>
                <w:spacing w:val="0"/>
                <w:sz w:val="24"/>
                <w:szCs w:val="24"/>
                <w:lang w:val="en-US" w:eastAsia="zh-CN"/>
              </w:rPr>
              <w:t>排气筒设置合理性分析</w:t>
            </w:r>
          </w:p>
          <w:p w14:paraId="6E94BECA">
            <w:pPr>
              <w:numPr>
                <w:ilvl w:val="0"/>
                <w:numId w:val="0"/>
              </w:numPr>
              <w:adjustRightInd w:val="0"/>
              <w:snapToGrid w:val="0"/>
              <w:spacing w:line="360" w:lineRule="auto"/>
              <w:ind w:leftChars="0" w:firstLine="480" w:firstLineChars="200"/>
              <w:rPr>
                <w:rFonts w:hint="default" w:ascii="Times New Roman" w:hAnsi="Times New Roman" w:cs="Times New Roman"/>
                <w:b/>
                <w:bCs w:val="0"/>
                <w:color w:val="auto"/>
                <w:spacing w:val="0"/>
                <w:sz w:val="24"/>
                <w:szCs w:val="24"/>
                <w:lang w:val="en-US" w:eastAsia="zh-CN"/>
              </w:rPr>
            </w:pPr>
            <w:r>
              <w:rPr>
                <w:rFonts w:hint="eastAsia"/>
                <w:color w:val="auto"/>
                <w:sz w:val="24"/>
                <w:szCs w:val="32"/>
              </w:rPr>
              <w:t>根据《大气污染物综合排放标准》（GB16297-1996）</w:t>
            </w:r>
            <w:r>
              <w:rPr>
                <w:rFonts w:hint="eastAsia"/>
                <w:color w:val="auto"/>
                <w:sz w:val="24"/>
                <w:szCs w:val="32"/>
                <w:lang w:eastAsia="zh-CN"/>
              </w:rPr>
              <w:t>：“</w:t>
            </w:r>
            <w:r>
              <w:rPr>
                <w:rFonts w:hint="eastAsia"/>
                <w:color w:val="auto"/>
                <w:sz w:val="24"/>
                <w:szCs w:val="32"/>
                <w:lang w:val="en-US" w:eastAsia="zh-CN"/>
              </w:rPr>
              <w:t>排气筒高度除须遵守表列排放速率标准值外，还应高出周围200m半径范围的建筑5m以上</w:t>
            </w:r>
            <w:r>
              <w:rPr>
                <w:rFonts w:hint="eastAsia"/>
                <w:color w:val="auto"/>
                <w:sz w:val="24"/>
                <w:szCs w:val="32"/>
                <w:lang w:eastAsia="zh-CN"/>
              </w:rPr>
              <w:t>”、“</w:t>
            </w:r>
            <w:r>
              <w:rPr>
                <w:rFonts w:hint="eastAsia"/>
                <w:color w:val="auto"/>
                <w:sz w:val="24"/>
                <w:szCs w:val="32"/>
                <w:lang w:val="en-US" w:eastAsia="zh-CN"/>
              </w:rPr>
              <w:t>新污染源的排气筒一般不应低于15m</w:t>
            </w:r>
            <w:r>
              <w:rPr>
                <w:rFonts w:hint="eastAsia"/>
                <w:color w:val="auto"/>
                <w:sz w:val="24"/>
                <w:szCs w:val="32"/>
                <w:lang w:eastAsia="zh-CN"/>
              </w:rPr>
              <w:t>”。</w:t>
            </w:r>
            <w:r>
              <w:rPr>
                <w:rFonts w:hint="eastAsia"/>
                <w:color w:val="auto"/>
                <w:sz w:val="24"/>
                <w:szCs w:val="32"/>
                <w:lang w:val="en-US" w:eastAsia="zh-CN"/>
              </w:rPr>
              <w:t>本项目排气筒DA001高17m，其半径200m范围内最高建筑为本项目所租赁厂房（高12m），故本项目排气筒DA001高度设置满足</w:t>
            </w:r>
            <w:r>
              <w:rPr>
                <w:rFonts w:hint="eastAsia"/>
                <w:color w:val="auto"/>
                <w:sz w:val="24"/>
                <w:szCs w:val="32"/>
              </w:rPr>
              <w:t>《大气污染物综合排放标准》（GB16297-1996）</w:t>
            </w:r>
            <w:r>
              <w:rPr>
                <w:rFonts w:hint="eastAsia"/>
                <w:color w:val="auto"/>
                <w:sz w:val="24"/>
                <w:szCs w:val="32"/>
                <w:lang w:val="en-US" w:eastAsia="zh-CN"/>
              </w:rPr>
              <w:t>中相关要求。</w:t>
            </w:r>
          </w:p>
          <w:p w14:paraId="4F14E11A">
            <w:pPr>
              <w:numPr>
                <w:ilvl w:val="1"/>
                <w:numId w:val="10"/>
              </w:numPr>
              <w:adjustRightInd w:val="0"/>
              <w:snapToGrid w:val="0"/>
              <w:spacing w:line="360" w:lineRule="auto"/>
              <w:rPr>
                <w:rFonts w:hint="default" w:ascii="Times New Roman" w:hAnsi="Times New Roman" w:cs="Times New Roman"/>
                <w:b/>
                <w:bCs w:val="0"/>
                <w:color w:val="auto"/>
                <w:spacing w:val="0"/>
                <w:sz w:val="24"/>
                <w:szCs w:val="24"/>
                <w:lang w:val="en-US" w:eastAsia="zh-CN"/>
              </w:rPr>
            </w:pPr>
            <w:r>
              <w:rPr>
                <w:rFonts w:hint="default" w:ascii="Times New Roman" w:hAnsi="Times New Roman" w:cs="Times New Roman"/>
                <w:b/>
                <w:bCs w:val="0"/>
                <w:color w:val="auto"/>
                <w:spacing w:val="0"/>
                <w:sz w:val="24"/>
                <w:szCs w:val="24"/>
                <w:lang w:val="en-US" w:eastAsia="zh-CN"/>
              </w:rPr>
              <w:t>废气监测计划</w:t>
            </w:r>
          </w:p>
          <w:p w14:paraId="3DBA1357">
            <w:pPr>
              <w:adjustRightInd w:val="0"/>
              <w:snapToGrid w:val="0"/>
              <w:spacing w:line="360" w:lineRule="auto"/>
              <w:ind w:firstLine="480" w:firstLineChars="200"/>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根据本项目运营期各项污染物的污染特点及《排污单位自行监测技术指南总则》(HJ819-2017)中的相关监测要求，制定了本项目运营期废气污染源与环境监测计划表，见表</w:t>
            </w:r>
            <w:r>
              <w:rPr>
                <w:rFonts w:hint="eastAsia" w:ascii="Times New Roman" w:hAnsi="Times New Roman" w:cs="Times New Roman"/>
                <w:color w:val="auto"/>
                <w:sz w:val="24"/>
                <w:highlight w:val="none"/>
                <w:lang w:val="en-US" w:eastAsia="zh-CN"/>
              </w:rPr>
              <w:t>4-4</w:t>
            </w:r>
            <w:r>
              <w:rPr>
                <w:rFonts w:hint="eastAsia" w:ascii="Times New Roman" w:hAnsi="Times New Roman" w:cs="Times New Roman"/>
                <w:color w:val="auto"/>
                <w:sz w:val="24"/>
                <w:highlight w:val="none"/>
              </w:rPr>
              <w:t>。</w:t>
            </w:r>
          </w:p>
          <w:p w14:paraId="747B3271">
            <w:pPr>
              <w:autoSpaceDE w:val="0"/>
              <w:autoSpaceDN w:val="0"/>
              <w:jc w:val="center"/>
              <w:rPr>
                <w:rFonts w:ascii="Times New Roman" w:hAnsi="Times New Roman" w:eastAsia="宋体" w:cs="Times New Roman"/>
                <w:b/>
                <w:color w:val="auto"/>
                <w:kern w:val="2"/>
                <w:sz w:val="24"/>
                <w:szCs w:val="24"/>
                <w:lang w:val="en-US" w:eastAsia="zh-CN" w:bidi="ar-SA"/>
              </w:rPr>
            </w:pPr>
            <w:r>
              <w:rPr>
                <w:rFonts w:hint="eastAsia" w:ascii="Times New Roman" w:hAnsi="Times New Roman" w:eastAsia="宋体" w:cs="Times New Roman"/>
                <w:b/>
                <w:color w:val="auto"/>
                <w:kern w:val="2"/>
                <w:sz w:val="24"/>
                <w:szCs w:val="24"/>
                <w:lang w:val="en-US" w:eastAsia="zh-CN" w:bidi="ar-SA"/>
              </w:rPr>
              <w:t>表4-4  运营期大气环境监测计划</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45"/>
              <w:gridCol w:w="2255"/>
              <w:gridCol w:w="2885"/>
              <w:gridCol w:w="1436"/>
            </w:tblGrid>
            <w:tr w14:paraId="7FA725B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8" w:hRule="atLeast"/>
                <w:jc w:val="center"/>
              </w:trPr>
              <w:tc>
                <w:tcPr>
                  <w:tcW w:w="1000" w:type="pct"/>
                  <w:noWrap w:val="0"/>
                  <w:vAlign w:val="center"/>
                </w:tcPr>
                <w:p w14:paraId="2E70DB25">
                  <w:pPr>
                    <w:jc w:val="center"/>
                    <w:rPr>
                      <w:b/>
                      <w:bCs/>
                      <w:color w:val="auto"/>
                      <w:kern w:val="0"/>
                      <w:szCs w:val="21"/>
                      <w:highlight w:val="none"/>
                    </w:rPr>
                  </w:pPr>
                  <w:r>
                    <w:rPr>
                      <w:b/>
                      <w:bCs/>
                      <w:color w:val="auto"/>
                      <w:kern w:val="0"/>
                      <w:szCs w:val="21"/>
                      <w:highlight w:val="none"/>
                    </w:rPr>
                    <w:t>污染源名称</w:t>
                  </w:r>
                </w:p>
              </w:tc>
              <w:tc>
                <w:tcPr>
                  <w:tcW w:w="1371" w:type="pct"/>
                  <w:noWrap w:val="0"/>
                  <w:vAlign w:val="center"/>
                </w:tcPr>
                <w:p w14:paraId="3BBFF797">
                  <w:pPr>
                    <w:jc w:val="center"/>
                    <w:rPr>
                      <w:b/>
                      <w:bCs/>
                      <w:color w:val="auto"/>
                      <w:kern w:val="0"/>
                      <w:szCs w:val="21"/>
                      <w:highlight w:val="none"/>
                    </w:rPr>
                  </w:pPr>
                  <w:r>
                    <w:rPr>
                      <w:b/>
                      <w:bCs/>
                      <w:color w:val="auto"/>
                      <w:kern w:val="0"/>
                      <w:szCs w:val="21"/>
                      <w:highlight w:val="none"/>
                    </w:rPr>
                    <w:t>监测因子</w:t>
                  </w:r>
                </w:p>
              </w:tc>
              <w:tc>
                <w:tcPr>
                  <w:tcW w:w="1754" w:type="pct"/>
                  <w:noWrap w:val="0"/>
                  <w:vAlign w:val="center"/>
                </w:tcPr>
                <w:p w14:paraId="4D5EAD5F">
                  <w:pPr>
                    <w:jc w:val="center"/>
                    <w:rPr>
                      <w:b/>
                      <w:bCs/>
                      <w:color w:val="auto"/>
                      <w:kern w:val="0"/>
                      <w:szCs w:val="21"/>
                      <w:highlight w:val="none"/>
                    </w:rPr>
                  </w:pPr>
                  <w:r>
                    <w:rPr>
                      <w:b/>
                      <w:bCs/>
                      <w:color w:val="auto"/>
                      <w:kern w:val="0"/>
                      <w:szCs w:val="21"/>
                      <w:highlight w:val="none"/>
                    </w:rPr>
                    <w:t>监测点位</w:t>
                  </w:r>
                </w:p>
              </w:tc>
              <w:tc>
                <w:tcPr>
                  <w:tcW w:w="873" w:type="pct"/>
                  <w:noWrap w:val="0"/>
                  <w:vAlign w:val="center"/>
                </w:tcPr>
                <w:p w14:paraId="34889230">
                  <w:pPr>
                    <w:jc w:val="center"/>
                    <w:rPr>
                      <w:b/>
                      <w:bCs/>
                      <w:color w:val="auto"/>
                      <w:kern w:val="0"/>
                      <w:szCs w:val="21"/>
                      <w:highlight w:val="none"/>
                    </w:rPr>
                  </w:pPr>
                  <w:r>
                    <w:rPr>
                      <w:b/>
                      <w:bCs/>
                      <w:color w:val="auto"/>
                      <w:kern w:val="0"/>
                      <w:szCs w:val="21"/>
                      <w:highlight w:val="none"/>
                    </w:rPr>
                    <w:t>监测频次</w:t>
                  </w:r>
                </w:p>
              </w:tc>
            </w:tr>
            <w:tr w14:paraId="5CD8274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8" w:hRule="atLeast"/>
                <w:jc w:val="center"/>
              </w:trPr>
              <w:tc>
                <w:tcPr>
                  <w:tcW w:w="1000" w:type="pct"/>
                  <w:noWrap w:val="0"/>
                  <w:vAlign w:val="center"/>
                </w:tcPr>
                <w:p w14:paraId="2FCBA822">
                  <w:pPr>
                    <w:jc w:val="center"/>
                    <w:rPr>
                      <w:color w:val="auto"/>
                      <w:kern w:val="0"/>
                      <w:szCs w:val="21"/>
                      <w:highlight w:val="none"/>
                    </w:rPr>
                  </w:pPr>
                  <w:r>
                    <w:rPr>
                      <w:rFonts w:hint="eastAsia"/>
                      <w:color w:val="auto"/>
                      <w:kern w:val="0"/>
                      <w:szCs w:val="21"/>
                      <w:highlight w:val="none"/>
                    </w:rPr>
                    <w:t>有机废气排放口（DA001）</w:t>
                  </w:r>
                </w:p>
              </w:tc>
              <w:tc>
                <w:tcPr>
                  <w:tcW w:w="1371" w:type="pct"/>
                  <w:noWrap w:val="0"/>
                  <w:vAlign w:val="center"/>
                </w:tcPr>
                <w:p w14:paraId="4149F805">
                  <w:pPr>
                    <w:jc w:val="center"/>
                    <w:rPr>
                      <w:color w:val="auto"/>
                      <w:kern w:val="0"/>
                      <w:szCs w:val="21"/>
                      <w:highlight w:val="none"/>
                    </w:rPr>
                  </w:pPr>
                  <w:r>
                    <w:rPr>
                      <w:rFonts w:hint="eastAsia"/>
                      <w:color w:val="auto"/>
                      <w:kern w:val="0"/>
                      <w:szCs w:val="21"/>
                      <w:highlight w:val="none"/>
                    </w:rPr>
                    <w:t>非甲烷总烃</w:t>
                  </w:r>
                </w:p>
              </w:tc>
              <w:tc>
                <w:tcPr>
                  <w:tcW w:w="1754" w:type="pct"/>
                  <w:noWrap w:val="0"/>
                  <w:vAlign w:val="center"/>
                </w:tcPr>
                <w:p w14:paraId="32BA4529">
                  <w:pPr>
                    <w:jc w:val="center"/>
                    <w:rPr>
                      <w:color w:val="auto"/>
                      <w:kern w:val="0"/>
                      <w:szCs w:val="21"/>
                      <w:highlight w:val="none"/>
                    </w:rPr>
                  </w:pPr>
                  <w:r>
                    <w:rPr>
                      <w:rFonts w:hint="eastAsia"/>
                      <w:color w:val="auto"/>
                      <w:kern w:val="0"/>
                      <w:szCs w:val="21"/>
                      <w:highlight w:val="none"/>
                    </w:rPr>
                    <w:t>排气筒出口</w:t>
                  </w:r>
                </w:p>
              </w:tc>
              <w:tc>
                <w:tcPr>
                  <w:tcW w:w="873" w:type="pct"/>
                  <w:noWrap w:val="0"/>
                  <w:vAlign w:val="center"/>
                </w:tcPr>
                <w:p w14:paraId="5EB5ADD7">
                  <w:pPr>
                    <w:jc w:val="center"/>
                    <w:rPr>
                      <w:color w:val="auto"/>
                      <w:szCs w:val="21"/>
                      <w:highlight w:val="none"/>
                    </w:rPr>
                  </w:pPr>
                  <w:r>
                    <w:rPr>
                      <w:rFonts w:hint="eastAsia"/>
                      <w:color w:val="auto"/>
                      <w:szCs w:val="21"/>
                      <w:highlight w:val="none"/>
                    </w:rPr>
                    <w:t>1次/年</w:t>
                  </w:r>
                </w:p>
              </w:tc>
            </w:tr>
            <w:tr w14:paraId="21AEDC1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81" w:hRule="atLeast"/>
                <w:jc w:val="center"/>
              </w:trPr>
              <w:tc>
                <w:tcPr>
                  <w:tcW w:w="1000" w:type="pct"/>
                  <w:noWrap w:val="0"/>
                  <w:vAlign w:val="center"/>
                </w:tcPr>
                <w:p w14:paraId="5534ECFD">
                  <w:pPr>
                    <w:jc w:val="center"/>
                    <w:rPr>
                      <w:color w:val="auto"/>
                      <w:kern w:val="0"/>
                      <w:szCs w:val="21"/>
                      <w:highlight w:val="none"/>
                    </w:rPr>
                  </w:pPr>
                  <w:r>
                    <w:rPr>
                      <w:rFonts w:hint="eastAsia"/>
                      <w:color w:val="auto"/>
                      <w:kern w:val="0"/>
                      <w:szCs w:val="21"/>
                      <w:highlight w:val="none"/>
                    </w:rPr>
                    <w:t>厂界</w:t>
                  </w:r>
                </w:p>
              </w:tc>
              <w:tc>
                <w:tcPr>
                  <w:tcW w:w="1371" w:type="pct"/>
                  <w:noWrap w:val="0"/>
                  <w:vAlign w:val="center"/>
                </w:tcPr>
                <w:p w14:paraId="6AD0323F">
                  <w:pPr>
                    <w:jc w:val="center"/>
                    <w:rPr>
                      <w:rFonts w:hint="eastAsia" w:eastAsia="宋体"/>
                      <w:color w:val="auto"/>
                      <w:kern w:val="0"/>
                      <w:szCs w:val="21"/>
                      <w:highlight w:val="none"/>
                      <w:lang w:val="en-US" w:eastAsia="zh-CN"/>
                    </w:rPr>
                  </w:pPr>
                  <w:r>
                    <w:rPr>
                      <w:rFonts w:hint="eastAsia"/>
                      <w:color w:val="auto"/>
                      <w:kern w:val="0"/>
                      <w:szCs w:val="21"/>
                      <w:highlight w:val="none"/>
                    </w:rPr>
                    <w:t>非甲烷总烃</w:t>
                  </w:r>
                </w:p>
              </w:tc>
              <w:tc>
                <w:tcPr>
                  <w:tcW w:w="1754" w:type="pct"/>
                  <w:noWrap w:val="0"/>
                  <w:vAlign w:val="center"/>
                </w:tcPr>
                <w:p w14:paraId="0455A39C">
                  <w:pPr>
                    <w:jc w:val="center"/>
                    <w:rPr>
                      <w:color w:val="auto"/>
                      <w:kern w:val="0"/>
                      <w:szCs w:val="21"/>
                      <w:highlight w:val="none"/>
                    </w:rPr>
                  </w:pPr>
                  <w:r>
                    <w:rPr>
                      <w:color w:val="auto"/>
                      <w:kern w:val="0"/>
                      <w:szCs w:val="21"/>
                      <w:highlight w:val="none"/>
                    </w:rPr>
                    <w:t>厂界（上风向1个点，下风向3个点）</w:t>
                  </w:r>
                </w:p>
              </w:tc>
              <w:tc>
                <w:tcPr>
                  <w:tcW w:w="873" w:type="pct"/>
                  <w:noWrap w:val="0"/>
                  <w:vAlign w:val="center"/>
                </w:tcPr>
                <w:p w14:paraId="5DCCBAF5">
                  <w:pPr>
                    <w:jc w:val="center"/>
                    <w:rPr>
                      <w:color w:val="auto"/>
                      <w:szCs w:val="21"/>
                      <w:highlight w:val="none"/>
                    </w:rPr>
                  </w:pPr>
                  <w:r>
                    <w:rPr>
                      <w:color w:val="auto"/>
                      <w:szCs w:val="21"/>
                      <w:highlight w:val="none"/>
                    </w:rPr>
                    <w:t>1次/年</w:t>
                  </w:r>
                </w:p>
              </w:tc>
            </w:tr>
            <w:tr w14:paraId="33C5D12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25" w:hRule="atLeast"/>
                <w:jc w:val="center"/>
              </w:trPr>
              <w:tc>
                <w:tcPr>
                  <w:tcW w:w="1000" w:type="pct"/>
                  <w:noWrap w:val="0"/>
                  <w:vAlign w:val="center"/>
                </w:tcPr>
                <w:p w14:paraId="4ECC9048">
                  <w:pPr>
                    <w:widowControl/>
                    <w:jc w:val="center"/>
                    <w:rPr>
                      <w:rFonts w:hint="default" w:eastAsia="宋体"/>
                      <w:color w:val="auto"/>
                      <w:kern w:val="0"/>
                      <w:szCs w:val="21"/>
                      <w:highlight w:val="none"/>
                      <w:lang w:val="en-US" w:eastAsia="zh-CN"/>
                    </w:rPr>
                  </w:pPr>
                  <w:r>
                    <w:rPr>
                      <w:rFonts w:hint="default" w:eastAsia="宋体"/>
                      <w:color w:val="auto"/>
                      <w:kern w:val="0"/>
                      <w:szCs w:val="21"/>
                      <w:highlight w:val="none"/>
                      <w:lang w:val="en-US" w:eastAsia="zh-CN"/>
                    </w:rPr>
                    <w:t>厂区内</w:t>
                  </w:r>
                </w:p>
              </w:tc>
              <w:tc>
                <w:tcPr>
                  <w:tcW w:w="1371" w:type="pct"/>
                  <w:noWrap w:val="0"/>
                  <w:vAlign w:val="center"/>
                </w:tcPr>
                <w:p w14:paraId="40FCFB8F">
                  <w:pPr>
                    <w:jc w:val="center"/>
                    <w:rPr>
                      <w:color w:val="auto"/>
                      <w:kern w:val="0"/>
                      <w:szCs w:val="21"/>
                      <w:highlight w:val="none"/>
                    </w:rPr>
                  </w:pPr>
                  <w:r>
                    <w:rPr>
                      <w:rFonts w:hint="eastAsia"/>
                      <w:color w:val="auto"/>
                      <w:kern w:val="0"/>
                      <w:szCs w:val="21"/>
                      <w:highlight w:val="none"/>
                    </w:rPr>
                    <w:t>非甲烷总烃</w:t>
                  </w:r>
                </w:p>
              </w:tc>
              <w:tc>
                <w:tcPr>
                  <w:tcW w:w="1754" w:type="pct"/>
                  <w:noWrap w:val="0"/>
                  <w:vAlign w:val="center"/>
                </w:tcPr>
                <w:p w14:paraId="7EBB39E0">
                  <w:pPr>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厂房外</w:t>
                  </w:r>
                </w:p>
              </w:tc>
              <w:tc>
                <w:tcPr>
                  <w:tcW w:w="873" w:type="pct"/>
                  <w:noWrap w:val="0"/>
                  <w:vAlign w:val="center"/>
                </w:tcPr>
                <w:p w14:paraId="6A30D3CA">
                  <w:pPr>
                    <w:jc w:val="center"/>
                    <w:rPr>
                      <w:rFonts w:hint="eastAsia"/>
                      <w:color w:val="auto"/>
                      <w:szCs w:val="21"/>
                      <w:highlight w:val="none"/>
                    </w:rPr>
                  </w:pPr>
                  <w:r>
                    <w:rPr>
                      <w:color w:val="auto"/>
                      <w:szCs w:val="21"/>
                      <w:highlight w:val="none"/>
                    </w:rPr>
                    <w:t>1次/</w:t>
                  </w:r>
                  <w:r>
                    <w:rPr>
                      <w:rFonts w:hint="eastAsia"/>
                      <w:color w:val="auto"/>
                      <w:szCs w:val="21"/>
                      <w:highlight w:val="none"/>
                    </w:rPr>
                    <w:t>年</w:t>
                  </w:r>
                </w:p>
              </w:tc>
            </w:tr>
          </w:tbl>
          <w:p w14:paraId="2B8D14C1">
            <w:pPr>
              <w:numPr>
                <w:ilvl w:val="1"/>
                <w:numId w:val="10"/>
              </w:numPr>
              <w:adjustRightInd w:val="0"/>
              <w:snapToGrid w:val="0"/>
              <w:spacing w:line="360" w:lineRule="auto"/>
              <w:rPr>
                <w:rFonts w:hint="default" w:ascii="Times New Roman" w:hAnsi="Times New Roman" w:cs="Times New Roman"/>
                <w:b/>
                <w:bCs w:val="0"/>
                <w:color w:val="auto"/>
                <w:spacing w:val="0"/>
                <w:sz w:val="24"/>
                <w:szCs w:val="24"/>
                <w:lang w:val="en-US" w:eastAsia="zh-CN"/>
              </w:rPr>
            </w:pPr>
            <w:r>
              <w:rPr>
                <w:rFonts w:hint="default" w:ascii="Times New Roman" w:hAnsi="Times New Roman" w:cs="Times New Roman"/>
                <w:b/>
                <w:bCs w:val="0"/>
                <w:color w:val="auto"/>
                <w:spacing w:val="0"/>
                <w:sz w:val="24"/>
                <w:szCs w:val="24"/>
                <w:lang w:val="en-US" w:eastAsia="zh-CN"/>
              </w:rPr>
              <w:t>非正常排放情况</w:t>
            </w:r>
          </w:p>
          <w:p w14:paraId="1A71741D">
            <w:pPr>
              <w:adjustRightInd w:val="0"/>
              <w:snapToGrid w:val="0"/>
              <w:spacing w:line="360" w:lineRule="auto"/>
              <w:ind w:firstLine="480" w:firstLineChars="200"/>
              <w:rPr>
                <w:color w:val="auto"/>
                <w:kern w:val="0"/>
                <w:sz w:val="24"/>
                <w:szCs w:val="32"/>
              </w:rPr>
            </w:pPr>
            <w:r>
              <w:rPr>
                <w:color w:val="auto"/>
                <w:kern w:val="0"/>
                <w:sz w:val="24"/>
                <w:szCs w:val="32"/>
              </w:rPr>
              <w:t>本项目非正常工况主要为项目环保设施失效</w:t>
            </w:r>
            <w:r>
              <w:rPr>
                <w:rFonts w:hint="eastAsia"/>
                <w:color w:val="auto"/>
                <w:kern w:val="0"/>
                <w:sz w:val="24"/>
                <w:szCs w:val="32"/>
              </w:rPr>
              <w:t>，活性炭吸附效率降低，无法正常吸附</w:t>
            </w:r>
            <w:r>
              <w:rPr>
                <w:color w:val="auto"/>
                <w:kern w:val="0"/>
                <w:sz w:val="24"/>
                <w:szCs w:val="32"/>
              </w:rPr>
              <w:t>。当环保设施失效时，污染物未经处理直接排放，对周围环境影响较大。本次评价要求当发生环保设施失效的情况时，应立即停止生产，对环保设施进行检修，待环保设施可正常运行后，再进行生产。本项目污染物非正常排放情况见下表。</w:t>
            </w:r>
          </w:p>
          <w:p w14:paraId="57782FB8">
            <w:pPr>
              <w:adjustRightInd w:val="0"/>
              <w:snapToGrid w:val="0"/>
              <w:jc w:val="center"/>
              <w:rPr>
                <w:b/>
                <w:bCs/>
                <w:color w:val="auto"/>
                <w:kern w:val="0"/>
                <w:sz w:val="24"/>
                <w:szCs w:val="32"/>
              </w:rPr>
            </w:pPr>
            <w:r>
              <w:rPr>
                <w:b/>
                <w:bCs/>
                <w:color w:val="auto"/>
                <w:kern w:val="0"/>
                <w:sz w:val="24"/>
                <w:szCs w:val="32"/>
              </w:rPr>
              <w:t>表4-</w:t>
            </w:r>
            <w:r>
              <w:rPr>
                <w:rFonts w:hint="eastAsia"/>
                <w:b/>
                <w:bCs/>
                <w:color w:val="auto"/>
                <w:kern w:val="0"/>
                <w:sz w:val="24"/>
                <w:szCs w:val="32"/>
              </w:rPr>
              <w:t>5</w:t>
            </w:r>
            <w:r>
              <w:rPr>
                <w:b/>
                <w:bCs/>
                <w:color w:val="auto"/>
                <w:kern w:val="0"/>
                <w:sz w:val="24"/>
                <w:szCs w:val="32"/>
              </w:rPr>
              <w:t xml:space="preserve">  非正常情况排放量核算表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84"/>
              <w:gridCol w:w="971"/>
              <w:gridCol w:w="742"/>
              <w:gridCol w:w="1082"/>
              <w:gridCol w:w="978"/>
              <w:gridCol w:w="807"/>
              <w:gridCol w:w="575"/>
              <w:gridCol w:w="835"/>
              <w:gridCol w:w="1447"/>
            </w:tblGrid>
            <w:tr w14:paraId="727B4B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77" w:type="pct"/>
                  <w:tcBorders>
                    <w:tl2br w:val="nil"/>
                    <w:tr2bl w:val="nil"/>
                  </w:tcBorders>
                  <w:noWrap w:val="0"/>
                  <w:vAlign w:val="center"/>
                </w:tcPr>
                <w:p w14:paraId="7B1465F8">
                  <w:pPr>
                    <w:jc w:val="center"/>
                    <w:rPr>
                      <w:b/>
                      <w:bCs/>
                      <w:color w:val="auto"/>
                      <w:szCs w:val="21"/>
                    </w:rPr>
                  </w:pPr>
                  <w:r>
                    <w:rPr>
                      <w:b/>
                      <w:bCs/>
                      <w:color w:val="auto"/>
                      <w:szCs w:val="21"/>
                    </w:rPr>
                    <w:t>污染源</w:t>
                  </w:r>
                </w:p>
              </w:tc>
              <w:tc>
                <w:tcPr>
                  <w:tcW w:w="590" w:type="pct"/>
                  <w:tcBorders>
                    <w:tl2br w:val="nil"/>
                    <w:tr2bl w:val="nil"/>
                  </w:tcBorders>
                  <w:noWrap w:val="0"/>
                  <w:vAlign w:val="center"/>
                </w:tcPr>
                <w:p w14:paraId="76C10938">
                  <w:pPr>
                    <w:jc w:val="center"/>
                    <w:rPr>
                      <w:b/>
                      <w:bCs/>
                      <w:color w:val="auto"/>
                      <w:szCs w:val="21"/>
                    </w:rPr>
                  </w:pPr>
                  <w:r>
                    <w:rPr>
                      <w:b/>
                      <w:bCs/>
                      <w:color w:val="auto"/>
                      <w:szCs w:val="21"/>
                    </w:rPr>
                    <w:t>非正常</w:t>
                  </w:r>
                </w:p>
                <w:p w14:paraId="14B29A07">
                  <w:pPr>
                    <w:jc w:val="center"/>
                    <w:rPr>
                      <w:b/>
                      <w:bCs/>
                      <w:color w:val="auto"/>
                      <w:szCs w:val="21"/>
                    </w:rPr>
                  </w:pPr>
                  <w:r>
                    <w:rPr>
                      <w:b/>
                      <w:bCs/>
                      <w:color w:val="auto"/>
                      <w:szCs w:val="21"/>
                    </w:rPr>
                    <w:t>排放原因</w:t>
                  </w:r>
                </w:p>
              </w:tc>
              <w:tc>
                <w:tcPr>
                  <w:tcW w:w="451" w:type="pct"/>
                  <w:tcBorders>
                    <w:tl2br w:val="nil"/>
                    <w:tr2bl w:val="nil"/>
                  </w:tcBorders>
                  <w:noWrap w:val="0"/>
                  <w:vAlign w:val="center"/>
                </w:tcPr>
                <w:p w14:paraId="4F45B76E">
                  <w:pPr>
                    <w:jc w:val="center"/>
                    <w:rPr>
                      <w:b/>
                      <w:bCs/>
                      <w:color w:val="auto"/>
                      <w:szCs w:val="21"/>
                    </w:rPr>
                  </w:pPr>
                  <w:r>
                    <w:rPr>
                      <w:b/>
                      <w:bCs/>
                      <w:color w:val="auto"/>
                      <w:szCs w:val="21"/>
                    </w:rPr>
                    <w:t>污染物</w:t>
                  </w:r>
                </w:p>
              </w:tc>
              <w:tc>
                <w:tcPr>
                  <w:tcW w:w="657" w:type="pct"/>
                  <w:tcBorders>
                    <w:tl2br w:val="nil"/>
                    <w:tr2bl w:val="nil"/>
                  </w:tcBorders>
                  <w:noWrap w:val="0"/>
                  <w:vAlign w:val="center"/>
                </w:tcPr>
                <w:p w14:paraId="68E40E7C">
                  <w:pPr>
                    <w:jc w:val="center"/>
                    <w:rPr>
                      <w:b/>
                      <w:bCs/>
                      <w:color w:val="auto"/>
                      <w:szCs w:val="21"/>
                    </w:rPr>
                  </w:pPr>
                  <w:r>
                    <w:rPr>
                      <w:b/>
                      <w:bCs/>
                      <w:color w:val="auto"/>
                      <w:szCs w:val="21"/>
                    </w:rPr>
                    <w:t>非正常排放浓度/（mg/m</w:t>
                  </w:r>
                  <w:r>
                    <w:rPr>
                      <w:b/>
                      <w:bCs/>
                      <w:color w:val="auto"/>
                      <w:szCs w:val="21"/>
                      <w:vertAlign w:val="superscript"/>
                    </w:rPr>
                    <w:t>3</w:t>
                  </w:r>
                  <w:r>
                    <w:rPr>
                      <w:b/>
                      <w:bCs/>
                      <w:color w:val="auto"/>
                      <w:szCs w:val="21"/>
                    </w:rPr>
                    <w:t>）</w:t>
                  </w:r>
                </w:p>
              </w:tc>
              <w:tc>
                <w:tcPr>
                  <w:tcW w:w="594" w:type="pct"/>
                  <w:tcBorders>
                    <w:tl2br w:val="nil"/>
                    <w:tr2bl w:val="nil"/>
                  </w:tcBorders>
                  <w:noWrap w:val="0"/>
                  <w:vAlign w:val="center"/>
                </w:tcPr>
                <w:p w14:paraId="7DFF864E">
                  <w:pPr>
                    <w:jc w:val="center"/>
                    <w:rPr>
                      <w:b/>
                      <w:bCs/>
                      <w:color w:val="auto"/>
                      <w:szCs w:val="21"/>
                    </w:rPr>
                  </w:pPr>
                  <w:r>
                    <w:rPr>
                      <w:b/>
                      <w:bCs/>
                      <w:color w:val="auto"/>
                      <w:szCs w:val="21"/>
                    </w:rPr>
                    <w:t>非正常排放速率/（kg/h）</w:t>
                  </w:r>
                </w:p>
              </w:tc>
              <w:tc>
                <w:tcPr>
                  <w:tcW w:w="490" w:type="pct"/>
                  <w:tcBorders>
                    <w:tl2br w:val="nil"/>
                    <w:tr2bl w:val="nil"/>
                  </w:tcBorders>
                  <w:noWrap w:val="0"/>
                  <w:vAlign w:val="center"/>
                </w:tcPr>
                <w:p w14:paraId="7E9299CC">
                  <w:pPr>
                    <w:jc w:val="center"/>
                    <w:rPr>
                      <w:b/>
                      <w:bCs/>
                      <w:color w:val="auto"/>
                      <w:szCs w:val="21"/>
                    </w:rPr>
                  </w:pPr>
                  <w:r>
                    <w:rPr>
                      <w:b/>
                      <w:bCs/>
                      <w:color w:val="auto"/>
                      <w:szCs w:val="21"/>
                    </w:rPr>
                    <w:t>单次持续时间/h</w:t>
                  </w:r>
                </w:p>
              </w:tc>
              <w:tc>
                <w:tcPr>
                  <w:tcW w:w="349" w:type="pct"/>
                  <w:tcBorders>
                    <w:tl2br w:val="nil"/>
                    <w:tr2bl w:val="nil"/>
                  </w:tcBorders>
                  <w:noWrap w:val="0"/>
                  <w:vAlign w:val="center"/>
                </w:tcPr>
                <w:p w14:paraId="5BC769F3">
                  <w:pPr>
                    <w:jc w:val="center"/>
                    <w:rPr>
                      <w:b/>
                      <w:bCs/>
                      <w:color w:val="auto"/>
                      <w:szCs w:val="21"/>
                    </w:rPr>
                  </w:pPr>
                  <w:r>
                    <w:rPr>
                      <w:b/>
                      <w:bCs/>
                      <w:color w:val="auto"/>
                      <w:szCs w:val="21"/>
                    </w:rPr>
                    <w:t>年发生频次/次</w:t>
                  </w:r>
                </w:p>
              </w:tc>
              <w:tc>
                <w:tcPr>
                  <w:tcW w:w="507" w:type="pct"/>
                  <w:tcBorders>
                    <w:tl2br w:val="nil"/>
                    <w:tr2bl w:val="nil"/>
                  </w:tcBorders>
                  <w:noWrap w:val="0"/>
                  <w:vAlign w:val="center"/>
                </w:tcPr>
                <w:p w14:paraId="1238FB88">
                  <w:pPr>
                    <w:jc w:val="center"/>
                    <w:rPr>
                      <w:b/>
                      <w:bCs/>
                      <w:color w:val="auto"/>
                      <w:szCs w:val="21"/>
                    </w:rPr>
                  </w:pPr>
                  <w:r>
                    <w:rPr>
                      <w:b/>
                      <w:bCs/>
                      <w:color w:val="auto"/>
                      <w:szCs w:val="21"/>
                    </w:rPr>
                    <w:t>排放量/（kg/a）</w:t>
                  </w:r>
                </w:p>
              </w:tc>
              <w:tc>
                <w:tcPr>
                  <w:tcW w:w="879" w:type="pct"/>
                  <w:tcBorders>
                    <w:tl2br w:val="nil"/>
                    <w:tr2bl w:val="nil"/>
                  </w:tcBorders>
                  <w:noWrap w:val="0"/>
                  <w:vAlign w:val="center"/>
                </w:tcPr>
                <w:p w14:paraId="4AAE63B8">
                  <w:pPr>
                    <w:jc w:val="center"/>
                    <w:rPr>
                      <w:b/>
                      <w:bCs/>
                      <w:color w:val="auto"/>
                      <w:szCs w:val="21"/>
                    </w:rPr>
                  </w:pPr>
                  <w:r>
                    <w:rPr>
                      <w:b/>
                      <w:bCs/>
                      <w:color w:val="auto"/>
                      <w:szCs w:val="21"/>
                    </w:rPr>
                    <w:t>应对措施</w:t>
                  </w:r>
                </w:p>
              </w:tc>
            </w:tr>
            <w:tr w14:paraId="43A380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77" w:type="pct"/>
                  <w:tcBorders>
                    <w:tl2br w:val="nil"/>
                    <w:tr2bl w:val="nil"/>
                  </w:tcBorders>
                  <w:noWrap w:val="0"/>
                  <w:vAlign w:val="center"/>
                </w:tcPr>
                <w:p w14:paraId="2BC6EF28">
                  <w:pPr>
                    <w:pStyle w:val="6"/>
                    <w:ind w:firstLine="0" w:firstLineChars="0"/>
                    <w:jc w:val="center"/>
                    <w:rPr>
                      <w:color w:val="auto"/>
                      <w:szCs w:val="21"/>
                    </w:rPr>
                  </w:pPr>
                  <w:r>
                    <w:rPr>
                      <w:color w:val="auto"/>
                      <w:szCs w:val="21"/>
                    </w:rPr>
                    <w:t>DA00</w:t>
                  </w:r>
                  <w:r>
                    <w:rPr>
                      <w:rFonts w:hint="eastAsia"/>
                      <w:color w:val="auto"/>
                      <w:szCs w:val="21"/>
                    </w:rPr>
                    <w:t>1</w:t>
                  </w:r>
                </w:p>
              </w:tc>
              <w:tc>
                <w:tcPr>
                  <w:tcW w:w="590" w:type="pct"/>
                  <w:tcBorders>
                    <w:tl2br w:val="nil"/>
                    <w:tr2bl w:val="nil"/>
                  </w:tcBorders>
                  <w:noWrap w:val="0"/>
                  <w:vAlign w:val="center"/>
                </w:tcPr>
                <w:p w14:paraId="7F1DB584">
                  <w:pPr>
                    <w:jc w:val="center"/>
                    <w:rPr>
                      <w:color w:val="auto"/>
                      <w:szCs w:val="21"/>
                    </w:rPr>
                  </w:pPr>
                  <w:r>
                    <w:rPr>
                      <w:color w:val="auto"/>
                      <w:szCs w:val="21"/>
                    </w:rPr>
                    <w:t>废气处理设施发生故障，处理效率为0</w:t>
                  </w:r>
                </w:p>
              </w:tc>
              <w:tc>
                <w:tcPr>
                  <w:tcW w:w="451" w:type="pct"/>
                  <w:tcBorders>
                    <w:tl2br w:val="nil"/>
                    <w:tr2bl w:val="nil"/>
                  </w:tcBorders>
                  <w:noWrap w:val="0"/>
                  <w:vAlign w:val="center"/>
                </w:tcPr>
                <w:p w14:paraId="3AFBB398">
                  <w:pPr>
                    <w:pStyle w:val="10"/>
                    <w:spacing w:after="0"/>
                    <w:ind w:left="0" w:leftChars="0"/>
                    <w:jc w:val="center"/>
                    <w:rPr>
                      <w:color w:val="auto"/>
                      <w:sz w:val="21"/>
                      <w:szCs w:val="21"/>
                    </w:rPr>
                  </w:pPr>
                  <w:r>
                    <w:rPr>
                      <w:rFonts w:hint="eastAsia"/>
                      <w:color w:val="auto"/>
                      <w:sz w:val="21"/>
                      <w:szCs w:val="21"/>
                    </w:rPr>
                    <w:t>非甲烷总烃</w:t>
                  </w:r>
                </w:p>
              </w:tc>
              <w:tc>
                <w:tcPr>
                  <w:tcW w:w="657" w:type="pct"/>
                  <w:tcBorders>
                    <w:tl2br w:val="nil"/>
                    <w:tr2bl w:val="nil"/>
                  </w:tcBorders>
                  <w:noWrap w:val="0"/>
                  <w:vAlign w:val="center"/>
                </w:tcPr>
                <w:p w14:paraId="799DD955">
                  <w:pPr>
                    <w:adjustRightInd w:val="0"/>
                    <w:snapToGrid w:val="0"/>
                    <w:jc w:val="center"/>
                    <w:rPr>
                      <w:color w:val="auto"/>
                      <w:szCs w:val="21"/>
                    </w:rPr>
                  </w:pPr>
                  <w:r>
                    <w:rPr>
                      <w:rFonts w:hint="eastAsia"/>
                      <w:color w:val="auto"/>
                      <w:lang w:val="en-US" w:eastAsia="zh-CN"/>
                    </w:rPr>
                    <w:t>131.5</w:t>
                  </w:r>
                </w:p>
              </w:tc>
              <w:tc>
                <w:tcPr>
                  <w:tcW w:w="594" w:type="pct"/>
                  <w:tcBorders>
                    <w:tl2br w:val="nil"/>
                    <w:tr2bl w:val="nil"/>
                  </w:tcBorders>
                  <w:noWrap w:val="0"/>
                  <w:vAlign w:val="center"/>
                </w:tcPr>
                <w:p w14:paraId="52A6EFBB">
                  <w:pPr>
                    <w:adjustRightInd w:val="0"/>
                    <w:snapToGrid w:val="0"/>
                    <w:jc w:val="center"/>
                    <w:rPr>
                      <w:rFonts w:hint="default" w:eastAsia="宋体"/>
                      <w:color w:val="auto"/>
                      <w:szCs w:val="21"/>
                      <w:lang w:val="en-US" w:eastAsia="zh-CN"/>
                    </w:rPr>
                  </w:pPr>
                  <w:r>
                    <w:rPr>
                      <w:rFonts w:hint="eastAsia"/>
                      <w:color w:val="auto"/>
                      <w:lang w:val="en-US" w:eastAsia="zh-CN"/>
                    </w:rPr>
                    <w:t>0.697</w:t>
                  </w:r>
                </w:p>
              </w:tc>
              <w:tc>
                <w:tcPr>
                  <w:tcW w:w="490" w:type="pct"/>
                  <w:tcBorders>
                    <w:tl2br w:val="nil"/>
                    <w:tr2bl w:val="nil"/>
                  </w:tcBorders>
                  <w:noWrap w:val="0"/>
                  <w:vAlign w:val="center"/>
                </w:tcPr>
                <w:p w14:paraId="28D3CB67">
                  <w:pPr>
                    <w:jc w:val="center"/>
                    <w:rPr>
                      <w:color w:val="auto"/>
                      <w:szCs w:val="21"/>
                    </w:rPr>
                  </w:pPr>
                  <w:r>
                    <w:rPr>
                      <w:color w:val="auto"/>
                      <w:szCs w:val="21"/>
                    </w:rPr>
                    <w:t>0.5</w:t>
                  </w:r>
                </w:p>
              </w:tc>
              <w:tc>
                <w:tcPr>
                  <w:tcW w:w="349" w:type="pct"/>
                  <w:tcBorders>
                    <w:tl2br w:val="nil"/>
                    <w:tr2bl w:val="nil"/>
                  </w:tcBorders>
                  <w:noWrap w:val="0"/>
                  <w:vAlign w:val="center"/>
                </w:tcPr>
                <w:p w14:paraId="330DE32E">
                  <w:pPr>
                    <w:jc w:val="center"/>
                    <w:rPr>
                      <w:color w:val="auto"/>
                      <w:szCs w:val="21"/>
                    </w:rPr>
                  </w:pPr>
                  <w:r>
                    <w:rPr>
                      <w:color w:val="auto"/>
                      <w:szCs w:val="21"/>
                    </w:rPr>
                    <w:t>2</w:t>
                  </w:r>
                </w:p>
              </w:tc>
              <w:tc>
                <w:tcPr>
                  <w:tcW w:w="507" w:type="pct"/>
                  <w:tcBorders>
                    <w:tl2br w:val="nil"/>
                    <w:tr2bl w:val="nil"/>
                  </w:tcBorders>
                  <w:noWrap w:val="0"/>
                  <w:vAlign w:val="center"/>
                </w:tcPr>
                <w:p w14:paraId="4BD287CE">
                  <w:pPr>
                    <w:adjustRightInd w:val="0"/>
                    <w:snapToGrid w:val="0"/>
                    <w:jc w:val="center"/>
                    <w:rPr>
                      <w:rFonts w:hint="default" w:eastAsia="宋体"/>
                      <w:color w:val="auto"/>
                      <w:szCs w:val="21"/>
                      <w:lang w:val="en-US" w:eastAsia="zh-CN"/>
                    </w:rPr>
                  </w:pPr>
                  <w:r>
                    <w:rPr>
                      <w:rFonts w:hint="eastAsia"/>
                      <w:color w:val="auto"/>
                      <w:lang w:val="en-US" w:eastAsia="zh-CN"/>
                    </w:rPr>
                    <w:t>0.697</w:t>
                  </w:r>
                </w:p>
              </w:tc>
              <w:tc>
                <w:tcPr>
                  <w:tcW w:w="879" w:type="pct"/>
                  <w:tcBorders>
                    <w:tl2br w:val="nil"/>
                    <w:tr2bl w:val="nil"/>
                  </w:tcBorders>
                  <w:noWrap w:val="0"/>
                  <w:vAlign w:val="center"/>
                </w:tcPr>
                <w:p w14:paraId="5578F513">
                  <w:pPr>
                    <w:jc w:val="center"/>
                    <w:rPr>
                      <w:color w:val="auto"/>
                      <w:szCs w:val="21"/>
                    </w:rPr>
                  </w:pPr>
                  <w:r>
                    <w:rPr>
                      <w:color w:val="auto"/>
                      <w:szCs w:val="21"/>
                    </w:rPr>
                    <w:t>立即停止生产，关闭排放阀，及时</w:t>
                  </w:r>
                  <w:r>
                    <w:rPr>
                      <w:rFonts w:hint="eastAsia"/>
                      <w:color w:val="auto"/>
                      <w:szCs w:val="21"/>
                    </w:rPr>
                    <w:t>更换活性炭</w:t>
                  </w:r>
                </w:p>
              </w:tc>
            </w:tr>
          </w:tbl>
          <w:p w14:paraId="71F690F8">
            <w:pPr>
              <w:numPr>
                <w:ilvl w:val="0"/>
                <w:numId w:val="0"/>
              </w:numPr>
              <w:adjustRightInd w:val="0"/>
              <w:snapToGrid w:val="0"/>
              <w:spacing w:line="360" w:lineRule="auto"/>
              <w:rPr>
                <w:rFonts w:hint="default" w:ascii="Times New Roman" w:hAnsi="Times New Roman" w:cs="Times New Roman"/>
                <w:b/>
                <w:bCs w:val="0"/>
                <w:color w:val="auto"/>
                <w:spacing w:val="0"/>
                <w:sz w:val="24"/>
                <w:szCs w:val="24"/>
                <w:lang w:val="en-US" w:eastAsia="zh-CN"/>
              </w:rPr>
            </w:pPr>
            <w:r>
              <w:rPr>
                <w:rFonts w:hint="eastAsia" w:ascii="Times New Roman" w:hAnsi="Times New Roman" w:cs="Times New Roman"/>
                <w:b/>
                <w:bCs w:val="0"/>
                <w:color w:val="auto"/>
                <w:spacing w:val="0"/>
                <w:sz w:val="24"/>
                <w:szCs w:val="24"/>
                <w:lang w:val="en-US" w:eastAsia="zh-CN"/>
              </w:rPr>
              <w:t>2、</w:t>
            </w:r>
            <w:r>
              <w:rPr>
                <w:rFonts w:hint="default" w:ascii="Times New Roman" w:hAnsi="Times New Roman" w:cs="Times New Roman"/>
                <w:b/>
                <w:bCs w:val="0"/>
                <w:color w:val="auto"/>
                <w:spacing w:val="0"/>
                <w:sz w:val="24"/>
                <w:szCs w:val="24"/>
                <w:lang w:val="en-US" w:eastAsia="zh-CN"/>
              </w:rPr>
              <w:t>废水</w:t>
            </w:r>
          </w:p>
          <w:p w14:paraId="48C2E391">
            <w:pPr>
              <w:numPr>
                <w:ilvl w:val="0"/>
                <w:numId w:val="0"/>
              </w:numPr>
              <w:adjustRightInd w:val="0"/>
              <w:snapToGrid w:val="0"/>
              <w:spacing w:line="360" w:lineRule="auto"/>
              <w:rPr>
                <w:rFonts w:hint="default" w:ascii="Times New Roman" w:hAnsi="Times New Roman" w:cs="Times New Roman"/>
                <w:b/>
                <w:bCs w:val="0"/>
                <w:color w:val="auto"/>
                <w:spacing w:val="0"/>
                <w:sz w:val="24"/>
                <w:szCs w:val="24"/>
                <w:lang w:val="en-US" w:eastAsia="zh-CN"/>
              </w:rPr>
            </w:pPr>
            <w:r>
              <w:rPr>
                <w:rFonts w:hint="default" w:ascii="Times New Roman" w:hAnsi="Times New Roman" w:cs="Times New Roman"/>
                <w:b/>
                <w:bCs w:val="0"/>
                <w:color w:val="auto"/>
                <w:spacing w:val="0"/>
                <w:sz w:val="24"/>
                <w:szCs w:val="24"/>
                <w:lang w:val="en-US" w:eastAsia="zh-CN"/>
              </w:rPr>
              <w:t>2.1废水源强核算</w:t>
            </w:r>
          </w:p>
          <w:p w14:paraId="0E026ACC">
            <w:pPr>
              <w:adjustRightInd w:val="0"/>
              <w:snapToGrid w:val="0"/>
              <w:spacing w:line="360" w:lineRule="auto"/>
              <w:ind w:firstLine="480" w:firstLineChars="200"/>
              <w:textAlignment w:val="baseline"/>
              <w:rPr>
                <w:rFonts w:hint="eastAsia" w:eastAsia="宋体"/>
                <w:bCs/>
                <w:color w:val="auto"/>
                <w:sz w:val="24"/>
                <w:lang w:val="en-US" w:eastAsia="zh-CN"/>
              </w:rPr>
            </w:pPr>
            <w:r>
              <w:rPr>
                <w:rFonts w:hint="eastAsia"/>
                <w:bCs/>
                <w:color w:val="auto"/>
                <w:sz w:val="24"/>
                <w:lang w:val="en-US" w:eastAsia="zh-CN"/>
              </w:rPr>
              <w:t>本项目中废液、实验室器皿前两次清洗废水作为危废，暂存于危废贮存库。实验室器皿后段清洗废水经pH调节池收集处理后与生活污水、纯水机浓水一起进入园区23号和24号厂房中间的化粪池</w:t>
            </w:r>
            <w:r>
              <w:rPr>
                <w:rFonts w:hint="eastAsia"/>
                <w:color w:val="auto"/>
                <w:lang w:eastAsia="zh-CN"/>
              </w:rPr>
              <w:t>（</w:t>
            </w:r>
            <w:r>
              <w:rPr>
                <w:rFonts w:hint="default" w:ascii="Times New Roman" w:hAnsi="Times New Roman" w:eastAsia="宋体" w:cs="Times New Roman"/>
                <w:b w:val="0"/>
                <w:bCs w:val="0"/>
                <w:color w:val="auto"/>
                <w:sz w:val="24"/>
                <w:lang w:val="en-US" w:eastAsia="zh-CN"/>
              </w:rPr>
              <w:t>100m</w:t>
            </w:r>
            <w:r>
              <w:rPr>
                <w:rFonts w:hint="default" w:ascii="Times New Roman" w:hAnsi="Times New Roman" w:eastAsia="宋体" w:cs="Times New Roman"/>
                <w:b w:val="0"/>
                <w:bCs w:val="0"/>
                <w:color w:val="auto"/>
                <w:sz w:val="24"/>
                <w:vertAlign w:val="superscript"/>
                <w:lang w:val="en-US" w:eastAsia="zh-CN"/>
              </w:rPr>
              <w:t>3</w:t>
            </w:r>
            <w:r>
              <w:rPr>
                <w:rFonts w:hint="eastAsia"/>
                <w:color w:val="auto"/>
                <w:lang w:eastAsia="zh-CN"/>
              </w:rPr>
              <w:t>）</w:t>
            </w:r>
            <w:r>
              <w:rPr>
                <w:rFonts w:hint="eastAsia"/>
                <w:bCs/>
                <w:color w:val="auto"/>
                <w:sz w:val="24"/>
                <w:lang w:val="en-US" w:eastAsia="zh-CN"/>
              </w:rPr>
              <w:t>处理达标后排入市政污水管网。</w:t>
            </w:r>
          </w:p>
          <w:p w14:paraId="620AED97">
            <w:pPr>
              <w:adjustRightInd w:val="0"/>
              <w:snapToGrid w:val="0"/>
              <w:spacing w:line="360" w:lineRule="auto"/>
              <w:ind w:firstLine="480" w:firstLineChars="200"/>
              <w:textAlignment w:val="baseline"/>
              <w:rPr>
                <w:rFonts w:hint="default" w:ascii="Times New Roman" w:hAnsi="Times New Roman" w:eastAsia="宋体" w:cs="Times New Roman"/>
                <w:color w:val="auto"/>
                <w:sz w:val="24"/>
                <w:szCs w:val="24"/>
              </w:rPr>
            </w:pPr>
            <w:r>
              <w:rPr>
                <w:rFonts w:hint="eastAsia"/>
                <w:bCs/>
                <w:color w:val="auto"/>
                <w:sz w:val="24"/>
              </w:rPr>
              <w:t>根据前文给排水分析，生活污水排水量为</w:t>
            </w:r>
            <w:r>
              <w:rPr>
                <w:rFonts w:hint="eastAsia"/>
                <w:color w:val="auto"/>
                <w:sz w:val="24"/>
                <w:lang w:val="en-US" w:eastAsia="zh-CN"/>
              </w:rPr>
              <w:t>200</w:t>
            </w:r>
            <w:r>
              <w:rPr>
                <w:rFonts w:hint="eastAsia"/>
                <w:color w:val="auto"/>
                <w:sz w:val="24"/>
              </w:rPr>
              <w:t>m</w:t>
            </w:r>
            <w:r>
              <w:rPr>
                <w:rFonts w:hint="eastAsia"/>
                <w:color w:val="auto"/>
                <w:sz w:val="24"/>
                <w:vertAlign w:val="superscript"/>
              </w:rPr>
              <w:t>3</w:t>
            </w:r>
            <w:r>
              <w:rPr>
                <w:rFonts w:hint="eastAsia"/>
                <w:color w:val="auto"/>
                <w:sz w:val="24"/>
              </w:rPr>
              <w:t>/a，</w:t>
            </w:r>
            <w:r>
              <w:rPr>
                <w:color w:val="auto"/>
                <w:sz w:val="24"/>
              </w:rPr>
              <w:t>生活污水中主要污染物为COD、BOD</w:t>
            </w:r>
            <w:r>
              <w:rPr>
                <w:color w:val="auto"/>
                <w:sz w:val="24"/>
                <w:vertAlign w:val="subscript"/>
              </w:rPr>
              <w:t>5</w:t>
            </w:r>
            <w:r>
              <w:rPr>
                <w:color w:val="auto"/>
                <w:sz w:val="24"/>
              </w:rPr>
              <w:t>、SS、氨氮</w:t>
            </w:r>
            <w:r>
              <w:rPr>
                <w:rFonts w:hint="eastAsia"/>
                <w:color w:val="auto"/>
                <w:sz w:val="24"/>
              </w:rPr>
              <w:t>、总磷、总氮</w:t>
            </w:r>
            <w:r>
              <w:rPr>
                <w:color w:val="auto"/>
                <w:sz w:val="24"/>
              </w:rPr>
              <w:t>等，</w:t>
            </w:r>
            <w:r>
              <w:rPr>
                <w:rFonts w:hint="eastAsia"/>
                <w:color w:val="auto"/>
                <w:sz w:val="24"/>
                <w:lang w:val="en-US" w:eastAsia="zh-CN"/>
              </w:rPr>
              <w:t>生活污水</w:t>
            </w:r>
            <w:r>
              <w:rPr>
                <w:color w:val="auto"/>
                <w:sz w:val="24"/>
              </w:rPr>
              <w:t>水质参考《给排水设计手册》（第五分册）典型生活污水水质</w:t>
            </w:r>
            <w:r>
              <w:rPr>
                <w:rFonts w:hint="eastAsia"/>
                <w:color w:val="auto"/>
                <w:sz w:val="24"/>
              </w:rPr>
              <w:t>。</w:t>
            </w:r>
          </w:p>
          <w:p w14:paraId="2FC6F380">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cs="Times New Roman"/>
                <w:color w:val="auto"/>
                <w:sz w:val="24"/>
                <w:lang w:val="en-US"/>
              </w:rPr>
            </w:pPr>
            <w:r>
              <w:rPr>
                <w:rFonts w:hint="eastAsia" w:ascii="Times New Roman" w:hAnsi="Times New Roman" w:eastAsia="宋体" w:cs="Times New Roman"/>
                <w:color w:val="auto"/>
                <w:sz w:val="24"/>
                <w:highlight w:val="none"/>
                <w:lang w:val="en-US" w:eastAsia="zh-CN"/>
              </w:rPr>
              <w:t>本项目实验过程中</w:t>
            </w:r>
            <w:r>
              <w:rPr>
                <w:rFonts w:hint="eastAsia"/>
                <w:color w:val="auto"/>
                <w:sz w:val="24"/>
                <w:highlight w:val="none"/>
                <w:lang w:val="en-US" w:eastAsia="zh-CN"/>
              </w:rPr>
              <w:t>器皿润洗前两次清洗废液按危废处理，后段清洗废水产生量为</w:t>
            </w:r>
            <w:r>
              <w:rPr>
                <w:rFonts w:hint="eastAsia"/>
                <w:color w:val="auto"/>
                <w:sz w:val="24"/>
                <w:lang w:val="en-US" w:eastAsia="zh-CN"/>
              </w:rPr>
              <w:t>1.18</w:t>
            </w:r>
            <w:r>
              <w:rPr>
                <w:rFonts w:hint="eastAsia"/>
                <w:color w:val="auto"/>
                <w:sz w:val="24"/>
              </w:rPr>
              <w:t>m</w:t>
            </w:r>
            <w:r>
              <w:rPr>
                <w:rFonts w:hint="eastAsia"/>
                <w:color w:val="auto"/>
                <w:sz w:val="24"/>
                <w:vertAlign w:val="superscript"/>
              </w:rPr>
              <w:t>3</w:t>
            </w:r>
            <w:r>
              <w:rPr>
                <w:rFonts w:hint="eastAsia"/>
                <w:color w:val="auto"/>
                <w:sz w:val="24"/>
              </w:rPr>
              <w:t>/a</w:t>
            </w:r>
            <w:r>
              <w:rPr>
                <w:rFonts w:hint="eastAsia"/>
                <w:color w:val="auto"/>
                <w:sz w:val="24"/>
                <w:lang w:eastAsia="zh-CN"/>
              </w:rPr>
              <w:t>，</w:t>
            </w:r>
            <w:r>
              <w:rPr>
                <w:rFonts w:hint="eastAsia"/>
                <w:color w:val="auto"/>
                <w:sz w:val="24"/>
                <w:highlight w:val="none"/>
                <w:lang w:val="en-US" w:eastAsia="zh-CN"/>
              </w:rPr>
              <w:t>主要污染物为</w:t>
            </w:r>
            <w:r>
              <w:rPr>
                <w:rFonts w:hint="eastAsia" w:ascii="Times New Roman" w:hAnsi="Times New Roman" w:eastAsia="宋体" w:cs="Times New Roman"/>
                <w:color w:val="auto"/>
                <w:sz w:val="24"/>
                <w:highlight w:val="none"/>
                <w:lang w:val="en-US" w:eastAsia="zh-CN"/>
              </w:rPr>
              <w:t>COD、SS，</w:t>
            </w:r>
            <w:r>
              <w:rPr>
                <w:rFonts w:hint="eastAsia"/>
                <w:color w:val="auto"/>
                <w:sz w:val="24"/>
                <w:lang w:val="en-US" w:eastAsia="zh-CN"/>
              </w:rPr>
              <w:t>纯水</w:t>
            </w:r>
            <w:r>
              <w:rPr>
                <w:rFonts w:hint="default" w:ascii="Times New Roman" w:hAnsi="Times New Roman" w:eastAsia="宋体" w:cs="Times New Roman"/>
                <w:color w:val="auto"/>
                <w:sz w:val="24"/>
                <w:szCs w:val="24"/>
                <w:highlight w:val="none"/>
              </w:rPr>
              <w:t>制备过程产生的浓水为</w:t>
            </w:r>
            <w:r>
              <w:rPr>
                <w:rFonts w:hint="eastAsia" w:ascii="Times New Roman" w:hAnsi="Times New Roman" w:eastAsia="宋体" w:cs="Times New Roman"/>
                <w:color w:val="auto"/>
                <w:sz w:val="24"/>
                <w:szCs w:val="24"/>
                <w:highlight w:val="none"/>
                <w:lang w:val="en-US" w:eastAsia="zh-CN"/>
              </w:rPr>
              <w:t>2.55</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lang w:val="en-US" w:eastAsia="zh-CN"/>
              </w:rPr>
              <w:t>/a</w:t>
            </w:r>
            <w:r>
              <w:rPr>
                <w:rFonts w:hint="eastAsia" w:ascii="Times New Roman" w:hAnsi="Times New Roman" w:cs="Times New Roman"/>
                <w:color w:val="auto"/>
                <w:sz w:val="24"/>
                <w:szCs w:val="24"/>
                <w:highlight w:val="none"/>
                <w:lang w:val="en-US" w:eastAsia="zh-CN"/>
              </w:rPr>
              <w:t>，</w:t>
            </w:r>
            <w:r>
              <w:rPr>
                <w:rFonts w:hint="eastAsia" w:ascii="Times New Roman" w:hAnsi="Times New Roman" w:eastAsia="宋体" w:cs="Times New Roman"/>
                <w:color w:val="auto"/>
                <w:sz w:val="24"/>
                <w:highlight w:val="none"/>
                <w:lang w:val="en-US" w:eastAsia="zh-CN"/>
              </w:rPr>
              <w:t>主要污染物为COD、TDS。</w:t>
            </w:r>
            <w:r>
              <w:rPr>
                <w:rFonts w:hint="eastAsia"/>
                <w:color w:val="auto"/>
                <w:sz w:val="24"/>
              </w:rPr>
              <w:t>参考《</w:t>
            </w:r>
            <w:r>
              <w:rPr>
                <w:rFonts w:ascii="宋体" w:hAnsi="宋体" w:eastAsia="宋体" w:cs="宋体"/>
                <w:color w:val="auto"/>
                <w:sz w:val="24"/>
                <w:szCs w:val="24"/>
              </w:rPr>
              <w:t>杭州知峪生物科技有限公司新建研发实验室项目</w:t>
            </w:r>
            <w:r>
              <w:rPr>
                <w:rFonts w:hint="eastAsia"/>
                <w:color w:val="auto"/>
                <w:sz w:val="24"/>
                <w:lang w:val="en-US" w:eastAsia="zh-CN"/>
              </w:rPr>
              <w:t>竣工环境保护验收监测报告表</w:t>
            </w:r>
            <w:r>
              <w:rPr>
                <w:rFonts w:hint="eastAsia"/>
                <w:color w:val="auto"/>
                <w:sz w:val="24"/>
              </w:rPr>
              <w:t>》，</w:t>
            </w:r>
            <w:r>
              <w:rPr>
                <w:rFonts w:ascii="宋体" w:hAnsi="宋体" w:eastAsia="宋体" w:cs="宋体"/>
                <w:color w:val="auto"/>
                <w:sz w:val="24"/>
                <w:szCs w:val="24"/>
              </w:rPr>
              <w:t>杭州知峪生物科技有限公司新建研发实验室项目</w:t>
            </w:r>
            <w:r>
              <w:rPr>
                <w:rFonts w:hint="eastAsia" w:ascii="宋体" w:hAnsi="宋体" w:cs="宋体"/>
                <w:color w:val="auto"/>
                <w:sz w:val="24"/>
                <w:szCs w:val="24"/>
                <w:lang w:val="en-US" w:eastAsia="zh-CN"/>
              </w:rPr>
              <w:t>废水主要为生活污水、纯水制备浓水及</w:t>
            </w:r>
            <w:r>
              <w:rPr>
                <w:rFonts w:ascii="宋体" w:hAnsi="宋体" w:eastAsia="宋体" w:cs="宋体"/>
                <w:color w:val="auto"/>
                <w:sz w:val="24"/>
                <w:szCs w:val="24"/>
              </w:rPr>
              <w:t>后几道清洗废水</w:t>
            </w:r>
            <w:r>
              <w:rPr>
                <w:rFonts w:hint="eastAsia"/>
                <w:color w:val="auto"/>
                <w:sz w:val="24"/>
              </w:rPr>
              <w:t>，与本项目相似</w:t>
            </w:r>
            <w:r>
              <w:rPr>
                <w:rFonts w:hint="eastAsia"/>
                <w:bCs/>
                <w:color w:val="auto"/>
                <w:sz w:val="24"/>
                <w:lang w:bidi="ar"/>
              </w:rPr>
              <w:t>，该</w:t>
            </w:r>
            <w:r>
              <w:rPr>
                <w:rFonts w:hint="eastAsia"/>
                <w:color w:val="auto"/>
                <w:sz w:val="24"/>
              </w:rPr>
              <w:t>项目已经建成并开始了实际运行。本项目废水水质参考</w:t>
            </w:r>
            <w:r>
              <w:rPr>
                <w:rFonts w:hint="eastAsia"/>
                <w:color w:val="auto"/>
                <w:sz w:val="24"/>
                <w:szCs w:val="24"/>
                <w:lang w:val="en-US" w:eastAsia="zh-CN"/>
              </w:rPr>
              <w:t>杭州楚迪检测技术有限公司</w:t>
            </w:r>
            <w:r>
              <w:rPr>
                <w:rFonts w:hint="eastAsia"/>
                <w:color w:val="auto"/>
                <w:sz w:val="24"/>
              </w:rPr>
              <w:t>对</w:t>
            </w:r>
            <w:r>
              <w:rPr>
                <w:rFonts w:ascii="宋体" w:hAnsi="宋体" w:eastAsia="宋体" w:cs="宋体"/>
                <w:color w:val="auto"/>
                <w:sz w:val="24"/>
                <w:szCs w:val="24"/>
              </w:rPr>
              <w:t>杭州知峪生物科技有限公司新建研发实验室项目</w:t>
            </w:r>
            <w:r>
              <w:rPr>
                <w:rFonts w:hint="eastAsia"/>
                <w:color w:val="auto"/>
                <w:sz w:val="24"/>
              </w:rPr>
              <w:t>出具的废水检测报告</w:t>
            </w:r>
            <w:r>
              <w:rPr>
                <w:rFonts w:hint="eastAsia"/>
                <w:color w:val="auto"/>
                <w:sz w:val="24"/>
                <w:lang w:eastAsia="zh-CN"/>
              </w:rPr>
              <w:t>（</w:t>
            </w:r>
            <w:r>
              <w:rPr>
                <w:rFonts w:hint="eastAsia"/>
                <w:color w:val="auto"/>
                <w:sz w:val="24"/>
                <w:lang w:val="en-US" w:eastAsia="zh-CN"/>
              </w:rPr>
              <w:t>见附件11</w:t>
            </w:r>
            <w:r>
              <w:rPr>
                <w:rFonts w:hint="eastAsia"/>
                <w:color w:val="auto"/>
                <w:sz w:val="24"/>
                <w:lang w:eastAsia="zh-CN"/>
              </w:rPr>
              <w:t>）</w:t>
            </w:r>
            <w:r>
              <w:rPr>
                <w:rFonts w:hint="eastAsia" w:ascii="Times New Roman" w:hAnsi="Times New Roman" w:eastAsia="宋体" w:cs="Times New Roman"/>
                <w:color w:val="auto"/>
                <w:sz w:val="24"/>
                <w:highlight w:val="none"/>
                <w:lang w:val="en-US" w:eastAsia="zh-CN"/>
              </w:rPr>
              <w:t>。</w:t>
            </w:r>
          </w:p>
          <w:p w14:paraId="62C7122C">
            <w:pPr>
              <w:pStyle w:val="6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1"/>
                <w:sz w:val="24"/>
                <w:szCs w:val="24"/>
                <w:lang w:val="en-US" w:eastAsia="zh-CN"/>
              </w:rPr>
            </w:pPr>
            <w:r>
              <w:rPr>
                <w:rFonts w:hint="eastAsia" w:ascii="Times New Roman" w:hAnsi="Times New Roman" w:eastAsia="宋体" w:cs="Times New Roman"/>
                <w:b/>
                <w:bCs/>
                <w:color w:val="auto"/>
                <w:kern w:val="21"/>
                <w:sz w:val="24"/>
                <w:szCs w:val="24"/>
                <w:lang w:val="en-US" w:eastAsia="zh-CN"/>
              </w:rPr>
              <w:t>表4-</w:t>
            </w:r>
            <w:r>
              <w:rPr>
                <w:rFonts w:hint="eastAsia" w:hAnsi="Times New Roman" w:cs="Times New Roman"/>
                <w:b/>
                <w:bCs/>
                <w:color w:val="auto"/>
                <w:kern w:val="21"/>
                <w:sz w:val="24"/>
                <w:szCs w:val="24"/>
                <w:lang w:val="en-US" w:eastAsia="zh-CN"/>
              </w:rPr>
              <w:t>6</w:t>
            </w:r>
            <w:r>
              <w:rPr>
                <w:rFonts w:hint="eastAsia" w:ascii="Times New Roman" w:hAnsi="Times New Roman" w:eastAsia="宋体" w:cs="Times New Roman"/>
                <w:b/>
                <w:bCs/>
                <w:color w:val="auto"/>
                <w:kern w:val="21"/>
                <w:sz w:val="24"/>
                <w:szCs w:val="24"/>
                <w:lang w:val="en-US" w:eastAsia="zh-CN"/>
              </w:rPr>
              <w:t xml:space="preserve">   </w:t>
            </w:r>
            <w:r>
              <w:rPr>
                <w:rFonts w:hint="eastAsia" w:hAnsi="Times New Roman" w:cs="Times New Roman"/>
                <w:b/>
                <w:bCs/>
                <w:color w:val="auto"/>
                <w:kern w:val="21"/>
                <w:sz w:val="24"/>
                <w:szCs w:val="24"/>
                <w:lang w:val="en-US" w:eastAsia="zh-CN"/>
              </w:rPr>
              <w:t>综合</w:t>
            </w:r>
            <w:r>
              <w:rPr>
                <w:rFonts w:hint="eastAsia" w:ascii="Times New Roman" w:hAnsi="Times New Roman" w:eastAsia="宋体" w:cs="Times New Roman"/>
                <w:b/>
                <w:bCs/>
                <w:color w:val="auto"/>
                <w:kern w:val="21"/>
                <w:sz w:val="24"/>
                <w:szCs w:val="24"/>
                <w:lang w:val="en-US" w:eastAsia="zh-CN"/>
              </w:rPr>
              <w:t>废水产排情况</w:t>
            </w:r>
          </w:p>
          <w:tbl>
            <w:tblPr>
              <w:tblStyle w:val="2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9"/>
              <w:gridCol w:w="746"/>
              <w:gridCol w:w="770"/>
              <w:gridCol w:w="733"/>
              <w:gridCol w:w="441"/>
              <w:gridCol w:w="591"/>
              <w:gridCol w:w="1026"/>
              <w:gridCol w:w="1035"/>
              <w:gridCol w:w="1065"/>
              <w:gridCol w:w="1418"/>
            </w:tblGrid>
            <w:tr w14:paraId="396A01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2" w:type="pct"/>
                  <w:vMerge w:val="restart"/>
                  <w:tcBorders>
                    <w:tl2br w:val="nil"/>
                    <w:tr2bl w:val="nil"/>
                  </w:tcBorders>
                  <w:noWrap w:val="0"/>
                  <w:vAlign w:val="center"/>
                </w:tcPr>
                <w:p w14:paraId="46B77A53">
                  <w:pPr>
                    <w:pStyle w:val="68"/>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污水类型</w:t>
                  </w:r>
                </w:p>
              </w:tc>
              <w:tc>
                <w:tcPr>
                  <w:tcW w:w="453" w:type="pct"/>
                  <w:vMerge w:val="restart"/>
                  <w:tcBorders>
                    <w:tl2br w:val="nil"/>
                    <w:tr2bl w:val="nil"/>
                  </w:tcBorders>
                  <w:noWrap w:val="0"/>
                  <w:vAlign w:val="center"/>
                </w:tcPr>
                <w:p w14:paraId="03465CEB">
                  <w:pPr>
                    <w:pStyle w:val="68"/>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913" w:type="pct"/>
                  <w:gridSpan w:val="2"/>
                  <w:tcBorders>
                    <w:tl2br w:val="nil"/>
                    <w:tr2bl w:val="nil"/>
                  </w:tcBorders>
                  <w:noWrap w:val="0"/>
                  <w:vAlign w:val="center"/>
                </w:tcPr>
                <w:p w14:paraId="4259269F">
                  <w:pPr>
                    <w:pStyle w:val="68"/>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产生情况</w:t>
                  </w:r>
                </w:p>
              </w:tc>
              <w:tc>
                <w:tcPr>
                  <w:tcW w:w="268" w:type="pct"/>
                  <w:vMerge w:val="restart"/>
                  <w:tcBorders>
                    <w:tl2br w:val="nil"/>
                    <w:tr2bl w:val="nil"/>
                  </w:tcBorders>
                  <w:noWrap w:val="0"/>
                  <w:vAlign w:val="center"/>
                </w:tcPr>
                <w:p w14:paraId="66D92EFA">
                  <w:pPr>
                    <w:pStyle w:val="68"/>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治理措施</w:t>
                  </w:r>
                </w:p>
              </w:tc>
              <w:tc>
                <w:tcPr>
                  <w:tcW w:w="359" w:type="pct"/>
                  <w:vMerge w:val="restart"/>
                  <w:tcBorders>
                    <w:tl2br w:val="nil"/>
                    <w:tr2bl w:val="nil"/>
                  </w:tcBorders>
                  <w:noWrap w:val="0"/>
                  <w:vAlign w:val="center"/>
                </w:tcPr>
                <w:p w14:paraId="476A08C7">
                  <w:pPr>
                    <w:pStyle w:val="68"/>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去除率%</w:t>
                  </w:r>
                </w:p>
              </w:tc>
              <w:tc>
                <w:tcPr>
                  <w:tcW w:w="1253" w:type="pct"/>
                  <w:gridSpan w:val="2"/>
                  <w:tcBorders>
                    <w:tl2br w:val="nil"/>
                    <w:tr2bl w:val="nil"/>
                  </w:tcBorders>
                  <w:noWrap w:val="0"/>
                  <w:vAlign w:val="center"/>
                </w:tcPr>
                <w:p w14:paraId="318341E5">
                  <w:pPr>
                    <w:pStyle w:val="68"/>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排放情况</w:t>
                  </w:r>
                </w:p>
              </w:tc>
              <w:tc>
                <w:tcPr>
                  <w:tcW w:w="1509" w:type="pct"/>
                  <w:gridSpan w:val="2"/>
                  <w:tcBorders>
                    <w:tl2br w:val="nil"/>
                    <w:tr2bl w:val="nil"/>
                  </w:tcBorders>
                  <w:noWrap w:val="0"/>
                  <w:vAlign w:val="center"/>
                </w:tcPr>
                <w:p w14:paraId="1E81D60E">
                  <w:pPr>
                    <w:pStyle w:val="68"/>
                    <w:rPr>
                      <w:rFonts w:hint="default" w:ascii="Times New Roman" w:hAnsi="Times New Roman" w:eastAsia="宋体" w:cs="Times New Roman"/>
                      <w:b/>
                      <w:bCs/>
                      <w:color w:val="auto"/>
                      <w:sz w:val="21"/>
                      <w:szCs w:val="21"/>
                    </w:rPr>
                  </w:pPr>
                  <w:r>
                    <w:rPr>
                      <w:rFonts w:hint="eastAsia"/>
                      <w:b/>
                      <w:bCs/>
                      <w:color w:val="auto"/>
                      <w:szCs w:val="21"/>
                    </w:rPr>
                    <w:t>标准限值（</w:t>
                  </w:r>
                  <w:r>
                    <w:rPr>
                      <w:b/>
                      <w:bCs/>
                      <w:color w:val="auto"/>
                      <w:szCs w:val="21"/>
                    </w:rPr>
                    <w:t>mg/L</w:t>
                  </w:r>
                  <w:r>
                    <w:rPr>
                      <w:rFonts w:hint="eastAsia"/>
                      <w:b/>
                      <w:bCs/>
                      <w:color w:val="auto"/>
                      <w:szCs w:val="21"/>
                    </w:rPr>
                    <w:t>）</w:t>
                  </w:r>
                </w:p>
              </w:tc>
            </w:tr>
            <w:tr w14:paraId="316991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2" w:type="pct"/>
                  <w:vMerge w:val="continue"/>
                  <w:tcBorders>
                    <w:tl2br w:val="nil"/>
                    <w:tr2bl w:val="nil"/>
                  </w:tcBorders>
                  <w:noWrap w:val="0"/>
                  <w:vAlign w:val="center"/>
                </w:tcPr>
                <w:p w14:paraId="00516D3E">
                  <w:pPr>
                    <w:pStyle w:val="68"/>
                    <w:jc w:val="center"/>
                    <w:rPr>
                      <w:rFonts w:hint="default" w:ascii="Times New Roman" w:hAnsi="Times New Roman" w:eastAsia="宋体" w:cs="Times New Roman"/>
                      <w:b/>
                      <w:bCs/>
                      <w:color w:val="auto"/>
                      <w:sz w:val="21"/>
                      <w:szCs w:val="21"/>
                    </w:rPr>
                  </w:pPr>
                </w:p>
              </w:tc>
              <w:tc>
                <w:tcPr>
                  <w:tcW w:w="453" w:type="pct"/>
                  <w:vMerge w:val="continue"/>
                  <w:tcBorders>
                    <w:tl2br w:val="nil"/>
                    <w:tr2bl w:val="nil"/>
                  </w:tcBorders>
                  <w:noWrap w:val="0"/>
                  <w:vAlign w:val="center"/>
                </w:tcPr>
                <w:p w14:paraId="0ABF1F9C">
                  <w:pPr>
                    <w:pStyle w:val="68"/>
                    <w:jc w:val="center"/>
                    <w:rPr>
                      <w:rFonts w:hint="default" w:ascii="Times New Roman" w:hAnsi="Times New Roman" w:eastAsia="宋体" w:cs="Times New Roman"/>
                      <w:b/>
                      <w:bCs/>
                      <w:color w:val="auto"/>
                      <w:sz w:val="21"/>
                      <w:szCs w:val="21"/>
                    </w:rPr>
                  </w:pPr>
                </w:p>
              </w:tc>
              <w:tc>
                <w:tcPr>
                  <w:tcW w:w="468" w:type="pct"/>
                  <w:tcBorders>
                    <w:tl2br w:val="nil"/>
                    <w:tr2bl w:val="nil"/>
                  </w:tcBorders>
                  <w:noWrap w:val="0"/>
                  <w:vAlign w:val="center"/>
                </w:tcPr>
                <w:p w14:paraId="700B4C93">
                  <w:pPr>
                    <w:pStyle w:val="68"/>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浓度(mg/L)</w:t>
                  </w:r>
                </w:p>
              </w:tc>
              <w:tc>
                <w:tcPr>
                  <w:tcW w:w="445" w:type="pct"/>
                  <w:tcBorders>
                    <w:tl2br w:val="nil"/>
                    <w:tr2bl w:val="nil"/>
                  </w:tcBorders>
                  <w:noWrap w:val="0"/>
                  <w:vAlign w:val="center"/>
                </w:tcPr>
                <w:p w14:paraId="3BF51863">
                  <w:pPr>
                    <w:pStyle w:val="68"/>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产生量(t/a)</w:t>
                  </w:r>
                </w:p>
              </w:tc>
              <w:tc>
                <w:tcPr>
                  <w:tcW w:w="268" w:type="pct"/>
                  <w:vMerge w:val="continue"/>
                  <w:tcBorders>
                    <w:tl2br w:val="nil"/>
                    <w:tr2bl w:val="nil"/>
                  </w:tcBorders>
                  <w:noWrap w:val="0"/>
                  <w:vAlign w:val="center"/>
                </w:tcPr>
                <w:p w14:paraId="18A30F0D">
                  <w:pPr>
                    <w:pStyle w:val="68"/>
                    <w:jc w:val="center"/>
                    <w:rPr>
                      <w:rFonts w:hint="default" w:ascii="Times New Roman" w:hAnsi="Times New Roman" w:eastAsia="宋体" w:cs="Times New Roman"/>
                      <w:b/>
                      <w:bCs/>
                      <w:color w:val="auto"/>
                      <w:sz w:val="21"/>
                      <w:szCs w:val="21"/>
                    </w:rPr>
                  </w:pPr>
                </w:p>
              </w:tc>
              <w:tc>
                <w:tcPr>
                  <w:tcW w:w="359" w:type="pct"/>
                  <w:vMerge w:val="continue"/>
                  <w:tcBorders>
                    <w:tl2br w:val="nil"/>
                    <w:tr2bl w:val="nil"/>
                  </w:tcBorders>
                  <w:noWrap w:val="0"/>
                  <w:vAlign w:val="center"/>
                </w:tcPr>
                <w:p w14:paraId="1E2E7664">
                  <w:pPr>
                    <w:pStyle w:val="68"/>
                    <w:jc w:val="center"/>
                    <w:rPr>
                      <w:rFonts w:hint="default" w:ascii="Times New Roman" w:hAnsi="Times New Roman" w:eastAsia="宋体" w:cs="Times New Roman"/>
                      <w:b/>
                      <w:bCs/>
                      <w:color w:val="auto"/>
                      <w:sz w:val="21"/>
                      <w:szCs w:val="21"/>
                    </w:rPr>
                  </w:pPr>
                </w:p>
              </w:tc>
              <w:tc>
                <w:tcPr>
                  <w:tcW w:w="623" w:type="pct"/>
                  <w:tcBorders>
                    <w:tl2br w:val="nil"/>
                    <w:tr2bl w:val="nil"/>
                  </w:tcBorders>
                  <w:noWrap w:val="0"/>
                  <w:vAlign w:val="center"/>
                </w:tcPr>
                <w:p w14:paraId="0FF0CD80">
                  <w:pPr>
                    <w:pStyle w:val="68"/>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浓度(mg/L)</w:t>
                  </w:r>
                </w:p>
              </w:tc>
              <w:tc>
                <w:tcPr>
                  <w:tcW w:w="629" w:type="pct"/>
                  <w:tcBorders>
                    <w:tl2br w:val="nil"/>
                    <w:tr2bl w:val="nil"/>
                  </w:tcBorders>
                  <w:noWrap w:val="0"/>
                  <w:vAlign w:val="center"/>
                </w:tcPr>
                <w:p w14:paraId="2217ED85">
                  <w:pPr>
                    <w:pStyle w:val="68"/>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排放量(t/a)</w:t>
                  </w:r>
                </w:p>
              </w:tc>
              <w:tc>
                <w:tcPr>
                  <w:tcW w:w="647" w:type="pct"/>
                  <w:tcBorders>
                    <w:tl2br w:val="nil"/>
                    <w:tr2bl w:val="nil"/>
                  </w:tcBorders>
                  <w:noWrap w:val="0"/>
                  <w:vAlign w:val="center"/>
                </w:tcPr>
                <w:p w14:paraId="6BC782A7">
                  <w:pPr>
                    <w:pStyle w:val="68"/>
                    <w:rPr>
                      <w:rFonts w:hint="default" w:ascii="Times New Roman" w:hAnsi="Times New Roman" w:eastAsia="宋体" w:cs="Times New Roman"/>
                      <w:b/>
                      <w:bCs/>
                      <w:color w:val="auto"/>
                      <w:sz w:val="21"/>
                      <w:szCs w:val="21"/>
                    </w:rPr>
                  </w:pPr>
                  <w:r>
                    <w:rPr>
                      <w:b/>
                      <w:bCs/>
                      <w:color w:val="auto"/>
                      <w:szCs w:val="21"/>
                    </w:rPr>
                    <w:t>GB</w:t>
                  </w:r>
                  <w:r>
                    <w:rPr>
                      <w:rFonts w:hint="eastAsia"/>
                      <w:b/>
                      <w:bCs/>
                      <w:color w:val="auto"/>
                      <w:szCs w:val="21"/>
                    </w:rPr>
                    <w:t>8978-1996限值</w:t>
                  </w:r>
                </w:p>
              </w:tc>
              <w:tc>
                <w:tcPr>
                  <w:tcW w:w="862" w:type="pct"/>
                  <w:tcBorders>
                    <w:tl2br w:val="nil"/>
                    <w:tr2bl w:val="nil"/>
                  </w:tcBorders>
                  <w:noWrap w:val="0"/>
                  <w:vAlign w:val="center"/>
                </w:tcPr>
                <w:p w14:paraId="698482F6">
                  <w:pPr>
                    <w:pStyle w:val="68"/>
                    <w:rPr>
                      <w:rFonts w:hint="default" w:ascii="Times New Roman" w:hAnsi="Times New Roman" w:eastAsia="宋体" w:cs="Times New Roman"/>
                      <w:b/>
                      <w:bCs/>
                      <w:color w:val="auto"/>
                      <w:sz w:val="21"/>
                      <w:szCs w:val="21"/>
                    </w:rPr>
                  </w:pPr>
                  <w:r>
                    <w:rPr>
                      <w:b/>
                      <w:bCs/>
                      <w:color w:val="auto"/>
                      <w:szCs w:val="21"/>
                    </w:rPr>
                    <w:t>GB/T31962-2015</w:t>
                  </w:r>
                  <w:r>
                    <w:rPr>
                      <w:rFonts w:hint="eastAsia"/>
                      <w:b/>
                      <w:bCs/>
                      <w:color w:val="auto"/>
                      <w:szCs w:val="21"/>
                      <w:lang w:val="en-US" w:eastAsia="zh-CN"/>
                    </w:rPr>
                    <w:t>A</w:t>
                  </w:r>
                  <w:r>
                    <w:rPr>
                      <w:rFonts w:hint="eastAsia"/>
                      <w:b/>
                      <w:bCs/>
                      <w:color w:val="auto"/>
                      <w:szCs w:val="21"/>
                    </w:rPr>
                    <w:t>级标准</w:t>
                  </w:r>
                </w:p>
              </w:tc>
            </w:tr>
            <w:tr w14:paraId="2A5199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42" w:type="pct"/>
                  <w:vMerge w:val="restart"/>
                  <w:tcBorders>
                    <w:tl2br w:val="nil"/>
                    <w:tr2bl w:val="nil"/>
                  </w:tcBorders>
                  <w:noWrap w:val="0"/>
                  <w:vAlign w:val="center"/>
                </w:tcPr>
                <w:p w14:paraId="05894B91">
                  <w:pPr>
                    <w:pStyle w:val="68"/>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综合废水</w:t>
                  </w:r>
                </w:p>
              </w:tc>
              <w:tc>
                <w:tcPr>
                  <w:tcW w:w="453" w:type="pct"/>
                  <w:tcBorders>
                    <w:tl2br w:val="nil"/>
                    <w:tr2bl w:val="nil"/>
                  </w:tcBorders>
                  <w:noWrap w:val="0"/>
                  <w:vAlign w:val="center"/>
                </w:tcPr>
                <w:p w14:paraId="25D167FC">
                  <w:pPr>
                    <w:pStyle w:val="6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水量</w:t>
                  </w:r>
                </w:p>
              </w:tc>
              <w:tc>
                <w:tcPr>
                  <w:tcW w:w="468" w:type="pct"/>
                  <w:tcBorders>
                    <w:tl2br w:val="nil"/>
                    <w:tr2bl w:val="nil"/>
                  </w:tcBorders>
                  <w:noWrap w:val="0"/>
                  <w:vAlign w:val="center"/>
                </w:tcPr>
                <w:p w14:paraId="73E63059">
                  <w:pPr>
                    <w:pStyle w:val="68"/>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45" w:type="pct"/>
                  <w:tcBorders>
                    <w:tl2br w:val="nil"/>
                    <w:tr2bl w:val="nil"/>
                  </w:tcBorders>
                  <w:noWrap w:val="0"/>
                  <w:vAlign w:val="center"/>
                </w:tcPr>
                <w:p w14:paraId="0817E21C">
                  <w:pPr>
                    <w:pStyle w:val="68"/>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203.73</w:t>
                  </w:r>
                </w:p>
              </w:tc>
              <w:tc>
                <w:tcPr>
                  <w:tcW w:w="268" w:type="pct"/>
                  <w:vMerge w:val="restart"/>
                  <w:tcBorders>
                    <w:tl2br w:val="nil"/>
                    <w:tr2bl w:val="nil"/>
                  </w:tcBorders>
                  <w:noWrap w:val="0"/>
                  <w:vAlign w:val="center"/>
                </w:tcPr>
                <w:p w14:paraId="2C719104">
                  <w:pPr>
                    <w:pStyle w:val="68"/>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pH调节池+</w:t>
                  </w:r>
                  <w:r>
                    <w:rPr>
                      <w:rFonts w:hint="default" w:ascii="Times New Roman" w:hAnsi="Times New Roman" w:eastAsia="宋体" w:cs="Times New Roman"/>
                      <w:color w:val="auto"/>
                      <w:sz w:val="21"/>
                      <w:szCs w:val="21"/>
                      <w:lang w:val="en-US" w:eastAsia="zh-CN"/>
                    </w:rPr>
                    <w:t>化粪池</w:t>
                  </w:r>
                </w:p>
              </w:tc>
              <w:tc>
                <w:tcPr>
                  <w:tcW w:w="359" w:type="pct"/>
                  <w:tcBorders>
                    <w:tl2br w:val="nil"/>
                    <w:tr2bl w:val="nil"/>
                  </w:tcBorders>
                  <w:noWrap w:val="0"/>
                  <w:vAlign w:val="center"/>
                </w:tcPr>
                <w:p w14:paraId="727670CB">
                  <w:pPr>
                    <w:pStyle w:val="68"/>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23" w:type="pct"/>
                  <w:tcBorders>
                    <w:tl2br w:val="nil"/>
                    <w:tr2bl w:val="nil"/>
                  </w:tcBorders>
                  <w:noWrap w:val="0"/>
                  <w:vAlign w:val="center"/>
                </w:tcPr>
                <w:p w14:paraId="62563913">
                  <w:pPr>
                    <w:pStyle w:val="68"/>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29" w:type="pct"/>
                  <w:tcBorders>
                    <w:tl2br w:val="nil"/>
                    <w:tr2bl w:val="nil"/>
                  </w:tcBorders>
                  <w:noWrap w:val="0"/>
                  <w:vAlign w:val="center"/>
                </w:tcPr>
                <w:p w14:paraId="12CC9D9A">
                  <w:pPr>
                    <w:pStyle w:val="68"/>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203.73</w:t>
                  </w:r>
                </w:p>
              </w:tc>
              <w:tc>
                <w:tcPr>
                  <w:tcW w:w="647" w:type="pct"/>
                  <w:tcBorders>
                    <w:tl2br w:val="nil"/>
                    <w:tr2bl w:val="nil"/>
                  </w:tcBorders>
                  <w:shd w:val="clear" w:color="auto" w:fill="auto"/>
                  <w:noWrap w:val="0"/>
                  <w:vAlign w:val="center"/>
                </w:tcPr>
                <w:p w14:paraId="7F7181BA">
                  <w:pPr>
                    <w:pStyle w:val="68"/>
                    <w:rPr>
                      <w:rFonts w:hint="eastAsia" w:ascii="Times New Roman" w:hAnsi="Times New Roman" w:eastAsia="宋体" w:cs="Times New Roman"/>
                      <w:color w:val="auto"/>
                      <w:sz w:val="21"/>
                      <w:szCs w:val="21"/>
                      <w:lang w:val="en-US" w:eastAsia="zh-CN" w:bidi="ar-SA"/>
                    </w:rPr>
                  </w:pPr>
                  <w:r>
                    <w:rPr>
                      <w:rFonts w:hint="eastAsia"/>
                      <w:color w:val="auto"/>
                      <w:szCs w:val="21"/>
                    </w:rPr>
                    <w:t>/</w:t>
                  </w:r>
                </w:p>
              </w:tc>
              <w:tc>
                <w:tcPr>
                  <w:tcW w:w="862" w:type="pct"/>
                  <w:tcBorders>
                    <w:tl2br w:val="nil"/>
                    <w:tr2bl w:val="nil"/>
                  </w:tcBorders>
                  <w:shd w:val="clear" w:color="auto" w:fill="auto"/>
                  <w:noWrap w:val="0"/>
                  <w:vAlign w:val="center"/>
                </w:tcPr>
                <w:p w14:paraId="7DEEB67D">
                  <w:pPr>
                    <w:pStyle w:val="68"/>
                    <w:rPr>
                      <w:rFonts w:hint="eastAsia" w:ascii="Times New Roman" w:hAnsi="Times New Roman" w:eastAsia="宋体" w:cs="Times New Roman"/>
                      <w:color w:val="auto"/>
                      <w:sz w:val="21"/>
                      <w:szCs w:val="21"/>
                      <w:lang w:val="en-US" w:eastAsia="zh-CN" w:bidi="ar-SA"/>
                    </w:rPr>
                  </w:pPr>
                  <w:r>
                    <w:rPr>
                      <w:rFonts w:hint="eastAsia"/>
                      <w:color w:val="auto"/>
                      <w:szCs w:val="21"/>
                    </w:rPr>
                    <w:t>/</w:t>
                  </w:r>
                </w:p>
              </w:tc>
            </w:tr>
            <w:tr w14:paraId="17468C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42" w:type="pct"/>
                  <w:vMerge w:val="continue"/>
                  <w:tcBorders>
                    <w:tl2br w:val="nil"/>
                    <w:tr2bl w:val="nil"/>
                  </w:tcBorders>
                  <w:noWrap w:val="0"/>
                  <w:vAlign w:val="center"/>
                </w:tcPr>
                <w:p w14:paraId="0CB79D02">
                  <w:pPr>
                    <w:pStyle w:val="68"/>
                    <w:jc w:val="center"/>
                    <w:rPr>
                      <w:rFonts w:hint="eastAsia" w:ascii="Times New Roman" w:hAnsi="Times New Roman" w:eastAsia="宋体" w:cs="Times New Roman"/>
                      <w:color w:val="auto"/>
                      <w:sz w:val="21"/>
                      <w:szCs w:val="21"/>
                      <w:lang w:val="en-US" w:eastAsia="zh-CN"/>
                    </w:rPr>
                  </w:pPr>
                </w:p>
              </w:tc>
              <w:tc>
                <w:tcPr>
                  <w:tcW w:w="453" w:type="pct"/>
                  <w:tcBorders>
                    <w:tl2br w:val="nil"/>
                    <w:tr2bl w:val="nil"/>
                  </w:tcBorders>
                  <w:noWrap w:val="0"/>
                  <w:vAlign w:val="center"/>
                </w:tcPr>
                <w:p w14:paraId="49236B7E">
                  <w:pPr>
                    <w:pStyle w:val="68"/>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pH</w:t>
                  </w:r>
                  <w:r>
                    <w:rPr>
                      <w:rFonts w:hint="eastAsia"/>
                      <w:color w:val="auto"/>
                      <w:szCs w:val="21"/>
                      <w:lang w:val="en-US" w:eastAsia="zh-CN"/>
                    </w:rPr>
                    <w:t>值</w:t>
                  </w:r>
                </w:p>
              </w:tc>
              <w:tc>
                <w:tcPr>
                  <w:tcW w:w="468" w:type="pct"/>
                  <w:tcBorders>
                    <w:tl2br w:val="nil"/>
                    <w:tr2bl w:val="nil"/>
                  </w:tcBorders>
                  <w:noWrap w:val="0"/>
                  <w:vAlign w:val="center"/>
                </w:tcPr>
                <w:p w14:paraId="4065AA4C">
                  <w:pPr>
                    <w:pStyle w:val="68"/>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6~9</w:t>
                  </w:r>
                </w:p>
              </w:tc>
              <w:tc>
                <w:tcPr>
                  <w:tcW w:w="445" w:type="pct"/>
                  <w:tcBorders>
                    <w:tl2br w:val="nil"/>
                    <w:tr2bl w:val="nil"/>
                  </w:tcBorders>
                  <w:noWrap w:val="0"/>
                  <w:vAlign w:val="center"/>
                </w:tcPr>
                <w:p w14:paraId="31A7BAA5">
                  <w:pPr>
                    <w:pStyle w:val="68"/>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268" w:type="pct"/>
                  <w:vMerge w:val="continue"/>
                  <w:tcBorders>
                    <w:tl2br w:val="nil"/>
                    <w:tr2bl w:val="nil"/>
                  </w:tcBorders>
                  <w:noWrap w:val="0"/>
                  <w:vAlign w:val="center"/>
                </w:tcPr>
                <w:p w14:paraId="4B4DC8DD">
                  <w:pPr>
                    <w:pStyle w:val="68"/>
                    <w:jc w:val="center"/>
                    <w:rPr>
                      <w:rFonts w:hint="eastAsia" w:ascii="Times New Roman" w:hAnsi="Times New Roman" w:eastAsia="宋体" w:cs="Times New Roman"/>
                      <w:color w:val="auto"/>
                      <w:sz w:val="21"/>
                      <w:szCs w:val="21"/>
                      <w:lang w:val="en-US" w:eastAsia="zh-CN"/>
                    </w:rPr>
                  </w:pPr>
                </w:p>
              </w:tc>
              <w:tc>
                <w:tcPr>
                  <w:tcW w:w="359" w:type="pct"/>
                  <w:tcBorders>
                    <w:tl2br w:val="nil"/>
                    <w:tr2bl w:val="nil"/>
                  </w:tcBorders>
                  <w:noWrap w:val="0"/>
                  <w:vAlign w:val="center"/>
                </w:tcPr>
                <w:p w14:paraId="1276A043">
                  <w:pPr>
                    <w:pStyle w:val="68"/>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23" w:type="pct"/>
                  <w:tcBorders>
                    <w:tl2br w:val="nil"/>
                    <w:tr2bl w:val="nil"/>
                  </w:tcBorders>
                  <w:shd w:val="clear" w:color="auto" w:fill="auto"/>
                  <w:noWrap w:val="0"/>
                  <w:vAlign w:val="center"/>
                </w:tcPr>
                <w:p w14:paraId="51B97C52">
                  <w:pPr>
                    <w:pStyle w:val="68"/>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6~9</w:t>
                  </w:r>
                </w:p>
              </w:tc>
              <w:tc>
                <w:tcPr>
                  <w:tcW w:w="629" w:type="pct"/>
                  <w:tcBorders>
                    <w:tl2br w:val="nil"/>
                    <w:tr2bl w:val="nil"/>
                  </w:tcBorders>
                  <w:shd w:val="clear" w:color="auto" w:fill="auto"/>
                  <w:noWrap w:val="0"/>
                  <w:vAlign w:val="center"/>
                </w:tcPr>
                <w:p w14:paraId="0C8F8EFA">
                  <w:pPr>
                    <w:pStyle w:val="68"/>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47" w:type="pct"/>
                  <w:tcBorders>
                    <w:tl2br w:val="nil"/>
                    <w:tr2bl w:val="nil"/>
                  </w:tcBorders>
                  <w:shd w:val="clear" w:color="auto" w:fill="auto"/>
                  <w:noWrap w:val="0"/>
                  <w:vAlign w:val="center"/>
                </w:tcPr>
                <w:p w14:paraId="056EBB2E">
                  <w:pPr>
                    <w:pStyle w:val="68"/>
                    <w:rPr>
                      <w:rFonts w:hint="eastAsia" w:ascii="Times New Roman" w:hAnsi="Times New Roman" w:eastAsia="宋体" w:cs="Times New Roman"/>
                      <w:color w:val="auto"/>
                      <w:sz w:val="21"/>
                      <w:szCs w:val="21"/>
                      <w:lang w:val="en-US" w:eastAsia="zh-CN" w:bidi="ar-SA"/>
                    </w:rPr>
                  </w:pPr>
                  <w:r>
                    <w:rPr>
                      <w:rFonts w:hint="eastAsia"/>
                      <w:color w:val="auto"/>
                      <w:szCs w:val="21"/>
                    </w:rPr>
                    <w:t>/</w:t>
                  </w:r>
                </w:p>
              </w:tc>
              <w:tc>
                <w:tcPr>
                  <w:tcW w:w="862" w:type="pct"/>
                  <w:tcBorders>
                    <w:tl2br w:val="nil"/>
                    <w:tr2bl w:val="nil"/>
                  </w:tcBorders>
                  <w:shd w:val="clear" w:color="auto" w:fill="auto"/>
                  <w:noWrap w:val="0"/>
                  <w:vAlign w:val="center"/>
                </w:tcPr>
                <w:p w14:paraId="6165F07D">
                  <w:pPr>
                    <w:pStyle w:val="68"/>
                    <w:rPr>
                      <w:rFonts w:hint="eastAsia" w:ascii="Times New Roman" w:hAnsi="Times New Roman" w:eastAsia="宋体" w:cs="Times New Roman"/>
                      <w:color w:val="auto"/>
                      <w:sz w:val="21"/>
                      <w:szCs w:val="21"/>
                      <w:lang w:val="en-US" w:eastAsia="zh-CN" w:bidi="ar-SA"/>
                    </w:rPr>
                  </w:pPr>
                  <w:r>
                    <w:rPr>
                      <w:rFonts w:hint="eastAsia"/>
                      <w:color w:val="auto"/>
                      <w:szCs w:val="21"/>
                    </w:rPr>
                    <w:t>/</w:t>
                  </w:r>
                </w:p>
              </w:tc>
            </w:tr>
            <w:tr w14:paraId="052F7B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2" w:type="pct"/>
                  <w:vMerge w:val="continue"/>
                  <w:tcBorders>
                    <w:tl2br w:val="nil"/>
                    <w:tr2bl w:val="nil"/>
                  </w:tcBorders>
                  <w:noWrap w:val="0"/>
                  <w:vAlign w:val="center"/>
                </w:tcPr>
                <w:p w14:paraId="4C22FB92">
                  <w:pPr>
                    <w:pStyle w:val="68"/>
                    <w:jc w:val="center"/>
                    <w:rPr>
                      <w:rFonts w:hint="default" w:ascii="Times New Roman" w:hAnsi="Times New Roman" w:eastAsia="宋体" w:cs="Times New Roman"/>
                      <w:color w:val="auto"/>
                      <w:sz w:val="21"/>
                      <w:szCs w:val="21"/>
                    </w:rPr>
                  </w:pPr>
                </w:p>
              </w:tc>
              <w:tc>
                <w:tcPr>
                  <w:tcW w:w="453" w:type="pct"/>
                  <w:tcBorders>
                    <w:tl2br w:val="nil"/>
                    <w:tr2bl w:val="nil"/>
                  </w:tcBorders>
                  <w:noWrap w:val="0"/>
                  <w:vAlign w:val="center"/>
                </w:tcPr>
                <w:p w14:paraId="10C0DDED">
                  <w:pPr>
                    <w:pStyle w:val="6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468" w:type="pct"/>
                  <w:tcBorders>
                    <w:tl2br w:val="nil"/>
                    <w:tr2bl w:val="nil"/>
                  </w:tcBorders>
                  <w:noWrap w:val="0"/>
                  <w:vAlign w:val="center"/>
                </w:tcPr>
                <w:p w14:paraId="50C6F301">
                  <w:pPr>
                    <w:pStyle w:val="68"/>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410</w:t>
                  </w:r>
                </w:p>
              </w:tc>
              <w:tc>
                <w:tcPr>
                  <w:tcW w:w="733" w:type="dxa"/>
                  <w:tcBorders>
                    <w:tl2br w:val="nil"/>
                    <w:tr2bl w:val="nil"/>
                  </w:tcBorders>
                  <w:noWrap w:val="0"/>
                  <w:vAlign w:val="center"/>
                </w:tcPr>
                <w:p w14:paraId="130E6C8D">
                  <w:pPr>
                    <w:pStyle w:val="68"/>
                    <w:jc w:val="center"/>
                    <w:rPr>
                      <w:rFonts w:hint="default" w:cs="Times New Roman"/>
                      <w:color w:val="auto"/>
                      <w:sz w:val="21"/>
                      <w:szCs w:val="21"/>
                      <w:lang w:val="en-US" w:eastAsia="zh-CN"/>
                    </w:rPr>
                  </w:pPr>
                  <w:r>
                    <w:rPr>
                      <w:rFonts w:hint="eastAsia" w:cs="Times New Roman"/>
                      <w:color w:val="auto"/>
                      <w:sz w:val="21"/>
                      <w:szCs w:val="21"/>
                      <w:lang w:val="en-US" w:eastAsia="zh-CN"/>
                    </w:rPr>
                    <w:t>0.084</w:t>
                  </w:r>
                </w:p>
              </w:tc>
              <w:tc>
                <w:tcPr>
                  <w:tcW w:w="268" w:type="pct"/>
                  <w:vMerge w:val="continue"/>
                  <w:tcBorders>
                    <w:tl2br w:val="nil"/>
                    <w:tr2bl w:val="nil"/>
                  </w:tcBorders>
                  <w:noWrap w:val="0"/>
                  <w:vAlign w:val="center"/>
                </w:tcPr>
                <w:p w14:paraId="793FC63F">
                  <w:pPr>
                    <w:pStyle w:val="68"/>
                    <w:jc w:val="center"/>
                    <w:rPr>
                      <w:rFonts w:hint="default" w:ascii="Times New Roman" w:hAnsi="Times New Roman" w:eastAsia="宋体" w:cs="Times New Roman"/>
                      <w:color w:val="auto"/>
                      <w:sz w:val="21"/>
                      <w:szCs w:val="21"/>
                      <w:lang w:val="en-US" w:eastAsia="zh-CN"/>
                    </w:rPr>
                  </w:pPr>
                </w:p>
              </w:tc>
              <w:tc>
                <w:tcPr>
                  <w:tcW w:w="359" w:type="pct"/>
                  <w:tcBorders>
                    <w:tl2br w:val="nil"/>
                    <w:tr2bl w:val="nil"/>
                  </w:tcBorders>
                  <w:noWrap w:val="0"/>
                  <w:vAlign w:val="center"/>
                </w:tcPr>
                <w:p w14:paraId="371F1AEB">
                  <w:pPr>
                    <w:pStyle w:val="68"/>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623" w:type="pct"/>
                  <w:tcBorders>
                    <w:tl2br w:val="nil"/>
                    <w:tr2bl w:val="nil"/>
                  </w:tcBorders>
                  <w:noWrap w:val="0"/>
                  <w:vAlign w:val="center"/>
                </w:tcPr>
                <w:p w14:paraId="0419CD19">
                  <w:pPr>
                    <w:pStyle w:val="68"/>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348.5</w:t>
                  </w:r>
                </w:p>
              </w:tc>
              <w:tc>
                <w:tcPr>
                  <w:tcW w:w="1035" w:type="dxa"/>
                  <w:tcBorders>
                    <w:tl2br w:val="nil"/>
                    <w:tr2bl w:val="nil"/>
                  </w:tcBorders>
                  <w:noWrap w:val="0"/>
                  <w:vAlign w:val="center"/>
                </w:tcPr>
                <w:p w14:paraId="156A9217">
                  <w:pPr>
                    <w:pStyle w:val="68"/>
                    <w:jc w:val="center"/>
                    <w:rPr>
                      <w:rFonts w:hint="default" w:cs="Times New Roman"/>
                      <w:color w:val="auto"/>
                      <w:sz w:val="21"/>
                      <w:szCs w:val="21"/>
                      <w:lang w:val="en-US" w:eastAsia="zh-CN"/>
                    </w:rPr>
                  </w:pPr>
                  <w:r>
                    <w:rPr>
                      <w:rFonts w:hint="eastAsia" w:cs="Times New Roman"/>
                      <w:color w:val="auto"/>
                      <w:sz w:val="21"/>
                      <w:szCs w:val="21"/>
                      <w:lang w:val="en-US" w:eastAsia="zh-CN"/>
                    </w:rPr>
                    <w:t>0.071</w:t>
                  </w:r>
                </w:p>
              </w:tc>
              <w:tc>
                <w:tcPr>
                  <w:tcW w:w="647" w:type="pct"/>
                  <w:tcBorders>
                    <w:tl2br w:val="nil"/>
                    <w:tr2bl w:val="nil"/>
                  </w:tcBorders>
                  <w:shd w:val="clear" w:color="auto" w:fill="auto"/>
                  <w:noWrap w:val="0"/>
                  <w:vAlign w:val="center"/>
                </w:tcPr>
                <w:p w14:paraId="7CC99E91">
                  <w:pPr>
                    <w:pStyle w:val="68"/>
                    <w:rPr>
                      <w:rFonts w:hint="eastAsia" w:ascii="Times New Roman" w:hAnsi="Times New Roman" w:eastAsia="宋体" w:cs="Times New Roman"/>
                      <w:color w:val="auto"/>
                      <w:sz w:val="21"/>
                      <w:szCs w:val="21"/>
                      <w:lang w:val="en-US" w:eastAsia="zh-CN" w:bidi="ar-SA"/>
                    </w:rPr>
                  </w:pPr>
                  <w:r>
                    <w:rPr>
                      <w:rFonts w:hint="eastAsia"/>
                      <w:color w:val="auto"/>
                      <w:szCs w:val="21"/>
                    </w:rPr>
                    <w:t>500</w:t>
                  </w:r>
                </w:p>
              </w:tc>
              <w:tc>
                <w:tcPr>
                  <w:tcW w:w="862" w:type="pct"/>
                  <w:tcBorders>
                    <w:tl2br w:val="nil"/>
                    <w:tr2bl w:val="nil"/>
                  </w:tcBorders>
                  <w:shd w:val="clear" w:color="auto" w:fill="auto"/>
                  <w:noWrap w:val="0"/>
                  <w:vAlign w:val="center"/>
                </w:tcPr>
                <w:p w14:paraId="53AFAA27">
                  <w:pPr>
                    <w:pStyle w:val="68"/>
                    <w:rPr>
                      <w:rFonts w:hint="eastAsia" w:ascii="Times New Roman" w:hAnsi="Times New Roman" w:eastAsia="宋体" w:cs="Times New Roman"/>
                      <w:color w:val="auto"/>
                      <w:sz w:val="21"/>
                      <w:szCs w:val="21"/>
                      <w:lang w:val="en-US" w:eastAsia="zh-CN" w:bidi="ar-SA"/>
                    </w:rPr>
                  </w:pPr>
                  <w:r>
                    <w:rPr>
                      <w:rFonts w:hint="eastAsia"/>
                      <w:color w:val="auto"/>
                      <w:szCs w:val="21"/>
                    </w:rPr>
                    <w:t>/</w:t>
                  </w:r>
                </w:p>
              </w:tc>
            </w:tr>
            <w:tr w14:paraId="7E4029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2" w:type="pct"/>
                  <w:vMerge w:val="continue"/>
                  <w:tcBorders>
                    <w:tl2br w:val="nil"/>
                    <w:tr2bl w:val="nil"/>
                  </w:tcBorders>
                  <w:noWrap w:val="0"/>
                  <w:vAlign w:val="center"/>
                </w:tcPr>
                <w:p w14:paraId="54FD209C">
                  <w:pPr>
                    <w:pStyle w:val="68"/>
                    <w:jc w:val="center"/>
                    <w:rPr>
                      <w:rFonts w:hint="default" w:ascii="Times New Roman" w:hAnsi="Times New Roman" w:eastAsia="宋体" w:cs="Times New Roman"/>
                      <w:color w:val="auto"/>
                      <w:sz w:val="21"/>
                      <w:szCs w:val="21"/>
                    </w:rPr>
                  </w:pPr>
                </w:p>
              </w:tc>
              <w:tc>
                <w:tcPr>
                  <w:tcW w:w="453" w:type="pct"/>
                  <w:tcBorders>
                    <w:tl2br w:val="nil"/>
                    <w:tr2bl w:val="nil"/>
                  </w:tcBorders>
                  <w:noWrap w:val="0"/>
                  <w:vAlign w:val="center"/>
                </w:tcPr>
                <w:p w14:paraId="6909D7AE">
                  <w:pPr>
                    <w:pStyle w:val="6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468" w:type="pct"/>
                  <w:tcBorders>
                    <w:tl2br w:val="nil"/>
                    <w:tr2bl w:val="nil"/>
                  </w:tcBorders>
                  <w:noWrap w:val="0"/>
                  <w:vAlign w:val="center"/>
                </w:tcPr>
                <w:p w14:paraId="18B5C379">
                  <w:pPr>
                    <w:pStyle w:val="68"/>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96</w:t>
                  </w:r>
                </w:p>
              </w:tc>
              <w:tc>
                <w:tcPr>
                  <w:tcW w:w="733" w:type="dxa"/>
                  <w:tcBorders>
                    <w:tl2br w:val="nil"/>
                    <w:tr2bl w:val="nil"/>
                  </w:tcBorders>
                  <w:noWrap w:val="0"/>
                  <w:vAlign w:val="center"/>
                </w:tcPr>
                <w:p w14:paraId="353F570C">
                  <w:pPr>
                    <w:pStyle w:val="68"/>
                    <w:jc w:val="center"/>
                    <w:rPr>
                      <w:rFonts w:hint="default" w:cs="Times New Roman"/>
                      <w:color w:val="auto"/>
                      <w:sz w:val="21"/>
                      <w:szCs w:val="21"/>
                      <w:lang w:val="en-US" w:eastAsia="zh-CN"/>
                    </w:rPr>
                  </w:pPr>
                  <w:r>
                    <w:rPr>
                      <w:rFonts w:hint="eastAsia" w:cs="Times New Roman"/>
                      <w:color w:val="auto"/>
                      <w:sz w:val="21"/>
                      <w:szCs w:val="21"/>
                      <w:lang w:val="en-US" w:eastAsia="zh-CN"/>
                    </w:rPr>
                    <w:t>0.020</w:t>
                  </w:r>
                </w:p>
              </w:tc>
              <w:tc>
                <w:tcPr>
                  <w:tcW w:w="268" w:type="pct"/>
                  <w:vMerge w:val="continue"/>
                  <w:tcBorders>
                    <w:tl2br w:val="nil"/>
                    <w:tr2bl w:val="nil"/>
                  </w:tcBorders>
                  <w:noWrap w:val="0"/>
                  <w:vAlign w:val="center"/>
                </w:tcPr>
                <w:p w14:paraId="2EC20460">
                  <w:pPr>
                    <w:pStyle w:val="68"/>
                    <w:jc w:val="center"/>
                    <w:rPr>
                      <w:rFonts w:hint="default" w:ascii="Times New Roman" w:hAnsi="Times New Roman" w:eastAsia="宋体" w:cs="Times New Roman"/>
                      <w:color w:val="auto"/>
                      <w:sz w:val="21"/>
                      <w:szCs w:val="21"/>
                      <w:lang w:val="en-US" w:eastAsia="zh-CN"/>
                    </w:rPr>
                  </w:pPr>
                </w:p>
              </w:tc>
              <w:tc>
                <w:tcPr>
                  <w:tcW w:w="359" w:type="pct"/>
                  <w:tcBorders>
                    <w:tl2br w:val="nil"/>
                    <w:tr2bl w:val="nil"/>
                  </w:tcBorders>
                  <w:noWrap w:val="0"/>
                  <w:vAlign w:val="center"/>
                </w:tcPr>
                <w:p w14:paraId="300590A1">
                  <w:pPr>
                    <w:pStyle w:val="68"/>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623" w:type="pct"/>
                  <w:tcBorders>
                    <w:tl2br w:val="nil"/>
                    <w:tr2bl w:val="nil"/>
                  </w:tcBorders>
                  <w:noWrap w:val="0"/>
                  <w:vAlign w:val="center"/>
                </w:tcPr>
                <w:p w14:paraId="06F3C6F4">
                  <w:pPr>
                    <w:pStyle w:val="68"/>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76.9</w:t>
                  </w:r>
                </w:p>
              </w:tc>
              <w:tc>
                <w:tcPr>
                  <w:tcW w:w="1035" w:type="dxa"/>
                  <w:tcBorders>
                    <w:tl2br w:val="nil"/>
                    <w:tr2bl w:val="nil"/>
                  </w:tcBorders>
                  <w:noWrap w:val="0"/>
                  <w:vAlign w:val="center"/>
                </w:tcPr>
                <w:p w14:paraId="700995F1">
                  <w:pPr>
                    <w:pStyle w:val="68"/>
                    <w:jc w:val="center"/>
                    <w:rPr>
                      <w:rFonts w:hint="default" w:cs="Times New Roman"/>
                      <w:color w:val="auto"/>
                      <w:sz w:val="21"/>
                      <w:szCs w:val="21"/>
                      <w:lang w:val="en-US" w:eastAsia="zh-CN"/>
                    </w:rPr>
                  </w:pPr>
                  <w:r>
                    <w:rPr>
                      <w:rFonts w:hint="eastAsia" w:cs="Times New Roman"/>
                      <w:color w:val="auto"/>
                      <w:sz w:val="21"/>
                      <w:szCs w:val="21"/>
                      <w:lang w:val="en-US" w:eastAsia="zh-CN"/>
                    </w:rPr>
                    <w:t>0.016</w:t>
                  </w:r>
                </w:p>
              </w:tc>
              <w:tc>
                <w:tcPr>
                  <w:tcW w:w="647" w:type="pct"/>
                  <w:tcBorders>
                    <w:tl2br w:val="nil"/>
                    <w:tr2bl w:val="nil"/>
                  </w:tcBorders>
                  <w:shd w:val="clear" w:color="auto" w:fill="auto"/>
                  <w:noWrap w:val="0"/>
                  <w:vAlign w:val="center"/>
                </w:tcPr>
                <w:p w14:paraId="58486F59">
                  <w:pPr>
                    <w:pStyle w:val="68"/>
                    <w:rPr>
                      <w:rFonts w:hint="eastAsia" w:ascii="Times New Roman" w:hAnsi="Times New Roman" w:eastAsia="宋体" w:cs="Times New Roman"/>
                      <w:color w:val="auto"/>
                      <w:sz w:val="21"/>
                      <w:szCs w:val="21"/>
                      <w:lang w:val="en-US" w:eastAsia="zh-CN" w:bidi="ar-SA"/>
                    </w:rPr>
                  </w:pPr>
                  <w:r>
                    <w:rPr>
                      <w:rFonts w:hint="eastAsia"/>
                      <w:color w:val="auto"/>
                      <w:szCs w:val="21"/>
                    </w:rPr>
                    <w:t>300</w:t>
                  </w:r>
                </w:p>
              </w:tc>
              <w:tc>
                <w:tcPr>
                  <w:tcW w:w="862" w:type="pct"/>
                  <w:tcBorders>
                    <w:tl2br w:val="nil"/>
                    <w:tr2bl w:val="nil"/>
                  </w:tcBorders>
                  <w:shd w:val="clear" w:color="auto" w:fill="auto"/>
                  <w:noWrap w:val="0"/>
                  <w:vAlign w:val="center"/>
                </w:tcPr>
                <w:p w14:paraId="69319B63">
                  <w:pPr>
                    <w:pStyle w:val="68"/>
                    <w:rPr>
                      <w:rFonts w:hint="eastAsia" w:ascii="Times New Roman" w:hAnsi="Times New Roman" w:eastAsia="宋体" w:cs="Times New Roman"/>
                      <w:color w:val="auto"/>
                      <w:sz w:val="21"/>
                      <w:szCs w:val="21"/>
                      <w:lang w:val="en-US" w:eastAsia="zh-CN" w:bidi="ar-SA"/>
                    </w:rPr>
                  </w:pPr>
                  <w:r>
                    <w:rPr>
                      <w:rFonts w:hint="eastAsia"/>
                      <w:color w:val="auto"/>
                      <w:szCs w:val="21"/>
                    </w:rPr>
                    <w:t>/</w:t>
                  </w:r>
                </w:p>
              </w:tc>
            </w:tr>
            <w:tr w14:paraId="5878FB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2" w:type="pct"/>
                  <w:vMerge w:val="continue"/>
                  <w:tcBorders>
                    <w:tl2br w:val="nil"/>
                    <w:tr2bl w:val="nil"/>
                  </w:tcBorders>
                  <w:noWrap w:val="0"/>
                  <w:vAlign w:val="center"/>
                </w:tcPr>
                <w:p w14:paraId="1E3DA19B">
                  <w:pPr>
                    <w:pStyle w:val="68"/>
                    <w:jc w:val="center"/>
                    <w:rPr>
                      <w:rFonts w:hint="default" w:ascii="Times New Roman" w:hAnsi="Times New Roman" w:eastAsia="宋体" w:cs="Times New Roman"/>
                      <w:color w:val="auto"/>
                      <w:sz w:val="21"/>
                      <w:szCs w:val="21"/>
                    </w:rPr>
                  </w:pPr>
                </w:p>
              </w:tc>
              <w:tc>
                <w:tcPr>
                  <w:tcW w:w="453" w:type="pct"/>
                  <w:tcBorders>
                    <w:tl2br w:val="nil"/>
                    <w:tr2bl w:val="nil"/>
                  </w:tcBorders>
                  <w:noWrap w:val="0"/>
                  <w:vAlign w:val="center"/>
                </w:tcPr>
                <w:p w14:paraId="7FE2BAD6">
                  <w:pPr>
                    <w:pStyle w:val="6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468" w:type="pct"/>
                  <w:tcBorders>
                    <w:tl2br w:val="nil"/>
                    <w:tr2bl w:val="nil"/>
                  </w:tcBorders>
                  <w:noWrap w:val="0"/>
                  <w:vAlign w:val="center"/>
                </w:tcPr>
                <w:p w14:paraId="4DDEE63B">
                  <w:pPr>
                    <w:pStyle w:val="68"/>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117</w:t>
                  </w:r>
                </w:p>
              </w:tc>
              <w:tc>
                <w:tcPr>
                  <w:tcW w:w="733" w:type="dxa"/>
                  <w:tcBorders>
                    <w:tl2br w:val="nil"/>
                    <w:tr2bl w:val="nil"/>
                  </w:tcBorders>
                  <w:noWrap w:val="0"/>
                  <w:vAlign w:val="center"/>
                </w:tcPr>
                <w:p w14:paraId="40BB5F05">
                  <w:pPr>
                    <w:pStyle w:val="68"/>
                    <w:jc w:val="center"/>
                    <w:rPr>
                      <w:rFonts w:hint="default" w:cs="Times New Roman"/>
                      <w:color w:val="auto"/>
                      <w:sz w:val="21"/>
                      <w:szCs w:val="21"/>
                      <w:lang w:val="en-US" w:eastAsia="zh-CN"/>
                    </w:rPr>
                  </w:pPr>
                  <w:r>
                    <w:rPr>
                      <w:rFonts w:hint="eastAsia" w:cs="Times New Roman"/>
                      <w:color w:val="auto"/>
                      <w:sz w:val="21"/>
                      <w:szCs w:val="21"/>
                      <w:lang w:val="en-US" w:eastAsia="zh-CN"/>
                    </w:rPr>
                    <w:t>0.024</w:t>
                  </w:r>
                </w:p>
              </w:tc>
              <w:tc>
                <w:tcPr>
                  <w:tcW w:w="268" w:type="pct"/>
                  <w:vMerge w:val="continue"/>
                  <w:tcBorders>
                    <w:tl2br w:val="nil"/>
                    <w:tr2bl w:val="nil"/>
                  </w:tcBorders>
                  <w:noWrap w:val="0"/>
                  <w:vAlign w:val="center"/>
                </w:tcPr>
                <w:p w14:paraId="6EC74D8A">
                  <w:pPr>
                    <w:pStyle w:val="68"/>
                    <w:jc w:val="center"/>
                    <w:rPr>
                      <w:rFonts w:hint="default" w:ascii="Times New Roman" w:hAnsi="Times New Roman" w:eastAsia="宋体" w:cs="Times New Roman"/>
                      <w:color w:val="auto"/>
                      <w:sz w:val="21"/>
                      <w:szCs w:val="21"/>
                      <w:lang w:val="en-US" w:eastAsia="zh-CN"/>
                    </w:rPr>
                  </w:pPr>
                </w:p>
              </w:tc>
              <w:tc>
                <w:tcPr>
                  <w:tcW w:w="359" w:type="pct"/>
                  <w:tcBorders>
                    <w:tl2br w:val="nil"/>
                    <w:tr2bl w:val="nil"/>
                  </w:tcBorders>
                  <w:noWrap w:val="0"/>
                  <w:vAlign w:val="center"/>
                </w:tcPr>
                <w:p w14:paraId="3AC4FA62">
                  <w:pPr>
                    <w:pStyle w:val="68"/>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w:t>
                  </w:r>
                </w:p>
              </w:tc>
              <w:tc>
                <w:tcPr>
                  <w:tcW w:w="623" w:type="pct"/>
                  <w:tcBorders>
                    <w:tl2br w:val="nil"/>
                    <w:tr2bl w:val="nil"/>
                  </w:tcBorders>
                  <w:noWrap w:val="0"/>
                  <w:vAlign w:val="center"/>
                </w:tcPr>
                <w:p w14:paraId="7605FE48">
                  <w:pPr>
                    <w:pStyle w:val="68"/>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70.4</w:t>
                  </w:r>
                </w:p>
              </w:tc>
              <w:tc>
                <w:tcPr>
                  <w:tcW w:w="1035" w:type="dxa"/>
                  <w:tcBorders>
                    <w:tl2br w:val="nil"/>
                    <w:tr2bl w:val="nil"/>
                  </w:tcBorders>
                  <w:noWrap w:val="0"/>
                  <w:vAlign w:val="center"/>
                </w:tcPr>
                <w:p w14:paraId="4253DDC8">
                  <w:pPr>
                    <w:pStyle w:val="68"/>
                    <w:jc w:val="center"/>
                    <w:rPr>
                      <w:rFonts w:hint="default" w:cs="Times New Roman"/>
                      <w:color w:val="auto"/>
                      <w:sz w:val="21"/>
                      <w:szCs w:val="21"/>
                      <w:lang w:val="en-US" w:eastAsia="zh-CN"/>
                    </w:rPr>
                  </w:pPr>
                  <w:r>
                    <w:rPr>
                      <w:rFonts w:hint="eastAsia" w:cs="Times New Roman"/>
                      <w:color w:val="auto"/>
                      <w:sz w:val="21"/>
                      <w:szCs w:val="21"/>
                      <w:lang w:val="en-US" w:eastAsia="zh-CN"/>
                    </w:rPr>
                    <w:t>0.014</w:t>
                  </w:r>
                </w:p>
              </w:tc>
              <w:tc>
                <w:tcPr>
                  <w:tcW w:w="647" w:type="pct"/>
                  <w:tcBorders>
                    <w:tl2br w:val="nil"/>
                    <w:tr2bl w:val="nil"/>
                  </w:tcBorders>
                  <w:shd w:val="clear" w:color="auto" w:fill="auto"/>
                  <w:noWrap w:val="0"/>
                  <w:vAlign w:val="center"/>
                </w:tcPr>
                <w:p w14:paraId="38215C02">
                  <w:pPr>
                    <w:pStyle w:val="68"/>
                    <w:rPr>
                      <w:rFonts w:hint="eastAsia" w:ascii="Times New Roman" w:hAnsi="Times New Roman" w:eastAsia="宋体" w:cs="Times New Roman"/>
                      <w:color w:val="auto"/>
                      <w:sz w:val="21"/>
                      <w:szCs w:val="21"/>
                      <w:lang w:val="en-US" w:eastAsia="zh-CN" w:bidi="ar-SA"/>
                    </w:rPr>
                  </w:pPr>
                  <w:r>
                    <w:rPr>
                      <w:rFonts w:hint="eastAsia"/>
                      <w:color w:val="auto"/>
                      <w:szCs w:val="21"/>
                    </w:rPr>
                    <w:t>400</w:t>
                  </w:r>
                </w:p>
              </w:tc>
              <w:tc>
                <w:tcPr>
                  <w:tcW w:w="862" w:type="pct"/>
                  <w:tcBorders>
                    <w:tl2br w:val="nil"/>
                    <w:tr2bl w:val="nil"/>
                  </w:tcBorders>
                  <w:shd w:val="clear" w:color="auto" w:fill="auto"/>
                  <w:noWrap w:val="0"/>
                  <w:vAlign w:val="center"/>
                </w:tcPr>
                <w:p w14:paraId="52C3E570">
                  <w:pPr>
                    <w:pStyle w:val="68"/>
                    <w:rPr>
                      <w:rFonts w:hint="eastAsia" w:ascii="Times New Roman" w:hAnsi="Times New Roman" w:eastAsia="宋体" w:cs="Times New Roman"/>
                      <w:color w:val="auto"/>
                      <w:sz w:val="21"/>
                      <w:szCs w:val="21"/>
                      <w:lang w:val="en-US" w:eastAsia="zh-CN" w:bidi="ar-SA"/>
                    </w:rPr>
                  </w:pPr>
                  <w:r>
                    <w:rPr>
                      <w:rFonts w:hint="eastAsia"/>
                      <w:color w:val="auto"/>
                      <w:szCs w:val="21"/>
                    </w:rPr>
                    <w:t>/</w:t>
                  </w:r>
                </w:p>
              </w:tc>
            </w:tr>
            <w:tr w14:paraId="500973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2" w:type="pct"/>
                  <w:vMerge w:val="continue"/>
                  <w:tcBorders>
                    <w:tl2br w:val="nil"/>
                    <w:tr2bl w:val="nil"/>
                  </w:tcBorders>
                  <w:noWrap w:val="0"/>
                  <w:vAlign w:val="center"/>
                </w:tcPr>
                <w:p w14:paraId="1A6D9247">
                  <w:pPr>
                    <w:pStyle w:val="68"/>
                    <w:jc w:val="center"/>
                    <w:rPr>
                      <w:rFonts w:hint="default" w:ascii="Times New Roman" w:hAnsi="Times New Roman" w:eastAsia="宋体" w:cs="Times New Roman"/>
                      <w:color w:val="auto"/>
                      <w:sz w:val="21"/>
                      <w:szCs w:val="21"/>
                    </w:rPr>
                  </w:pPr>
                </w:p>
              </w:tc>
              <w:tc>
                <w:tcPr>
                  <w:tcW w:w="453" w:type="pct"/>
                  <w:tcBorders>
                    <w:tl2br w:val="nil"/>
                    <w:tr2bl w:val="nil"/>
                  </w:tcBorders>
                  <w:noWrap w:val="0"/>
                  <w:vAlign w:val="center"/>
                </w:tcPr>
                <w:p w14:paraId="06962BC0">
                  <w:pPr>
                    <w:pStyle w:val="6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770" w:type="dxa"/>
                  <w:tcBorders>
                    <w:tl2br w:val="nil"/>
                    <w:tr2bl w:val="nil"/>
                  </w:tcBorders>
                  <w:noWrap w:val="0"/>
                  <w:vAlign w:val="center"/>
                </w:tcPr>
                <w:p w14:paraId="7C44A143">
                  <w:pPr>
                    <w:pStyle w:val="68"/>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20.4</w:t>
                  </w:r>
                </w:p>
              </w:tc>
              <w:tc>
                <w:tcPr>
                  <w:tcW w:w="733" w:type="dxa"/>
                  <w:tcBorders>
                    <w:tl2br w:val="nil"/>
                    <w:tr2bl w:val="nil"/>
                  </w:tcBorders>
                  <w:noWrap w:val="0"/>
                  <w:vAlign w:val="center"/>
                </w:tcPr>
                <w:p w14:paraId="7D0EED72">
                  <w:pPr>
                    <w:pStyle w:val="68"/>
                    <w:jc w:val="center"/>
                    <w:rPr>
                      <w:rFonts w:hint="default" w:cs="Times New Roman"/>
                      <w:color w:val="auto"/>
                      <w:sz w:val="21"/>
                      <w:szCs w:val="21"/>
                      <w:lang w:val="en-US" w:eastAsia="zh-CN"/>
                    </w:rPr>
                  </w:pPr>
                  <w:r>
                    <w:rPr>
                      <w:rFonts w:hint="eastAsia" w:cs="Times New Roman"/>
                      <w:color w:val="auto"/>
                      <w:sz w:val="21"/>
                      <w:szCs w:val="21"/>
                      <w:lang w:val="en-US" w:eastAsia="zh-CN"/>
                    </w:rPr>
                    <w:t>0.004</w:t>
                  </w:r>
                </w:p>
              </w:tc>
              <w:tc>
                <w:tcPr>
                  <w:tcW w:w="268" w:type="pct"/>
                  <w:vMerge w:val="continue"/>
                  <w:tcBorders>
                    <w:tl2br w:val="nil"/>
                    <w:tr2bl w:val="nil"/>
                  </w:tcBorders>
                  <w:noWrap w:val="0"/>
                  <w:vAlign w:val="center"/>
                </w:tcPr>
                <w:p w14:paraId="70406F84">
                  <w:pPr>
                    <w:pStyle w:val="68"/>
                    <w:jc w:val="center"/>
                    <w:rPr>
                      <w:rFonts w:hint="default" w:ascii="Times New Roman" w:hAnsi="Times New Roman" w:eastAsia="宋体" w:cs="Times New Roman"/>
                      <w:color w:val="auto"/>
                      <w:sz w:val="21"/>
                      <w:szCs w:val="21"/>
                      <w:lang w:val="en-US" w:eastAsia="zh-CN"/>
                    </w:rPr>
                  </w:pPr>
                </w:p>
              </w:tc>
              <w:tc>
                <w:tcPr>
                  <w:tcW w:w="359" w:type="pct"/>
                  <w:tcBorders>
                    <w:tl2br w:val="nil"/>
                    <w:tr2bl w:val="nil"/>
                  </w:tcBorders>
                  <w:noWrap w:val="0"/>
                  <w:vAlign w:val="center"/>
                </w:tcPr>
                <w:p w14:paraId="20EA656D">
                  <w:pPr>
                    <w:pStyle w:val="68"/>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623" w:type="pct"/>
                  <w:tcBorders>
                    <w:tl2br w:val="nil"/>
                    <w:tr2bl w:val="nil"/>
                  </w:tcBorders>
                  <w:noWrap w:val="0"/>
                  <w:vAlign w:val="center"/>
                </w:tcPr>
                <w:p w14:paraId="55FC719B">
                  <w:pPr>
                    <w:pStyle w:val="68"/>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20.4</w:t>
                  </w:r>
                </w:p>
              </w:tc>
              <w:tc>
                <w:tcPr>
                  <w:tcW w:w="1035" w:type="dxa"/>
                  <w:tcBorders>
                    <w:tl2br w:val="nil"/>
                    <w:tr2bl w:val="nil"/>
                  </w:tcBorders>
                  <w:noWrap w:val="0"/>
                  <w:vAlign w:val="center"/>
                </w:tcPr>
                <w:p w14:paraId="7A7CF0CF">
                  <w:pPr>
                    <w:pStyle w:val="68"/>
                    <w:jc w:val="center"/>
                    <w:rPr>
                      <w:rFonts w:hint="default" w:cs="Times New Roman"/>
                      <w:color w:val="auto"/>
                      <w:sz w:val="21"/>
                      <w:szCs w:val="21"/>
                      <w:lang w:val="en-US" w:eastAsia="zh-CN"/>
                    </w:rPr>
                  </w:pPr>
                  <w:r>
                    <w:rPr>
                      <w:rFonts w:hint="eastAsia" w:cs="Times New Roman"/>
                      <w:color w:val="auto"/>
                      <w:sz w:val="21"/>
                      <w:szCs w:val="21"/>
                      <w:lang w:val="en-US" w:eastAsia="zh-CN"/>
                    </w:rPr>
                    <w:t>0.004</w:t>
                  </w:r>
                </w:p>
              </w:tc>
              <w:tc>
                <w:tcPr>
                  <w:tcW w:w="647" w:type="pct"/>
                  <w:tcBorders>
                    <w:tl2br w:val="nil"/>
                    <w:tr2bl w:val="nil"/>
                  </w:tcBorders>
                  <w:shd w:val="clear" w:color="auto" w:fill="auto"/>
                  <w:noWrap w:val="0"/>
                  <w:vAlign w:val="center"/>
                </w:tcPr>
                <w:p w14:paraId="22A87526">
                  <w:pPr>
                    <w:pStyle w:val="68"/>
                    <w:rPr>
                      <w:rFonts w:hint="eastAsia" w:ascii="Times New Roman" w:hAnsi="Times New Roman" w:eastAsia="宋体" w:cs="Times New Roman"/>
                      <w:color w:val="auto"/>
                      <w:sz w:val="21"/>
                      <w:szCs w:val="21"/>
                      <w:lang w:val="en-US" w:eastAsia="zh-CN" w:bidi="ar-SA"/>
                    </w:rPr>
                  </w:pPr>
                  <w:r>
                    <w:rPr>
                      <w:rFonts w:hint="eastAsia"/>
                      <w:color w:val="auto"/>
                      <w:szCs w:val="21"/>
                    </w:rPr>
                    <w:t>/</w:t>
                  </w:r>
                </w:p>
              </w:tc>
              <w:tc>
                <w:tcPr>
                  <w:tcW w:w="862" w:type="pct"/>
                  <w:tcBorders>
                    <w:tl2br w:val="nil"/>
                    <w:tr2bl w:val="nil"/>
                  </w:tcBorders>
                  <w:shd w:val="clear" w:color="auto" w:fill="auto"/>
                  <w:noWrap w:val="0"/>
                  <w:vAlign w:val="center"/>
                </w:tcPr>
                <w:p w14:paraId="4EB43DA4">
                  <w:pPr>
                    <w:pStyle w:val="68"/>
                    <w:rPr>
                      <w:rFonts w:hint="eastAsia" w:ascii="Times New Roman" w:hAnsi="Times New Roman" w:eastAsia="宋体" w:cs="Times New Roman"/>
                      <w:color w:val="auto"/>
                      <w:sz w:val="21"/>
                      <w:szCs w:val="21"/>
                      <w:lang w:val="en-US" w:eastAsia="zh-CN" w:bidi="ar-SA"/>
                    </w:rPr>
                  </w:pPr>
                  <w:r>
                    <w:rPr>
                      <w:rFonts w:hint="eastAsia"/>
                      <w:color w:val="auto"/>
                      <w:szCs w:val="21"/>
                    </w:rPr>
                    <w:t>45</w:t>
                  </w:r>
                </w:p>
              </w:tc>
            </w:tr>
            <w:tr w14:paraId="10193B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2" w:type="pct"/>
                  <w:vMerge w:val="continue"/>
                  <w:tcBorders>
                    <w:tl2br w:val="nil"/>
                    <w:tr2bl w:val="nil"/>
                  </w:tcBorders>
                  <w:noWrap w:val="0"/>
                  <w:vAlign w:val="center"/>
                </w:tcPr>
                <w:p w14:paraId="4E440B14">
                  <w:pPr>
                    <w:pStyle w:val="68"/>
                    <w:jc w:val="center"/>
                    <w:rPr>
                      <w:rFonts w:hint="default" w:ascii="Times New Roman" w:hAnsi="Times New Roman" w:eastAsia="宋体" w:cs="Times New Roman"/>
                      <w:color w:val="auto"/>
                      <w:sz w:val="21"/>
                      <w:szCs w:val="21"/>
                    </w:rPr>
                  </w:pPr>
                </w:p>
              </w:tc>
              <w:tc>
                <w:tcPr>
                  <w:tcW w:w="453" w:type="pct"/>
                  <w:tcBorders>
                    <w:tl2br w:val="nil"/>
                    <w:tr2bl w:val="nil"/>
                  </w:tcBorders>
                  <w:noWrap w:val="0"/>
                  <w:vAlign w:val="center"/>
                </w:tcPr>
                <w:p w14:paraId="534F1DDF">
                  <w:pPr>
                    <w:pStyle w:val="6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TN</w:t>
                  </w:r>
                </w:p>
              </w:tc>
              <w:tc>
                <w:tcPr>
                  <w:tcW w:w="770" w:type="dxa"/>
                  <w:tcBorders>
                    <w:tl2br w:val="nil"/>
                    <w:tr2bl w:val="nil"/>
                  </w:tcBorders>
                  <w:noWrap w:val="0"/>
                  <w:vAlign w:val="center"/>
                </w:tcPr>
                <w:p w14:paraId="4E840F79">
                  <w:pPr>
                    <w:pStyle w:val="68"/>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26.4</w:t>
                  </w:r>
                </w:p>
              </w:tc>
              <w:tc>
                <w:tcPr>
                  <w:tcW w:w="733" w:type="dxa"/>
                  <w:tcBorders>
                    <w:tl2br w:val="nil"/>
                    <w:tr2bl w:val="nil"/>
                  </w:tcBorders>
                  <w:noWrap w:val="0"/>
                  <w:vAlign w:val="center"/>
                </w:tcPr>
                <w:p w14:paraId="25B3CB54">
                  <w:pPr>
                    <w:pStyle w:val="68"/>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0.005</w:t>
                  </w:r>
                </w:p>
              </w:tc>
              <w:tc>
                <w:tcPr>
                  <w:tcW w:w="268" w:type="pct"/>
                  <w:vMerge w:val="continue"/>
                  <w:tcBorders>
                    <w:tl2br w:val="nil"/>
                    <w:tr2bl w:val="nil"/>
                  </w:tcBorders>
                  <w:noWrap w:val="0"/>
                  <w:vAlign w:val="center"/>
                </w:tcPr>
                <w:p w14:paraId="4B35EEF2">
                  <w:pPr>
                    <w:pStyle w:val="68"/>
                    <w:jc w:val="center"/>
                    <w:rPr>
                      <w:rFonts w:hint="default" w:ascii="Times New Roman" w:hAnsi="Times New Roman" w:eastAsia="宋体" w:cs="Times New Roman"/>
                      <w:color w:val="auto"/>
                      <w:sz w:val="21"/>
                      <w:szCs w:val="21"/>
                      <w:lang w:val="en-US" w:eastAsia="zh-CN"/>
                    </w:rPr>
                  </w:pPr>
                </w:p>
              </w:tc>
              <w:tc>
                <w:tcPr>
                  <w:tcW w:w="359" w:type="pct"/>
                  <w:tcBorders>
                    <w:tl2br w:val="nil"/>
                    <w:tr2bl w:val="nil"/>
                  </w:tcBorders>
                  <w:noWrap w:val="0"/>
                  <w:vAlign w:val="center"/>
                </w:tcPr>
                <w:p w14:paraId="372C10D9">
                  <w:pPr>
                    <w:pStyle w:val="68"/>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623" w:type="pct"/>
                  <w:tcBorders>
                    <w:tl2br w:val="nil"/>
                    <w:tr2bl w:val="nil"/>
                  </w:tcBorders>
                  <w:noWrap w:val="0"/>
                  <w:vAlign w:val="center"/>
                </w:tcPr>
                <w:p w14:paraId="14F28C15">
                  <w:pPr>
                    <w:pStyle w:val="68"/>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26.4</w:t>
                  </w:r>
                </w:p>
              </w:tc>
              <w:tc>
                <w:tcPr>
                  <w:tcW w:w="1035" w:type="dxa"/>
                  <w:tcBorders>
                    <w:tl2br w:val="nil"/>
                    <w:tr2bl w:val="nil"/>
                  </w:tcBorders>
                  <w:noWrap w:val="0"/>
                  <w:vAlign w:val="center"/>
                </w:tcPr>
                <w:p w14:paraId="6DC1BA07">
                  <w:pPr>
                    <w:pStyle w:val="68"/>
                    <w:jc w:val="center"/>
                    <w:rPr>
                      <w:rFonts w:hint="default" w:cs="Times New Roman"/>
                      <w:color w:val="auto"/>
                      <w:sz w:val="21"/>
                      <w:szCs w:val="21"/>
                      <w:lang w:val="en-US" w:eastAsia="zh-CN"/>
                    </w:rPr>
                  </w:pPr>
                  <w:r>
                    <w:rPr>
                      <w:rFonts w:hint="eastAsia" w:cs="Times New Roman"/>
                      <w:color w:val="auto"/>
                      <w:sz w:val="21"/>
                      <w:szCs w:val="21"/>
                      <w:lang w:val="en-US" w:eastAsia="zh-CN"/>
                    </w:rPr>
                    <w:t>0.005</w:t>
                  </w:r>
                </w:p>
              </w:tc>
              <w:tc>
                <w:tcPr>
                  <w:tcW w:w="647" w:type="pct"/>
                  <w:tcBorders>
                    <w:tl2br w:val="nil"/>
                    <w:tr2bl w:val="nil"/>
                  </w:tcBorders>
                  <w:shd w:val="clear" w:color="auto" w:fill="auto"/>
                  <w:noWrap w:val="0"/>
                  <w:vAlign w:val="center"/>
                </w:tcPr>
                <w:p w14:paraId="792EECC3">
                  <w:pPr>
                    <w:pStyle w:val="68"/>
                    <w:rPr>
                      <w:rFonts w:hint="eastAsia" w:ascii="Times New Roman" w:hAnsi="Times New Roman" w:eastAsia="宋体" w:cs="Times New Roman"/>
                      <w:color w:val="auto"/>
                      <w:sz w:val="21"/>
                      <w:szCs w:val="21"/>
                      <w:lang w:val="en-US" w:eastAsia="zh-CN" w:bidi="ar-SA"/>
                    </w:rPr>
                  </w:pPr>
                  <w:r>
                    <w:rPr>
                      <w:rFonts w:hint="eastAsia"/>
                      <w:color w:val="auto"/>
                      <w:szCs w:val="21"/>
                    </w:rPr>
                    <w:t>/</w:t>
                  </w:r>
                </w:p>
              </w:tc>
              <w:tc>
                <w:tcPr>
                  <w:tcW w:w="862" w:type="pct"/>
                  <w:tcBorders>
                    <w:tl2br w:val="nil"/>
                    <w:tr2bl w:val="nil"/>
                  </w:tcBorders>
                  <w:shd w:val="clear" w:color="auto" w:fill="auto"/>
                  <w:noWrap w:val="0"/>
                  <w:vAlign w:val="center"/>
                </w:tcPr>
                <w:p w14:paraId="1F4B2719">
                  <w:pPr>
                    <w:pStyle w:val="68"/>
                    <w:rPr>
                      <w:rFonts w:hint="eastAsia" w:ascii="Times New Roman" w:hAnsi="Times New Roman" w:eastAsia="宋体" w:cs="Times New Roman"/>
                      <w:color w:val="auto"/>
                      <w:sz w:val="21"/>
                      <w:szCs w:val="21"/>
                      <w:lang w:val="en-US" w:eastAsia="zh-CN" w:bidi="ar-SA"/>
                    </w:rPr>
                  </w:pPr>
                  <w:r>
                    <w:rPr>
                      <w:rFonts w:hint="eastAsia"/>
                      <w:color w:val="auto"/>
                      <w:szCs w:val="21"/>
                    </w:rPr>
                    <w:t>70</w:t>
                  </w:r>
                </w:p>
              </w:tc>
            </w:tr>
            <w:tr w14:paraId="6B5D38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2" w:type="pct"/>
                  <w:vMerge w:val="continue"/>
                  <w:tcBorders>
                    <w:tl2br w:val="nil"/>
                    <w:tr2bl w:val="nil"/>
                  </w:tcBorders>
                  <w:noWrap w:val="0"/>
                  <w:vAlign w:val="center"/>
                </w:tcPr>
                <w:p w14:paraId="4DA8AD56">
                  <w:pPr>
                    <w:pStyle w:val="68"/>
                    <w:jc w:val="center"/>
                    <w:rPr>
                      <w:rFonts w:hint="default" w:ascii="Times New Roman" w:hAnsi="Times New Roman" w:eastAsia="宋体" w:cs="Times New Roman"/>
                      <w:color w:val="auto"/>
                      <w:sz w:val="21"/>
                      <w:szCs w:val="21"/>
                    </w:rPr>
                  </w:pPr>
                </w:p>
              </w:tc>
              <w:tc>
                <w:tcPr>
                  <w:tcW w:w="453" w:type="pct"/>
                  <w:tcBorders>
                    <w:tl2br w:val="nil"/>
                    <w:tr2bl w:val="nil"/>
                  </w:tcBorders>
                  <w:noWrap w:val="0"/>
                  <w:vAlign w:val="center"/>
                </w:tcPr>
                <w:p w14:paraId="2E2ED16E">
                  <w:pPr>
                    <w:pStyle w:val="6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TP</w:t>
                  </w:r>
                </w:p>
              </w:tc>
              <w:tc>
                <w:tcPr>
                  <w:tcW w:w="770" w:type="dxa"/>
                  <w:tcBorders>
                    <w:tl2br w:val="nil"/>
                    <w:tr2bl w:val="nil"/>
                  </w:tcBorders>
                  <w:noWrap w:val="0"/>
                  <w:vAlign w:val="center"/>
                </w:tcPr>
                <w:p w14:paraId="4A8F3AF6">
                  <w:pPr>
                    <w:pStyle w:val="68"/>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2.88</w:t>
                  </w:r>
                </w:p>
              </w:tc>
              <w:tc>
                <w:tcPr>
                  <w:tcW w:w="733" w:type="dxa"/>
                  <w:tcBorders>
                    <w:tl2br w:val="nil"/>
                    <w:tr2bl w:val="nil"/>
                  </w:tcBorders>
                  <w:noWrap w:val="0"/>
                  <w:vAlign w:val="center"/>
                </w:tcPr>
                <w:p w14:paraId="2C3B6D08">
                  <w:pPr>
                    <w:pStyle w:val="68"/>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0.0006</w:t>
                  </w:r>
                </w:p>
              </w:tc>
              <w:tc>
                <w:tcPr>
                  <w:tcW w:w="268" w:type="pct"/>
                  <w:vMerge w:val="continue"/>
                  <w:tcBorders>
                    <w:tl2br w:val="nil"/>
                    <w:tr2bl w:val="nil"/>
                  </w:tcBorders>
                  <w:noWrap w:val="0"/>
                  <w:vAlign w:val="center"/>
                </w:tcPr>
                <w:p w14:paraId="313D63F2">
                  <w:pPr>
                    <w:pStyle w:val="68"/>
                    <w:jc w:val="center"/>
                    <w:rPr>
                      <w:rFonts w:hint="default" w:ascii="Times New Roman" w:hAnsi="Times New Roman" w:eastAsia="宋体" w:cs="Times New Roman"/>
                      <w:color w:val="auto"/>
                      <w:sz w:val="21"/>
                      <w:szCs w:val="21"/>
                      <w:lang w:val="en-US" w:eastAsia="zh-CN"/>
                    </w:rPr>
                  </w:pPr>
                </w:p>
              </w:tc>
              <w:tc>
                <w:tcPr>
                  <w:tcW w:w="359" w:type="pct"/>
                  <w:tcBorders>
                    <w:tl2br w:val="nil"/>
                    <w:tr2bl w:val="nil"/>
                  </w:tcBorders>
                  <w:noWrap w:val="0"/>
                  <w:vAlign w:val="center"/>
                </w:tcPr>
                <w:p w14:paraId="35EDA254">
                  <w:pPr>
                    <w:pStyle w:val="68"/>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623" w:type="pct"/>
                  <w:tcBorders>
                    <w:tl2br w:val="nil"/>
                    <w:tr2bl w:val="nil"/>
                  </w:tcBorders>
                  <w:noWrap w:val="0"/>
                  <w:vAlign w:val="center"/>
                </w:tcPr>
                <w:p w14:paraId="7F6CECCA">
                  <w:pPr>
                    <w:pStyle w:val="68"/>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2.88</w:t>
                  </w:r>
                </w:p>
              </w:tc>
              <w:tc>
                <w:tcPr>
                  <w:tcW w:w="1035" w:type="dxa"/>
                  <w:tcBorders>
                    <w:tl2br w:val="nil"/>
                    <w:tr2bl w:val="nil"/>
                  </w:tcBorders>
                  <w:noWrap w:val="0"/>
                  <w:vAlign w:val="center"/>
                </w:tcPr>
                <w:p w14:paraId="2C383784">
                  <w:pPr>
                    <w:pStyle w:val="68"/>
                    <w:jc w:val="center"/>
                    <w:rPr>
                      <w:rFonts w:hint="default" w:cs="Times New Roman"/>
                      <w:color w:val="auto"/>
                      <w:sz w:val="21"/>
                      <w:szCs w:val="21"/>
                      <w:lang w:val="en-US" w:eastAsia="zh-CN"/>
                    </w:rPr>
                  </w:pPr>
                  <w:r>
                    <w:rPr>
                      <w:rFonts w:hint="eastAsia" w:cs="Times New Roman"/>
                      <w:color w:val="auto"/>
                      <w:sz w:val="21"/>
                      <w:szCs w:val="21"/>
                      <w:lang w:val="en-US" w:eastAsia="zh-CN"/>
                    </w:rPr>
                    <w:t>0.0006</w:t>
                  </w:r>
                </w:p>
              </w:tc>
              <w:tc>
                <w:tcPr>
                  <w:tcW w:w="647" w:type="pct"/>
                  <w:tcBorders>
                    <w:tl2br w:val="nil"/>
                    <w:tr2bl w:val="nil"/>
                  </w:tcBorders>
                  <w:shd w:val="clear" w:color="auto" w:fill="auto"/>
                  <w:noWrap w:val="0"/>
                  <w:vAlign w:val="center"/>
                </w:tcPr>
                <w:p w14:paraId="7CAA99A7">
                  <w:pPr>
                    <w:pStyle w:val="68"/>
                    <w:rPr>
                      <w:rFonts w:hint="eastAsia" w:ascii="Times New Roman" w:hAnsi="Times New Roman" w:eastAsia="宋体" w:cs="Times New Roman"/>
                      <w:color w:val="auto"/>
                      <w:sz w:val="21"/>
                      <w:szCs w:val="21"/>
                      <w:lang w:val="en-US" w:eastAsia="zh-CN" w:bidi="ar-SA"/>
                    </w:rPr>
                  </w:pPr>
                  <w:r>
                    <w:rPr>
                      <w:rFonts w:hint="eastAsia"/>
                      <w:color w:val="auto"/>
                      <w:szCs w:val="21"/>
                    </w:rPr>
                    <w:t>/</w:t>
                  </w:r>
                </w:p>
              </w:tc>
              <w:tc>
                <w:tcPr>
                  <w:tcW w:w="862" w:type="pct"/>
                  <w:tcBorders>
                    <w:tl2br w:val="nil"/>
                    <w:tr2bl w:val="nil"/>
                  </w:tcBorders>
                  <w:shd w:val="clear" w:color="auto" w:fill="auto"/>
                  <w:noWrap w:val="0"/>
                  <w:vAlign w:val="center"/>
                </w:tcPr>
                <w:p w14:paraId="7017D5BE">
                  <w:pPr>
                    <w:pStyle w:val="68"/>
                    <w:rPr>
                      <w:rFonts w:hint="eastAsia" w:ascii="Times New Roman" w:hAnsi="Times New Roman" w:eastAsia="宋体" w:cs="Times New Roman"/>
                      <w:color w:val="auto"/>
                      <w:sz w:val="21"/>
                      <w:szCs w:val="21"/>
                      <w:lang w:val="en-US" w:eastAsia="zh-CN" w:bidi="ar-SA"/>
                    </w:rPr>
                  </w:pPr>
                  <w:r>
                    <w:rPr>
                      <w:rFonts w:hint="eastAsia"/>
                      <w:color w:val="auto"/>
                      <w:szCs w:val="21"/>
                    </w:rPr>
                    <w:t>8</w:t>
                  </w:r>
                </w:p>
              </w:tc>
            </w:tr>
          </w:tbl>
          <w:p w14:paraId="227018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lang w:val="en-US" w:eastAsia="zh-CN"/>
              </w:rPr>
            </w:pPr>
            <w:r>
              <w:rPr>
                <w:bCs/>
                <w:color w:val="auto"/>
                <w:sz w:val="24"/>
              </w:rPr>
              <w:t>由上表可知，产生的</w:t>
            </w:r>
            <w:r>
              <w:rPr>
                <w:rFonts w:hint="eastAsia"/>
                <w:bCs/>
                <w:color w:val="auto"/>
                <w:sz w:val="24"/>
              </w:rPr>
              <w:t>污水</w:t>
            </w:r>
            <w:r>
              <w:rPr>
                <w:bCs/>
                <w:color w:val="auto"/>
                <w:sz w:val="24"/>
              </w:rPr>
              <w:t>经过</w:t>
            </w:r>
            <w:r>
              <w:rPr>
                <w:rFonts w:hint="eastAsia"/>
                <w:bCs/>
                <w:color w:val="auto"/>
                <w:sz w:val="24"/>
                <w:lang w:val="en-US" w:eastAsia="zh-CN"/>
              </w:rPr>
              <w:t>园区</w:t>
            </w:r>
            <w:r>
              <w:rPr>
                <w:rFonts w:hint="eastAsia"/>
                <w:bCs/>
                <w:color w:val="auto"/>
                <w:sz w:val="24"/>
              </w:rPr>
              <w:t>化粪池</w:t>
            </w:r>
            <w:r>
              <w:rPr>
                <w:bCs/>
                <w:color w:val="auto"/>
                <w:sz w:val="24"/>
              </w:rPr>
              <w:t>处理后能够达到《污水综合排放标准》（GB8978-1996）表4三级标准及《污水排入城镇下水道水质标准》（GB/T31962-2015）表1</w:t>
            </w:r>
            <w:r>
              <w:rPr>
                <w:rFonts w:hint="eastAsia"/>
                <w:bCs/>
                <w:color w:val="auto"/>
                <w:sz w:val="24"/>
              </w:rPr>
              <w:t>A</w:t>
            </w:r>
            <w:r>
              <w:rPr>
                <w:bCs/>
                <w:color w:val="auto"/>
                <w:sz w:val="24"/>
              </w:rPr>
              <w:t>级标准</w:t>
            </w:r>
            <w:r>
              <w:rPr>
                <w:rFonts w:hint="eastAsia"/>
                <w:bCs/>
                <w:color w:val="auto"/>
                <w:sz w:val="24"/>
              </w:rPr>
              <w:t>。</w:t>
            </w:r>
          </w:p>
          <w:p w14:paraId="5679B8CC">
            <w:pPr>
              <w:numPr>
                <w:ilvl w:val="0"/>
                <w:numId w:val="0"/>
              </w:numPr>
              <w:adjustRightInd w:val="0"/>
              <w:snapToGrid w:val="0"/>
              <w:spacing w:line="360" w:lineRule="auto"/>
              <w:rPr>
                <w:rFonts w:hint="default" w:ascii="Times New Roman" w:hAnsi="Times New Roman" w:cs="Times New Roman"/>
                <w:b/>
                <w:bCs w:val="0"/>
                <w:color w:val="auto"/>
                <w:spacing w:val="0"/>
                <w:sz w:val="24"/>
                <w:szCs w:val="24"/>
                <w:lang w:val="en-US" w:eastAsia="zh-CN"/>
              </w:rPr>
            </w:pPr>
            <w:r>
              <w:rPr>
                <w:rFonts w:hint="default" w:ascii="Times New Roman" w:hAnsi="Times New Roman" w:cs="Times New Roman"/>
                <w:b/>
                <w:bCs w:val="0"/>
                <w:color w:val="auto"/>
                <w:spacing w:val="0"/>
                <w:sz w:val="24"/>
                <w:szCs w:val="24"/>
                <w:lang w:val="en-US" w:eastAsia="zh-CN"/>
              </w:rPr>
              <w:t>2.2排放口基本情况及监测计划</w:t>
            </w:r>
          </w:p>
          <w:p w14:paraId="139C9625">
            <w:pPr>
              <w:adjustRightInd w:val="0"/>
              <w:snapToGrid w:val="0"/>
              <w:spacing w:line="360" w:lineRule="auto"/>
              <w:ind w:firstLine="480" w:firstLineChars="200"/>
              <w:rPr>
                <w:rFonts w:hint="eastAsia" w:eastAsia="宋体"/>
                <w:color w:val="auto"/>
                <w:sz w:val="24"/>
                <w:lang w:eastAsia="zh-CN"/>
              </w:rPr>
            </w:pPr>
            <w:r>
              <w:rPr>
                <w:color w:val="auto"/>
                <w:sz w:val="24"/>
              </w:rPr>
              <w:t>本项目</w:t>
            </w:r>
            <w:r>
              <w:rPr>
                <w:rFonts w:hint="eastAsia"/>
                <w:color w:val="auto"/>
                <w:sz w:val="24"/>
              </w:rPr>
              <w:t>废水监测计划见下表所示</w:t>
            </w:r>
            <w:r>
              <w:rPr>
                <w:rFonts w:hint="eastAsia"/>
                <w:color w:val="auto"/>
                <w:sz w:val="24"/>
                <w:lang w:eastAsia="zh-CN"/>
              </w:rPr>
              <w:t>，</w:t>
            </w:r>
            <w:r>
              <w:rPr>
                <w:rFonts w:hint="eastAsia"/>
                <w:color w:val="auto"/>
                <w:sz w:val="24"/>
                <w:highlight w:val="none"/>
                <w:lang w:val="en-US" w:eastAsia="zh-CN"/>
              </w:rPr>
              <w:t>本项目废水排口为园区内废水排口，属于多家企业共同的排放口，废水监测纳入园区内废水监测计划中。</w:t>
            </w:r>
          </w:p>
          <w:p w14:paraId="49EAEFFF">
            <w:pPr>
              <w:adjustRightInd w:val="0"/>
              <w:snapToGrid w:val="0"/>
              <w:jc w:val="center"/>
              <w:rPr>
                <w:color w:val="auto"/>
                <w:sz w:val="24"/>
                <w:szCs w:val="20"/>
              </w:rPr>
            </w:pPr>
            <w:r>
              <w:rPr>
                <w:b/>
                <w:color w:val="auto"/>
                <w:sz w:val="24"/>
              </w:rPr>
              <w:t>表4-</w:t>
            </w:r>
            <w:r>
              <w:rPr>
                <w:rFonts w:hint="eastAsia"/>
                <w:b/>
                <w:color w:val="auto"/>
                <w:sz w:val="24"/>
                <w:lang w:val="en-US" w:eastAsia="zh-CN"/>
              </w:rPr>
              <w:t>8</w:t>
            </w:r>
            <w:r>
              <w:rPr>
                <w:b/>
                <w:color w:val="auto"/>
                <w:sz w:val="24"/>
              </w:rPr>
              <w:t xml:space="preserve">  </w:t>
            </w:r>
            <w:r>
              <w:rPr>
                <w:rFonts w:hint="eastAsia"/>
                <w:b/>
                <w:color w:val="auto"/>
                <w:sz w:val="24"/>
              </w:rPr>
              <w:t>运营期废水监测一览表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57"/>
              <w:gridCol w:w="1722"/>
              <w:gridCol w:w="1202"/>
              <w:gridCol w:w="3940"/>
            </w:tblGrid>
            <w:tr w14:paraId="01B08A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pct"/>
                  <w:tcBorders>
                    <w:tl2br w:val="nil"/>
                    <w:tr2bl w:val="nil"/>
                  </w:tcBorders>
                  <w:noWrap w:val="0"/>
                  <w:vAlign w:val="center"/>
                </w:tcPr>
                <w:p w14:paraId="1ABBDE0C">
                  <w:pPr>
                    <w:adjustRightInd w:val="0"/>
                    <w:snapToGrid w:val="0"/>
                    <w:jc w:val="center"/>
                    <w:rPr>
                      <w:b/>
                      <w:bCs w:val="0"/>
                      <w:color w:val="auto"/>
                      <w:kern w:val="21"/>
                      <w:szCs w:val="21"/>
                    </w:rPr>
                  </w:pPr>
                  <w:r>
                    <w:rPr>
                      <w:b/>
                      <w:bCs w:val="0"/>
                      <w:color w:val="auto"/>
                      <w:kern w:val="21"/>
                      <w:szCs w:val="21"/>
                    </w:rPr>
                    <w:t>监测点位</w:t>
                  </w:r>
                </w:p>
              </w:tc>
              <w:tc>
                <w:tcPr>
                  <w:tcW w:w="1047" w:type="pct"/>
                  <w:tcBorders>
                    <w:tl2br w:val="nil"/>
                    <w:tr2bl w:val="nil"/>
                  </w:tcBorders>
                  <w:noWrap w:val="0"/>
                  <w:vAlign w:val="center"/>
                </w:tcPr>
                <w:p w14:paraId="047C9DD2">
                  <w:pPr>
                    <w:adjustRightInd w:val="0"/>
                    <w:snapToGrid w:val="0"/>
                    <w:jc w:val="center"/>
                    <w:rPr>
                      <w:b/>
                      <w:bCs w:val="0"/>
                      <w:color w:val="auto"/>
                      <w:szCs w:val="21"/>
                    </w:rPr>
                  </w:pPr>
                  <w:r>
                    <w:rPr>
                      <w:rFonts w:hint="eastAsia"/>
                      <w:b/>
                      <w:bCs w:val="0"/>
                      <w:color w:val="auto"/>
                      <w:kern w:val="21"/>
                      <w:szCs w:val="21"/>
                    </w:rPr>
                    <w:t>监测因子</w:t>
                  </w:r>
                </w:p>
              </w:tc>
              <w:tc>
                <w:tcPr>
                  <w:tcW w:w="731" w:type="pct"/>
                  <w:tcBorders>
                    <w:tl2br w:val="nil"/>
                    <w:tr2bl w:val="nil"/>
                  </w:tcBorders>
                  <w:noWrap w:val="0"/>
                  <w:vAlign w:val="center"/>
                </w:tcPr>
                <w:p w14:paraId="461CC732">
                  <w:pPr>
                    <w:adjustRightInd w:val="0"/>
                    <w:snapToGrid w:val="0"/>
                    <w:jc w:val="center"/>
                    <w:rPr>
                      <w:b/>
                      <w:bCs w:val="0"/>
                      <w:color w:val="auto"/>
                      <w:szCs w:val="21"/>
                    </w:rPr>
                  </w:pPr>
                  <w:r>
                    <w:rPr>
                      <w:b/>
                      <w:bCs w:val="0"/>
                      <w:color w:val="auto"/>
                      <w:kern w:val="21"/>
                      <w:szCs w:val="21"/>
                    </w:rPr>
                    <w:t>监测频次</w:t>
                  </w:r>
                </w:p>
              </w:tc>
              <w:tc>
                <w:tcPr>
                  <w:tcW w:w="2395" w:type="pct"/>
                  <w:tcBorders>
                    <w:tl2br w:val="nil"/>
                    <w:tr2bl w:val="nil"/>
                  </w:tcBorders>
                  <w:noWrap w:val="0"/>
                  <w:vAlign w:val="center"/>
                </w:tcPr>
                <w:p w14:paraId="4800E50A">
                  <w:pPr>
                    <w:adjustRightInd w:val="0"/>
                    <w:snapToGrid w:val="0"/>
                    <w:jc w:val="center"/>
                    <w:rPr>
                      <w:b/>
                      <w:bCs w:val="0"/>
                      <w:color w:val="auto"/>
                      <w:kern w:val="21"/>
                      <w:szCs w:val="21"/>
                    </w:rPr>
                  </w:pPr>
                  <w:r>
                    <w:rPr>
                      <w:rFonts w:hint="eastAsia"/>
                      <w:b/>
                      <w:bCs w:val="0"/>
                      <w:color w:val="auto"/>
                      <w:kern w:val="21"/>
                      <w:szCs w:val="21"/>
                    </w:rPr>
                    <w:t>控制指标</w:t>
                  </w:r>
                </w:p>
              </w:tc>
            </w:tr>
            <w:tr w14:paraId="23986B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pct"/>
                  <w:tcBorders>
                    <w:tl2br w:val="nil"/>
                    <w:tr2bl w:val="nil"/>
                  </w:tcBorders>
                  <w:noWrap w:val="0"/>
                  <w:vAlign w:val="center"/>
                </w:tcPr>
                <w:p w14:paraId="17A38436">
                  <w:pPr>
                    <w:adjustRightInd w:val="0"/>
                    <w:snapToGrid w:val="0"/>
                    <w:jc w:val="center"/>
                    <w:rPr>
                      <w:color w:val="auto"/>
                      <w:szCs w:val="21"/>
                    </w:rPr>
                  </w:pPr>
                  <w:r>
                    <w:rPr>
                      <w:rFonts w:hint="eastAsia"/>
                      <w:color w:val="auto"/>
                      <w:szCs w:val="21"/>
                    </w:rPr>
                    <w:t>总排口DW001</w:t>
                  </w:r>
                </w:p>
              </w:tc>
              <w:tc>
                <w:tcPr>
                  <w:tcW w:w="1047" w:type="pct"/>
                  <w:tcBorders>
                    <w:tl2br w:val="nil"/>
                    <w:tr2bl w:val="nil"/>
                  </w:tcBorders>
                  <w:noWrap w:val="0"/>
                  <w:vAlign w:val="center"/>
                </w:tcPr>
                <w:p w14:paraId="2269B93F">
                  <w:pPr>
                    <w:pStyle w:val="68"/>
                    <w:rPr>
                      <w:color w:val="auto"/>
                      <w:szCs w:val="21"/>
                    </w:rPr>
                  </w:pPr>
                  <w:r>
                    <w:rPr>
                      <w:rFonts w:hint="eastAsia"/>
                      <w:color w:val="auto"/>
                      <w:lang w:val="en-US" w:eastAsia="zh-CN"/>
                    </w:rPr>
                    <w:t>pH值、</w:t>
                  </w:r>
                  <w:r>
                    <w:rPr>
                      <w:rFonts w:hint="eastAsia"/>
                      <w:color w:val="auto"/>
                    </w:rPr>
                    <w:t>COD、BOD</w:t>
                  </w:r>
                  <w:r>
                    <w:rPr>
                      <w:rFonts w:hint="eastAsia"/>
                      <w:color w:val="auto"/>
                      <w:vertAlign w:val="subscript"/>
                    </w:rPr>
                    <w:t>5</w:t>
                  </w:r>
                  <w:r>
                    <w:rPr>
                      <w:rFonts w:hint="eastAsia"/>
                      <w:color w:val="auto"/>
                    </w:rPr>
                    <w:t>、SS、NH</w:t>
                  </w:r>
                  <w:r>
                    <w:rPr>
                      <w:rFonts w:hint="eastAsia"/>
                      <w:color w:val="auto"/>
                      <w:vertAlign w:val="subscript"/>
                    </w:rPr>
                    <w:t>3</w:t>
                  </w:r>
                  <w:r>
                    <w:rPr>
                      <w:rFonts w:hint="eastAsia"/>
                      <w:color w:val="auto"/>
                    </w:rPr>
                    <w:t>-N、TN、TP</w:t>
                  </w:r>
                </w:p>
              </w:tc>
              <w:tc>
                <w:tcPr>
                  <w:tcW w:w="731" w:type="pct"/>
                  <w:tcBorders>
                    <w:tl2br w:val="nil"/>
                    <w:tr2bl w:val="nil"/>
                  </w:tcBorders>
                  <w:noWrap w:val="0"/>
                  <w:vAlign w:val="center"/>
                </w:tcPr>
                <w:p w14:paraId="2BA86BAD">
                  <w:pPr>
                    <w:adjustRightInd w:val="0"/>
                    <w:snapToGrid w:val="0"/>
                    <w:jc w:val="center"/>
                    <w:rPr>
                      <w:color w:val="auto"/>
                      <w:szCs w:val="21"/>
                    </w:rPr>
                  </w:pPr>
                  <w:r>
                    <w:rPr>
                      <w:color w:val="auto"/>
                      <w:szCs w:val="21"/>
                    </w:rPr>
                    <w:t>1次/</w:t>
                  </w:r>
                  <w:r>
                    <w:rPr>
                      <w:rFonts w:hint="eastAsia"/>
                      <w:color w:val="auto"/>
                      <w:szCs w:val="21"/>
                    </w:rPr>
                    <w:t>年</w:t>
                  </w:r>
                </w:p>
              </w:tc>
              <w:tc>
                <w:tcPr>
                  <w:tcW w:w="2395" w:type="pct"/>
                  <w:tcBorders>
                    <w:tl2br w:val="nil"/>
                    <w:tr2bl w:val="nil"/>
                  </w:tcBorders>
                  <w:noWrap w:val="0"/>
                  <w:vAlign w:val="center"/>
                </w:tcPr>
                <w:p w14:paraId="58CAFDF0">
                  <w:pPr>
                    <w:adjustRightInd w:val="0"/>
                    <w:snapToGrid w:val="0"/>
                    <w:jc w:val="center"/>
                    <w:rPr>
                      <w:color w:val="auto"/>
                      <w:szCs w:val="21"/>
                    </w:rPr>
                  </w:pPr>
                  <w:r>
                    <w:rPr>
                      <w:color w:val="auto"/>
                    </w:rPr>
                    <w:t>《污水综合排放标准》（GB8978-1996）三级标准、《污水排入城镇下水道水质标准》（GB/T 31962-2015）表1</w:t>
                  </w:r>
                  <w:r>
                    <w:rPr>
                      <w:rFonts w:hint="eastAsia"/>
                      <w:color w:val="auto"/>
                    </w:rPr>
                    <w:t>A</w:t>
                  </w:r>
                  <w:r>
                    <w:rPr>
                      <w:color w:val="auto"/>
                    </w:rPr>
                    <w:t>级标准</w:t>
                  </w:r>
                </w:p>
              </w:tc>
            </w:tr>
          </w:tbl>
          <w:p w14:paraId="037C0FB0">
            <w:pPr>
              <w:numPr>
                <w:ilvl w:val="0"/>
                <w:numId w:val="0"/>
              </w:numPr>
              <w:adjustRightInd w:val="0"/>
              <w:snapToGrid w:val="0"/>
              <w:spacing w:line="360" w:lineRule="auto"/>
              <w:rPr>
                <w:rFonts w:hint="default" w:ascii="Times New Roman" w:hAnsi="Times New Roman" w:cs="Times New Roman"/>
                <w:b/>
                <w:bCs w:val="0"/>
                <w:color w:val="auto"/>
                <w:spacing w:val="0"/>
                <w:sz w:val="24"/>
                <w:szCs w:val="24"/>
                <w:lang w:val="en-US" w:eastAsia="zh-CN"/>
              </w:rPr>
            </w:pPr>
            <w:r>
              <w:rPr>
                <w:rFonts w:hint="default" w:ascii="Times New Roman" w:hAnsi="Times New Roman" w:cs="Times New Roman"/>
                <w:b/>
                <w:bCs w:val="0"/>
                <w:color w:val="auto"/>
                <w:spacing w:val="0"/>
                <w:sz w:val="24"/>
                <w:szCs w:val="24"/>
                <w:lang w:val="en-US" w:eastAsia="zh-CN"/>
              </w:rPr>
              <w:t>2.3依托可行性分析</w:t>
            </w:r>
          </w:p>
          <w:p w14:paraId="0E31EA88">
            <w:pPr>
              <w:numPr>
                <w:ilvl w:val="0"/>
                <w:numId w:val="0"/>
              </w:numPr>
              <w:adjustRightInd w:val="0"/>
              <w:snapToGrid w:val="0"/>
              <w:spacing w:line="360" w:lineRule="auto"/>
              <w:rPr>
                <w:rFonts w:hint="default" w:ascii="Times New Roman" w:hAnsi="Times New Roman" w:cs="Times New Roman"/>
                <w:b/>
                <w:bCs w:val="0"/>
                <w:color w:val="auto"/>
                <w:spacing w:val="0"/>
                <w:sz w:val="24"/>
                <w:szCs w:val="24"/>
                <w:lang w:val="en-US" w:eastAsia="zh-CN"/>
              </w:rPr>
            </w:pPr>
            <w:r>
              <w:rPr>
                <w:rFonts w:hint="default" w:ascii="Times New Roman" w:hAnsi="Times New Roman" w:cs="Times New Roman"/>
                <w:b/>
                <w:bCs w:val="0"/>
                <w:color w:val="auto"/>
                <w:spacing w:val="0"/>
                <w:kern w:val="2"/>
                <w:sz w:val="24"/>
                <w:szCs w:val="24"/>
                <w:lang w:val="en-US" w:eastAsia="zh-CN" w:bidi="ar-SA"/>
              </w:rPr>
              <w:t>（1）</w:t>
            </w:r>
            <w:r>
              <w:rPr>
                <w:rFonts w:hint="default" w:ascii="Times New Roman" w:hAnsi="Times New Roman" w:cs="Times New Roman"/>
                <w:b/>
                <w:bCs w:val="0"/>
                <w:color w:val="auto"/>
                <w:spacing w:val="0"/>
                <w:sz w:val="24"/>
                <w:szCs w:val="24"/>
                <w:lang w:val="en-US" w:eastAsia="zh-CN"/>
              </w:rPr>
              <w:t>化粪池</w:t>
            </w:r>
          </w:p>
          <w:p w14:paraId="1AE85D89">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cs="Times New Roman"/>
                <w:b/>
                <w:bCs w:val="0"/>
                <w:color w:val="auto"/>
                <w:spacing w:val="0"/>
                <w:sz w:val="24"/>
                <w:szCs w:val="24"/>
                <w:lang w:val="en-US" w:eastAsia="zh-CN"/>
              </w:rPr>
            </w:pPr>
            <w:r>
              <w:rPr>
                <w:rFonts w:hint="default" w:ascii="Times New Roman" w:hAnsi="Times New Roman" w:eastAsia="宋体" w:cs="Times New Roman"/>
                <w:b w:val="0"/>
                <w:bCs w:val="0"/>
                <w:color w:val="auto"/>
                <w:sz w:val="24"/>
                <w:lang w:val="en-US" w:eastAsia="zh-CN"/>
              </w:rPr>
              <w:t>本项目位于</w:t>
            </w:r>
            <w:r>
              <w:rPr>
                <w:rFonts w:hint="default" w:ascii="Times New Roman" w:hAnsi="Times New Roman" w:eastAsia="宋体" w:cs="Times New Roman"/>
                <w:color w:val="auto"/>
                <w:sz w:val="24"/>
                <w:szCs w:val="24"/>
                <w:lang w:val="en-US" w:eastAsia="zh-CN"/>
              </w:rPr>
              <w:t>陕西省西咸新区泾河新城永乐镇泾河智造创新产业园</w:t>
            </w:r>
            <w:r>
              <w:rPr>
                <w:rFonts w:hint="default" w:ascii="Times New Roman" w:hAnsi="Times New Roman" w:eastAsia="宋体" w:cs="Times New Roman"/>
                <w:b w:val="0"/>
                <w:bCs w:val="0"/>
                <w:color w:val="auto"/>
                <w:sz w:val="24"/>
                <w:lang w:val="en-US" w:eastAsia="zh-CN"/>
              </w:rPr>
              <w:t>内，</w:t>
            </w:r>
            <w:r>
              <w:rPr>
                <w:rFonts w:hint="default" w:ascii="Times New Roman" w:hAnsi="Times New Roman" w:cs="Times New Roman"/>
                <w:color w:val="auto"/>
                <w:sz w:val="24"/>
              </w:rPr>
              <w:t>污水产生量约为</w:t>
            </w:r>
            <w:r>
              <w:rPr>
                <w:rFonts w:hint="eastAsia" w:cs="Times New Roman"/>
                <w:color w:val="auto"/>
                <w:sz w:val="24"/>
                <w:lang w:val="en-US" w:eastAsia="zh-CN"/>
              </w:rPr>
              <w:t>0.815</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r>
              <w:rPr>
                <w:rFonts w:hint="default" w:ascii="Times New Roman" w:hAnsi="Times New Roman" w:cs="Times New Roman"/>
                <w:color w:val="auto"/>
                <w:sz w:val="24"/>
                <w:lang w:eastAsia="zh-CN"/>
              </w:rPr>
              <w:t>，</w:t>
            </w:r>
            <w:r>
              <w:rPr>
                <w:rFonts w:hint="default" w:ascii="Times New Roman" w:hAnsi="Times New Roman" w:eastAsia="宋体" w:cs="Times New Roman"/>
                <w:b w:val="0"/>
                <w:bCs w:val="0"/>
                <w:color w:val="auto"/>
                <w:sz w:val="24"/>
                <w:lang w:val="en-US" w:eastAsia="zh-CN"/>
              </w:rPr>
              <w:t>项目废水依托园区化粪池处理。根据建设单位提供资料，项目园区共设置3个化粪池，容积分别为100m</w:t>
            </w:r>
            <w:r>
              <w:rPr>
                <w:rFonts w:hint="default" w:ascii="Times New Roman" w:hAnsi="Times New Roman" w:eastAsia="宋体" w:cs="Times New Roman"/>
                <w:b w:val="0"/>
                <w:bCs w:val="0"/>
                <w:color w:val="auto"/>
                <w:sz w:val="24"/>
                <w:vertAlign w:val="superscript"/>
                <w:lang w:val="en-US" w:eastAsia="zh-CN"/>
              </w:rPr>
              <w:t>3</w:t>
            </w:r>
            <w:r>
              <w:rPr>
                <w:rFonts w:hint="default" w:ascii="Times New Roman" w:hAnsi="Times New Roman" w:eastAsia="宋体" w:cs="Times New Roman"/>
                <w:b w:val="0"/>
                <w:bCs w:val="0"/>
                <w:color w:val="auto"/>
                <w:sz w:val="24"/>
                <w:lang w:val="en-US" w:eastAsia="zh-CN"/>
              </w:rPr>
              <w:t>，本项目厂区内生活污水经园区化粪池处理后进入市政污水管网。目前其他企业废水为80m</w:t>
            </w:r>
            <w:r>
              <w:rPr>
                <w:rFonts w:hint="default" w:ascii="Times New Roman" w:hAnsi="Times New Roman" w:eastAsia="宋体" w:cs="Times New Roman"/>
                <w:b w:val="0"/>
                <w:bCs w:val="0"/>
                <w:color w:val="auto"/>
                <w:sz w:val="24"/>
                <w:vertAlign w:val="superscript"/>
                <w:lang w:val="en-US" w:eastAsia="zh-CN"/>
              </w:rPr>
              <w:t>3</w:t>
            </w:r>
            <w:r>
              <w:rPr>
                <w:rFonts w:hint="default" w:ascii="Times New Roman" w:hAnsi="Times New Roman" w:eastAsia="宋体" w:cs="Times New Roman"/>
                <w:b w:val="0"/>
                <w:bCs w:val="0"/>
                <w:color w:val="auto"/>
                <w:sz w:val="24"/>
                <w:lang w:val="en-US" w:eastAsia="zh-CN"/>
              </w:rPr>
              <w:t>/d，化粪池废水剩余处理容量可满足本项目水力停留时间24h要求，因此废水依托化粪池可行。</w:t>
            </w:r>
          </w:p>
          <w:p w14:paraId="4C0F6EF5">
            <w:pPr>
              <w:numPr>
                <w:ilvl w:val="0"/>
                <w:numId w:val="0"/>
              </w:numPr>
              <w:adjustRightInd w:val="0"/>
              <w:snapToGrid w:val="0"/>
              <w:spacing w:line="360" w:lineRule="auto"/>
              <w:rPr>
                <w:rFonts w:hint="default" w:ascii="Times New Roman" w:hAnsi="Times New Roman" w:cs="Times New Roman"/>
                <w:b/>
                <w:bCs w:val="0"/>
                <w:color w:val="auto"/>
                <w:spacing w:val="0"/>
                <w:sz w:val="24"/>
                <w:szCs w:val="24"/>
                <w:lang w:val="en-US" w:eastAsia="zh-CN"/>
              </w:rPr>
            </w:pPr>
            <w:r>
              <w:rPr>
                <w:rFonts w:hint="default" w:ascii="Times New Roman" w:hAnsi="Times New Roman" w:cs="Times New Roman"/>
                <w:b/>
                <w:bCs w:val="0"/>
                <w:color w:val="auto"/>
                <w:spacing w:val="0"/>
                <w:kern w:val="2"/>
                <w:sz w:val="24"/>
                <w:szCs w:val="24"/>
                <w:lang w:val="en-US" w:eastAsia="zh-CN" w:bidi="ar-SA"/>
              </w:rPr>
              <w:t>（2）</w:t>
            </w:r>
            <w:r>
              <w:rPr>
                <w:rFonts w:hint="default" w:ascii="Times New Roman" w:hAnsi="Times New Roman" w:cs="Times New Roman"/>
                <w:b/>
                <w:bCs w:val="0"/>
                <w:color w:val="auto"/>
                <w:spacing w:val="0"/>
                <w:sz w:val="24"/>
                <w:szCs w:val="24"/>
                <w:lang w:val="en-US" w:eastAsia="zh-CN"/>
              </w:rPr>
              <w:t>污水处理厂</w:t>
            </w:r>
          </w:p>
          <w:p w14:paraId="7759412C">
            <w:pPr>
              <w:keepNext w:val="0"/>
              <w:keepLines w:val="0"/>
              <w:suppressLineNumbers w:val="0"/>
              <w:adjustRightInd w:val="0"/>
              <w:spacing w:before="0" w:beforeAutospacing="0" w:after="0" w:afterAutospacing="0" w:line="360" w:lineRule="auto"/>
              <w:ind w:right="0" w:firstLine="480" w:firstLineChars="200"/>
              <w:rPr>
                <w:rFonts w:hint="default" w:ascii="Times New Roman" w:hAnsi="Times New Roman" w:cs="Times New Roman"/>
                <w:color w:val="auto"/>
                <w:sz w:val="24"/>
                <w:szCs w:val="24"/>
                <w:shd w:val="clear" w:color="auto" w:fill="auto"/>
                <w:lang w:bidi="ar"/>
              </w:rPr>
            </w:pPr>
            <w:r>
              <w:rPr>
                <w:rFonts w:hint="default" w:ascii="Times New Roman" w:hAnsi="Times New Roman" w:cs="Times New Roman"/>
                <w:color w:val="auto"/>
                <w:sz w:val="24"/>
                <w:szCs w:val="24"/>
                <w:shd w:val="clear" w:color="auto" w:fill="auto"/>
                <w:lang w:bidi="ar"/>
              </w:rPr>
              <w:t>本项目产生的</w:t>
            </w:r>
            <w:r>
              <w:rPr>
                <w:rFonts w:hint="default" w:ascii="Times New Roman" w:hAnsi="Times New Roman" w:cs="Times New Roman"/>
                <w:color w:val="auto"/>
                <w:sz w:val="24"/>
                <w:szCs w:val="24"/>
                <w:shd w:val="clear" w:color="auto" w:fill="auto"/>
                <w:lang w:eastAsia="zh-CN" w:bidi="ar"/>
              </w:rPr>
              <w:t>生活污水</w:t>
            </w:r>
            <w:r>
              <w:rPr>
                <w:rFonts w:hint="default" w:ascii="Times New Roman" w:hAnsi="Times New Roman" w:cs="Times New Roman"/>
                <w:color w:val="auto"/>
                <w:sz w:val="24"/>
                <w:szCs w:val="24"/>
                <w:shd w:val="clear" w:color="auto" w:fill="auto"/>
                <w:lang w:bidi="ar"/>
              </w:rPr>
              <w:t>经化粪池处理后</w:t>
            </w:r>
            <w:r>
              <w:rPr>
                <w:rFonts w:hint="default" w:ascii="Times New Roman" w:hAnsi="Times New Roman" w:cs="Times New Roman"/>
                <w:color w:val="auto"/>
                <w:sz w:val="24"/>
                <w:szCs w:val="24"/>
                <w:shd w:val="clear" w:color="auto" w:fill="auto"/>
                <w:lang w:eastAsia="zh-CN" w:bidi="ar"/>
              </w:rPr>
              <w:t>满</w:t>
            </w:r>
            <w:r>
              <w:rPr>
                <w:rFonts w:hint="default" w:ascii="Times New Roman" w:hAnsi="Times New Roman" w:cs="Times New Roman"/>
                <w:color w:val="auto"/>
                <w:sz w:val="24"/>
                <w:szCs w:val="24"/>
                <w:shd w:val="clear" w:color="auto" w:fill="auto"/>
                <w:lang w:bidi="ar"/>
              </w:rPr>
              <w:t>足《污水综合排放标准》（GB8978-1996）三级标准及《污水排入城镇下水道水质标准》（GB/T31962-2015）表1中</w:t>
            </w:r>
            <w:r>
              <w:rPr>
                <w:rFonts w:hint="eastAsia" w:ascii="Times New Roman" w:hAnsi="Times New Roman" w:cs="Times New Roman"/>
                <w:color w:val="auto"/>
                <w:sz w:val="24"/>
                <w:szCs w:val="24"/>
                <w:shd w:val="clear" w:color="auto" w:fill="auto"/>
                <w:lang w:val="en-US" w:eastAsia="zh-CN" w:bidi="ar"/>
              </w:rPr>
              <w:t>A</w:t>
            </w:r>
            <w:r>
              <w:rPr>
                <w:rFonts w:hint="default" w:ascii="Times New Roman" w:hAnsi="Times New Roman" w:cs="Times New Roman"/>
                <w:color w:val="auto"/>
                <w:sz w:val="24"/>
                <w:szCs w:val="24"/>
                <w:shd w:val="clear" w:color="auto" w:fill="auto"/>
                <w:lang w:val="en-US" w:eastAsia="zh-CN" w:bidi="ar"/>
              </w:rPr>
              <w:t>级</w:t>
            </w:r>
            <w:r>
              <w:rPr>
                <w:rFonts w:hint="default" w:ascii="Times New Roman" w:hAnsi="Times New Roman" w:cs="Times New Roman"/>
                <w:color w:val="auto"/>
                <w:sz w:val="24"/>
                <w:szCs w:val="24"/>
                <w:shd w:val="clear" w:color="auto" w:fill="auto"/>
                <w:lang w:bidi="ar"/>
              </w:rPr>
              <w:t>标准后，排入城市污水管网，最终进入</w:t>
            </w:r>
            <w:r>
              <w:rPr>
                <w:rFonts w:hint="default" w:ascii="Times New Roman" w:hAnsi="Times New Roman" w:cs="Times New Roman"/>
                <w:color w:val="auto"/>
                <w:sz w:val="24"/>
                <w:szCs w:val="24"/>
                <w:shd w:val="clear" w:color="auto" w:fill="auto"/>
                <w:lang w:eastAsia="zh-CN" w:bidi="ar"/>
              </w:rPr>
              <w:t>泾河新城第二污水处理厂</w:t>
            </w:r>
            <w:r>
              <w:rPr>
                <w:rFonts w:hint="default" w:ascii="Times New Roman" w:hAnsi="Times New Roman" w:cs="Times New Roman"/>
                <w:color w:val="auto"/>
                <w:sz w:val="24"/>
                <w:szCs w:val="24"/>
                <w:shd w:val="clear" w:color="auto" w:fill="auto"/>
                <w:lang w:val="en-US" w:eastAsia="zh-CN" w:bidi="ar"/>
              </w:rPr>
              <w:t>进一步处理</w:t>
            </w:r>
            <w:r>
              <w:rPr>
                <w:rFonts w:hint="default" w:ascii="Times New Roman" w:hAnsi="Times New Roman" w:cs="Times New Roman"/>
                <w:color w:val="auto"/>
                <w:sz w:val="24"/>
                <w:szCs w:val="24"/>
                <w:shd w:val="clear" w:color="auto" w:fill="auto"/>
                <w:lang w:bidi="ar"/>
              </w:rPr>
              <w:t>。</w:t>
            </w:r>
          </w:p>
          <w:p w14:paraId="5909D843">
            <w:pPr>
              <w:numPr>
                <w:ilvl w:val="0"/>
                <w:numId w:val="0"/>
              </w:numPr>
              <w:adjustRightInd w:val="0"/>
              <w:snapToGrid w:val="0"/>
              <w:spacing w:line="360" w:lineRule="auto"/>
              <w:ind w:firstLine="480" w:firstLineChars="200"/>
              <w:rPr>
                <w:rFonts w:hint="default" w:ascii="Times New Roman" w:hAnsi="Times New Roman" w:cs="Times New Roman"/>
                <w:b/>
                <w:bCs w:val="0"/>
                <w:color w:val="auto"/>
                <w:spacing w:val="0"/>
                <w:sz w:val="24"/>
                <w:szCs w:val="24"/>
                <w:lang w:val="en-US" w:eastAsia="zh-CN"/>
              </w:rPr>
            </w:pPr>
            <w:r>
              <w:rPr>
                <w:rFonts w:hint="default" w:ascii="Times New Roman" w:hAnsi="Times New Roman" w:eastAsia="宋体" w:cs="Times New Roman"/>
                <w:color w:val="auto"/>
                <w:sz w:val="24"/>
                <w:lang w:bidi="ar"/>
              </w:rPr>
              <w:t>泾河新城第二污水处理厂（一期）项目位于泾河新城西安工业资产经营有限公司南侧，建设规模为40000m³/d，采用“粗格栅及提升泵房+细格栅+沉砂池+MBR复合工艺+二沉池+超效沉淀池+次氯酸钠消毒”，处理后尾水经消毒后排入泾河，出水水质执行《陕西省黄河流域污水综合排放标准》（DB61/224-2018）表1中A标准。本项目位于泾河新城第二污水处理厂收水范围内，废水主要是生活污水</w:t>
            </w:r>
            <w:r>
              <w:rPr>
                <w:rFonts w:hint="eastAsia" w:cs="Times New Roman"/>
                <w:color w:val="auto"/>
                <w:sz w:val="24"/>
                <w:lang w:eastAsia="zh-CN" w:bidi="ar"/>
              </w:rPr>
              <w:t>、</w:t>
            </w:r>
            <w:r>
              <w:rPr>
                <w:rFonts w:hint="eastAsia"/>
                <w:color w:val="auto"/>
                <w:sz w:val="24"/>
                <w:highlight w:val="none"/>
                <w:lang w:val="en-US" w:eastAsia="zh-CN"/>
              </w:rPr>
              <w:t>后段清洗废水及</w:t>
            </w:r>
            <w:r>
              <w:rPr>
                <w:rFonts w:hint="eastAsia"/>
                <w:color w:val="auto"/>
                <w:sz w:val="24"/>
                <w:lang w:val="en-US" w:eastAsia="zh-CN"/>
              </w:rPr>
              <w:t>纯水</w:t>
            </w:r>
            <w:r>
              <w:rPr>
                <w:rFonts w:hint="default" w:ascii="Times New Roman" w:hAnsi="Times New Roman" w:eastAsia="宋体" w:cs="Times New Roman"/>
                <w:color w:val="auto"/>
                <w:sz w:val="24"/>
                <w:szCs w:val="24"/>
                <w:highlight w:val="none"/>
              </w:rPr>
              <w:t>制备过程产生的浓水</w:t>
            </w:r>
            <w:r>
              <w:rPr>
                <w:rFonts w:hint="default" w:ascii="Times New Roman" w:hAnsi="Times New Roman" w:eastAsia="宋体" w:cs="Times New Roman"/>
                <w:color w:val="auto"/>
                <w:sz w:val="24"/>
                <w:lang w:bidi="ar"/>
              </w:rPr>
              <w:t>，水质简单，污水水量仅为</w:t>
            </w:r>
            <w:r>
              <w:rPr>
                <w:rFonts w:hint="eastAsia" w:cs="Times New Roman"/>
                <w:color w:val="auto"/>
                <w:sz w:val="24"/>
                <w:lang w:val="en-US" w:eastAsia="zh-CN" w:bidi="ar"/>
              </w:rPr>
              <w:t>0.815</w:t>
            </w:r>
            <w:r>
              <w:rPr>
                <w:rFonts w:hint="default" w:ascii="Times New Roman" w:hAnsi="Times New Roman" w:eastAsia="宋体" w:cs="Times New Roman"/>
                <w:color w:val="auto"/>
                <w:sz w:val="24"/>
                <w:lang w:bidi="ar"/>
              </w:rPr>
              <w:t>m</w:t>
            </w:r>
            <w:r>
              <w:rPr>
                <w:rFonts w:hint="default" w:ascii="Times New Roman" w:hAnsi="Times New Roman" w:eastAsia="宋体" w:cs="Times New Roman"/>
                <w:color w:val="auto"/>
                <w:sz w:val="24"/>
                <w:vertAlign w:val="superscript"/>
                <w:lang w:bidi="ar"/>
              </w:rPr>
              <w:t>3</w:t>
            </w:r>
            <w:r>
              <w:rPr>
                <w:rFonts w:hint="default" w:ascii="Times New Roman" w:hAnsi="Times New Roman" w:eastAsia="宋体" w:cs="Times New Roman"/>
                <w:color w:val="auto"/>
                <w:sz w:val="24"/>
                <w:lang w:bidi="ar"/>
              </w:rPr>
              <w:t>/d，排放量较小，排入泾河新城第二污水处理厂后不会对其正常运行产生冲击，依托可行。</w:t>
            </w:r>
          </w:p>
          <w:p w14:paraId="4E764B26">
            <w:pPr>
              <w:numPr>
                <w:ilvl w:val="0"/>
                <w:numId w:val="0"/>
              </w:numPr>
              <w:adjustRightInd w:val="0"/>
              <w:snapToGrid w:val="0"/>
              <w:spacing w:line="360" w:lineRule="auto"/>
              <w:rPr>
                <w:rFonts w:hint="default" w:ascii="Times New Roman" w:hAnsi="Times New Roman" w:cs="Times New Roman"/>
                <w:b/>
                <w:bCs w:val="0"/>
                <w:color w:val="auto"/>
                <w:spacing w:val="0"/>
                <w:sz w:val="24"/>
                <w:szCs w:val="24"/>
                <w:lang w:val="en-US" w:eastAsia="zh-CN"/>
              </w:rPr>
            </w:pPr>
            <w:r>
              <w:rPr>
                <w:rFonts w:hint="eastAsia" w:ascii="Times New Roman" w:hAnsi="Times New Roman" w:cs="Times New Roman"/>
                <w:b/>
                <w:bCs w:val="0"/>
                <w:color w:val="auto"/>
                <w:spacing w:val="0"/>
                <w:sz w:val="24"/>
                <w:szCs w:val="24"/>
                <w:lang w:val="en-US" w:eastAsia="zh-CN"/>
              </w:rPr>
              <w:t>3、</w:t>
            </w:r>
            <w:r>
              <w:rPr>
                <w:rFonts w:hint="default" w:ascii="Times New Roman" w:hAnsi="Times New Roman" w:cs="Times New Roman"/>
                <w:b/>
                <w:bCs w:val="0"/>
                <w:color w:val="auto"/>
                <w:spacing w:val="0"/>
                <w:sz w:val="24"/>
                <w:szCs w:val="24"/>
                <w:lang w:val="en-US" w:eastAsia="zh-CN"/>
              </w:rPr>
              <w:t>噪声</w:t>
            </w:r>
          </w:p>
          <w:p w14:paraId="4764C671">
            <w:pPr>
              <w:numPr>
                <w:ilvl w:val="0"/>
                <w:numId w:val="0"/>
              </w:numPr>
              <w:adjustRightInd w:val="0"/>
              <w:snapToGrid w:val="0"/>
              <w:spacing w:line="360" w:lineRule="auto"/>
              <w:rPr>
                <w:rFonts w:hint="default" w:ascii="Times New Roman" w:hAnsi="Times New Roman" w:eastAsia="宋体" w:cs="Times New Roman"/>
                <w:b/>
                <w:bCs w:val="0"/>
                <w:color w:val="auto"/>
                <w:spacing w:val="0"/>
                <w:sz w:val="24"/>
                <w:szCs w:val="24"/>
                <w:lang w:val="en-US" w:eastAsia="zh-CN"/>
              </w:rPr>
            </w:pPr>
            <w:r>
              <w:rPr>
                <w:rFonts w:hint="eastAsia" w:ascii="Times New Roman" w:hAnsi="Times New Roman" w:eastAsia="宋体" w:cs="Times New Roman"/>
                <w:b/>
                <w:bCs w:val="0"/>
                <w:color w:val="auto"/>
                <w:spacing w:val="0"/>
                <w:sz w:val="24"/>
                <w:szCs w:val="24"/>
                <w:lang w:val="en-US" w:eastAsia="zh-CN"/>
              </w:rPr>
              <w:t>3.1</w:t>
            </w:r>
            <w:r>
              <w:rPr>
                <w:rFonts w:hint="default" w:ascii="Times New Roman" w:hAnsi="Times New Roman" w:eastAsia="宋体" w:cs="Times New Roman"/>
                <w:b/>
                <w:bCs w:val="0"/>
                <w:color w:val="auto"/>
                <w:spacing w:val="0"/>
                <w:sz w:val="24"/>
                <w:szCs w:val="24"/>
                <w:lang w:val="en-US" w:eastAsia="zh-CN"/>
              </w:rPr>
              <w:t>噪声源强</w:t>
            </w:r>
          </w:p>
          <w:p w14:paraId="67299F84">
            <w:pPr>
              <w:numPr>
                <w:ilvl w:val="0"/>
                <w:numId w:val="0"/>
              </w:numPr>
              <w:adjustRightInd w:val="0"/>
              <w:snapToGrid w:val="0"/>
              <w:spacing w:line="360" w:lineRule="auto"/>
              <w:ind w:firstLine="480" w:firstLineChars="200"/>
              <w:jc w:val="both"/>
              <w:rPr>
                <w:rFonts w:hint="default" w:ascii="Times New Roman" w:hAnsi="Times New Roman" w:cs="Times New Roman"/>
                <w:bCs/>
                <w:color w:val="auto"/>
                <w:spacing w:val="0"/>
                <w:sz w:val="24"/>
                <w:szCs w:val="24"/>
                <w:lang w:val="en-US" w:eastAsia="zh-CN"/>
              </w:rPr>
            </w:pPr>
            <w:r>
              <w:rPr>
                <w:color w:val="auto"/>
                <w:sz w:val="24"/>
              </w:rPr>
              <w:t>项目噪声主要是</w:t>
            </w:r>
            <w:r>
              <w:rPr>
                <w:rFonts w:hint="eastAsia"/>
                <w:color w:val="auto"/>
                <w:sz w:val="24"/>
                <w:lang w:val="en-US" w:eastAsia="zh-CN"/>
              </w:rPr>
              <w:t>生产</w:t>
            </w:r>
            <w:r>
              <w:rPr>
                <w:color w:val="auto"/>
                <w:sz w:val="24"/>
              </w:rPr>
              <w:t>设备运转时产生的设备噪声，主要设备为</w:t>
            </w:r>
            <w:r>
              <w:rPr>
                <w:rFonts w:hint="eastAsia"/>
                <w:color w:val="auto"/>
                <w:sz w:val="24"/>
                <w:lang w:val="en-US" w:eastAsia="zh-CN"/>
              </w:rPr>
              <w:t>精密视觉裁切机、卷材涂布机、伺服热压机</w:t>
            </w:r>
            <w:r>
              <w:rPr>
                <w:color w:val="auto"/>
                <w:sz w:val="24"/>
              </w:rPr>
              <w:t>等，坐标原点</w:t>
            </w:r>
            <w:r>
              <w:rPr>
                <w:rFonts w:hint="eastAsia"/>
                <w:color w:val="auto"/>
                <w:sz w:val="24"/>
              </w:rPr>
              <w:t>为</w:t>
            </w:r>
            <w:r>
              <w:rPr>
                <w:rFonts w:hint="eastAsia"/>
                <w:color w:val="auto"/>
                <w:sz w:val="24"/>
                <w:lang w:val="en-US" w:eastAsia="zh-CN"/>
              </w:rPr>
              <w:t>项目</w:t>
            </w:r>
            <w:r>
              <w:rPr>
                <w:rFonts w:hint="eastAsia"/>
                <w:color w:val="auto"/>
                <w:sz w:val="24"/>
              </w:rPr>
              <w:t>西南角（东经108.95768702°，北纬34.53577504</w:t>
            </w:r>
            <w:r>
              <w:rPr>
                <w:rFonts w:hint="eastAsia"/>
                <w:color w:val="auto"/>
                <w:sz w:val="24"/>
                <w:lang w:val="en-US" w:eastAsia="zh-CN"/>
              </w:rPr>
              <w:t>°</w:t>
            </w:r>
            <w:r>
              <w:rPr>
                <w:rFonts w:hint="eastAsia"/>
                <w:color w:val="auto"/>
                <w:sz w:val="24"/>
              </w:rPr>
              <w:t>）</w:t>
            </w:r>
            <w:r>
              <w:rPr>
                <w:color w:val="auto"/>
                <w:sz w:val="24"/>
              </w:rPr>
              <w:t>，</w:t>
            </w:r>
            <w:r>
              <w:rPr>
                <w:rFonts w:hint="eastAsia"/>
                <w:color w:val="auto"/>
                <w:sz w:val="24"/>
              </w:rPr>
              <w:t>主要</w:t>
            </w:r>
            <w:r>
              <w:rPr>
                <w:color w:val="auto"/>
                <w:sz w:val="24"/>
              </w:rPr>
              <w:t>生产设备噪声源强见下表。</w:t>
            </w:r>
          </w:p>
        </w:tc>
      </w:tr>
    </w:tbl>
    <w:p w14:paraId="160548BA">
      <w:pPr>
        <w:adjustRightInd w:val="0"/>
        <w:snapToGrid w:val="0"/>
        <w:spacing w:line="360" w:lineRule="auto"/>
        <w:rPr>
          <w:rFonts w:hint="default" w:ascii="Times New Roman" w:hAnsi="Times New Roman" w:cs="Times New Roman"/>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6"/>
        <w:tblW w:w="1367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40"/>
        <w:gridCol w:w="13433"/>
      </w:tblGrid>
      <w:tr w14:paraId="44880D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51" w:hRule="atLeast"/>
          <w:jc w:val="center"/>
        </w:trPr>
        <w:tc>
          <w:tcPr>
            <w:tcW w:w="240" w:type="dxa"/>
            <w:noWrap w:val="0"/>
            <w:tcMar>
              <w:left w:w="28" w:type="dxa"/>
              <w:right w:w="28" w:type="dxa"/>
            </w:tcMar>
            <w:vAlign w:val="center"/>
          </w:tcPr>
          <w:p w14:paraId="1E50813A">
            <w:pPr>
              <w:pStyle w:val="23"/>
              <w:adjustRightInd w:val="0"/>
              <w:snapToGrid w:val="0"/>
              <w:spacing w:before="0" w:beforeAutospacing="0" w:after="0" w:afterAutospacing="0"/>
              <w:jc w:val="center"/>
              <w:rPr>
                <w:rFonts w:hint="default" w:ascii="Times New Roman" w:hAnsi="Times New Roman" w:cs="Times New Roman"/>
                <w:bCs/>
                <w:kern w:val="2"/>
                <w:sz w:val="24"/>
                <w:szCs w:val="24"/>
              </w:rPr>
            </w:pPr>
          </w:p>
        </w:tc>
        <w:tc>
          <w:tcPr>
            <w:tcW w:w="13433" w:type="dxa"/>
            <w:noWrap w:val="0"/>
            <w:vAlign w:val="top"/>
          </w:tcPr>
          <w:p w14:paraId="4AFCBA6B">
            <w:pPr>
              <w:spacing w:line="240" w:lineRule="auto"/>
              <w:jc w:val="center"/>
              <w:rPr>
                <w:rFonts w:hint="default" w:ascii="Times New Roman" w:hAnsi="Times New Roman" w:eastAsia="宋体" w:cs="Times New Roman"/>
                <w:b/>
                <w:color w:val="auto"/>
                <w:kern w:val="0"/>
                <w:szCs w:val="21"/>
                <w:lang w:val="en-US" w:eastAsia="zh-CN"/>
              </w:rPr>
            </w:pPr>
            <w:r>
              <w:rPr>
                <w:b/>
                <w:bCs/>
                <w:color w:val="auto"/>
                <w:sz w:val="24"/>
              </w:rPr>
              <w:t>表4-</w:t>
            </w:r>
            <w:r>
              <w:rPr>
                <w:rFonts w:hint="eastAsia"/>
                <w:b/>
                <w:bCs/>
                <w:color w:val="auto"/>
                <w:sz w:val="24"/>
                <w:lang w:val="en-US" w:eastAsia="zh-CN"/>
              </w:rPr>
              <w:t>9</w:t>
            </w:r>
            <w:r>
              <w:rPr>
                <w:b/>
                <w:bCs/>
                <w:color w:val="auto"/>
                <w:sz w:val="24"/>
              </w:rPr>
              <w:t xml:space="preserve">  </w:t>
            </w:r>
            <w:r>
              <w:rPr>
                <w:rFonts w:hint="eastAsia"/>
                <w:b/>
                <w:bCs/>
                <w:color w:val="auto"/>
                <w:sz w:val="24"/>
              </w:rPr>
              <w:t>本项目</w:t>
            </w:r>
            <w:r>
              <w:rPr>
                <w:b/>
                <w:bCs/>
                <w:color w:val="auto"/>
                <w:sz w:val="24"/>
              </w:rPr>
              <w:t>噪声源强调查清单</w:t>
            </w:r>
            <w:r>
              <w:rPr>
                <w:rFonts w:hint="eastAsia"/>
                <w:b/>
                <w:bCs/>
                <w:color w:val="auto"/>
                <w:sz w:val="24"/>
              </w:rPr>
              <w:t>（室内）</w:t>
            </w:r>
          </w:p>
          <w:tbl>
            <w:tblPr>
              <w:tblStyle w:val="26"/>
              <w:tblW w:w="499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67"/>
              <w:gridCol w:w="247"/>
              <w:gridCol w:w="605"/>
              <w:gridCol w:w="681"/>
              <w:gridCol w:w="603"/>
              <w:gridCol w:w="423"/>
              <w:gridCol w:w="681"/>
              <w:gridCol w:w="681"/>
              <w:gridCol w:w="681"/>
              <w:gridCol w:w="537"/>
              <w:gridCol w:w="681"/>
              <w:gridCol w:w="681"/>
              <w:gridCol w:w="681"/>
              <w:gridCol w:w="681"/>
              <w:gridCol w:w="605"/>
              <w:gridCol w:w="820"/>
              <w:gridCol w:w="681"/>
              <w:gridCol w:w="681"/>
              <w:gridCol w:w="681"/>
              <w:gridCol w:w="686"/>
              <w:gridCol w:w="307"/>
            </w:tblGrid>
            <w:tr w14:paraId="372AB5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1" w:hRule="atLeast"/>
                <w:jc w:val="center"/>
              </w:trPr>
              <w:tc>
                <w:tcPr>
                  <w:tcW w:w="328" w:type="pct"/>
                  <w:vMerge w:val="restart"/>
                  <w:tcBorders>
                    <w:tl2br w:val="nil"/>
                    <w:tr2bl w:val="nil"/>
                  </w:tcBorders>
                  <w:noWrap w:val="0"/>
                  <w:vAlign w:val="center"/>
                </w:tcPr>
                <w:p w14:paraId="69BB9C7E">
                  <w:pPr>
                    <w:jc w:val="center"/>
                    <w:rPr>
                      <w:b/>
                      <w:bCs/>
                      <w:color w:val="auto"/>
                      <w:szCs w:val="21"/>
                    </w:rPr>
                  </w:pPr>
                  <w:r>
                    <w:rPr>
                      <w:b/>
                      <w:bCs/>
                      <w:color w:val="auto"/>
                      <w:szCs w:val="21"/>
                    </w:rPr>
                    <w:t>声源名称</w:t>
                  </w:r>
                </w:p>
              </w:tc>
              <w:tc>
                <w:tcPr>
                  <w:tcW w:w="93" w:type="pct"/>
                  <w:vMerge w:val="restart"/>
                  <w:tcBorders>
                    <w:tl2br w:val="nil"/>
                    <w:tr2bl w:val="nil"/>
                  </w:tcBorders>
                  <w:noWrap w:val="0"/>
                  <w:vAlign w:val="center"/>
                </w:tcPr>
                <w:p w14:paraId="1BF496E1">
                  <w:pPr>
                    <w:jc w:val="center"/>
                    <w:rPr>
                      <w:rFonts w:eastAsia="Times New Roman"/>
                      <w:b/>
                      <w:bCs/>
                      <w:color w:val="auto"/>
                      <w:szCs w:val="21"/>
                      <w:lang w:bidi="zh-CN"/>
                    </w:rPr>
                  </w:pPr>
                  <w:r>
                    <w:rPr>
                      <w:b/>
                      <w:bCs/>
                      <w:color w:val="auto"/>
                      <w:szCs w:val="21"/>
                    </w:rPr>
                    <w:t>声源源强dB（A）</w:t>
                  </w:r>
                </w:p>
              </w:tc>
              <w:tc>
                <w:tcPr>
                  <w:tcW w:w="229" w:type="pct"/>
                  <w:vMerge w:val="restart"/>
                  <w:tcBorders>
                    <w:tl2br w:val="nil"/>
                    <w:tr2bl w:val="nil"/>
                  </w:tcBorders>
                  <w:noWrap w:val="0"/>
                  <w:vAlign w:val="center"/>
                </w:tcPr>
                <w:p w14:paraId="2712AFA5">
                  <w:pPr>
                    <w:adjustRightInd w:val="0"/>
                    <w:snapToGrid w:val="0"/>
                    <w:jc w:val="center"/>
                    <w:rPr>
                      <w:rFonts w:eastAsia="Times New Roman"/>
                      <w:b/>
                      <w:bCs/>
                      <w:color w:val="auto"/>
                      <w:szCs w:val="21"/>
                      <w:lang w:bidi="zh-CN"/>
                    </w:rPr>
                  </w:pPr>
                  <w:r>
                    <w:rPr>
                      <w:b/>
                      <w:bCs/>
                      <w:color w:val="auto"/>
                      <w:szCs w:val="21"/>
                    </w:rPr>
                    <w:t>声源控制</w:t>
                  </w:r>
                  <w:r>
                    <w:rPr>
                      <w:rFonts w:hint="eastAsia"/>
                      <w:b/>
                      <w:bCs/>
                      <w:color w:val="auto"/>
                      <w:szCs w:val="21"/>
                      <w:lang w:eastAsia="zh-CN"/>
                    </w:rPr>
                    <w:t>措施</w:t>
                  </w:r>
                </w:p>
              </w:tc>
              <w:tc>
                <w:tcPr>
                  <w:tcW w:w="647" w:type="pct"/>
                  <w:gridSpan w:val="3"/>
                  <w:tcBorders>
                    <w:tl2br w:val="nil"/>
                    <w:tr2bl w:val="nil"/>
                  </w:tcBorders>
                  <w:noWrap w:val="0"/>
                  <w:vAlign w:val="center"/>
                </w:tcPr>
                <w:p w14:paraId="4BDE0FAD">
                  <w:pPr>
                    <w:jc w:val="center"/>
                    <w:rPr>
                      <w:b/>
                      <w:bCs/>
                      <w:color w:val="auto"/>
                      <w:szCs w:val="21"/>
                    </w:rPr>
                  </w:pPr>
                  <w:r>
                    <w:rPr>
                      <w:b/>
                      <w:bCs/>
                      <w:color w:val="auto"/>
                      <w:szCs w:val="21"/>
                    </w:rPr>
                    <w:t>空间相对位置/m</w:t>
                  </w:r>
                </w:p>
              </w:tc>
              <w:tc>
                <w:tcPr>
                  <w:tcW w:w="977" w:type="pct"/>
                  <w:gridSpan w:val="4"/>
                  <w:tcBorders>
                    <w:tl2br w:val="nil"/>
                    <w:tr2bl w:val="nil"/>
                  </w:tcBorders>
                  <w:noWrap w:val="0"/>
                  <w:vAlign w:val="center"/>
                </w:tcPr>
                <w:p w14:paraId="1C68DBAC">
                  <w:pPr>
                    <w:adjustRightInd w:val="0"/>
                    <w:snapToGrid w:val="0"/>
                    <w:jc w:val="center"/>
                    <w:rPr>
                      <w:rFonts w:eastAsia="Times New Roman"/>
                      <w:b/>
                      <w:bCs/>
                      <w:color w:val="auto"/>
                      <w:szCs w:val="21"/>
                      <w:lang w:bidi="zh-CN"/>
                    </w:rPr>
                  </w:pPr>
                  <w:r>
                    <w:rPr>
                      <w:rFonts w:eastAsia="Times New Roman"/>
                      <w:b/>
                      <w:bCs/>
                      <w:color w:val="auto"/>
                      <w:szCs w:val="21"/>
                      <w:lang w:bidi="zh-CN"/>
                    </w:rPr>
                    <w:t>距室内边界距离</w:t>
                  </w:r>
                  <w:r>
                    <w:rPr>
                      <w:b/>
                      <w:bCs/>
                      <w:color w:val="auto"/>
                      <w:szCs w:val="21"/>
                    </w:rPr>
                    <w:t>/m</w:t>
                  </w:r>
                </w:p>
              </w:tc>
              <w:tc>
                <w:tcPr>
                  <w:tcW w:w="1032" w:type="pct"/>
                  <w:gridSpan w:val="4"/>
                  <w:tcBorders>
                    <w:tl2br w:val="nil"/>
                    <w:tr2bl w:val="nil"/>
                  </w:tcBorders>
                  <w:noWrap w:val="0"/>
                  <w:vAlign w:val="center"/>
                </w:tcPr>
                <w:p w14:paraId="72A1D206">
                  <w:pPr>
                    <w:adjustRightInd w:val="0"/>
                    <w:snapToGrid w:val="0"/>
                    <w:jc w:val="center"/>
                    <w:rPr>
                      <w:rFonts w:eastAsia="Times New Roman"/>
                      <w:b/>
                      <w:bCs/>
                      <w:color w:val="auto"/>
                      <w:szCs w:val="21"/>
                      <w:lang w:bidi="zh-CN"/>
                    </w:rPr>
                  </w:pPr>
                  <w:r>
                    <w:rPr>
                      <w:b/>
                      <w:bCs/>
                      <w:color w:val="auto"/>
                      <w:szCs w:val="21"/>
                    </w:rPr>
                    <w:t>室内边界声级/dB（A）</w:t>
                  </w:r>
                </w:p>
              </w:tc>
              <w:tc>
                <w:tcPr>
                  <w:tcW w:w="229" w:type="pct"/>
                  <w:vMerge w:val="restart"/>
                  <w:tcBorders>
                    <w:tl2br w:val="nil"/>
                    <w:tr2bl w:val="nil"/>
                  </w:tcBorders>
                  <w:noWrap w:val="0"/>
                  <w:vAlign w:val="center"/>
                </w:tcPr>
                <w:p w14:paraId="54029D88">
                  <w:pPr>
                    <w:adjustRightInd w:val="0"/>
                    <w:snapToGrid w:val="0"/>
                    <w:jc w:val="center"/>
                    <w:rPr>
                      <w:rFonts w:eastAsia="Times New Roman"/>
                      <w:b/>
                      <w:bCs/>
                      <w:color w:val="auto"/>
                      <w:szCs w:val="21"/>
                      <w:lang w:bidi="zh-CN"/>
                    </w:rPr>
                  </w:pPr>
                  <w:r>
                    <w:rPr>
                      <w:rFonts w:eastAsia="Times New Roman"/>
                      <w:b/>
                      <w:bCs/>
                      <w:color w:val="auto"/>
                      <w:szCs w:val="21"/>
                      <w:lang w:bidi="zh-CN"/>
                    </w:rPr>
                    <w:t>运行</w:t>
                  </w:r>
                </w:p>
                <w:p w14:paraId="115B05A4">
                  <w:pPr>
                    <w:adjustRightInd w:val="0"/>
                    <w:snapToGrid w:val="0"/>
                    <w:jc w:val="center"/>
                    <w:rPr>
                      <w:b/>
                      <w:bCs/>
                      <w:color w:val="auto"/>
                      <w:szCs w:val="21"/>
                      <w:lang w:bidi="zh-CN"/>
                    </w:rPr>
                  </w:pPr>
                  <w:r>
                    <w:rPr>
                      <w:rFonts w:eastAsia="Times New Roman"/>
                      <w:b/>
                      <w:bCs/>
                      <w:color w:val="auto"/>
                      <w:szCs w:val="21"/>
                      <w:lang w:bidi="zh-CN"/>
                    </w:rPr>
                    <w:t>时段</w:t>
                  </w:r>
                </w:p>
              </w:tc>
              <w:tc>
                <w:tcPr>
                  <w:tcW w:w="310" w:type="pct"/>
                  <w:vMerge w:val="restart"/>
                  <w:tcBorders>
                    <w:tl2br w:val="nil"/>
                    <w:tr2bl w:val="nil"/>
                  </w:tcBorders>
                  <w:noWrap w:val="0"/>
                  <w:vAlign w:val="center"/>
                </w:tcPr>
                <w:p w14:paraId="2013C66A">
                  <w:pPr>
                    <w:adjustRightInd w:val="0"/>
                    <w:snapToGrid w:val="0"/>
                    <w:jc w:val="center"/>
                    <w:rPr>
                      <w:b/>
                      <w:bCs/>
                      <w:color w:val="auto"/>
                      <w:szCs w:val="21"/>
                    </w:rPr>
                  </w:pPr>
                  <w:r>
                    <w:rPr>
                      <w:b/>
                      <w:bCs/>
                      <w:color w:val="auto"/>
                      <w:szCs w:val="21"/>
                    </w:rPr>
                    <w:t>建筑物插入损失/dB（A）</w:t>
                  </w:r>
                </w:p>
              </w:tc>
              <w:tc>
                <w:tcPr>
                  <w:tcW w:w="1150" w:type="pct"/>
                  <w:gridSpan w:val="5"/>
                  <w:tcBorders>
                    <w:tl2br w:val="nil"/>
                    <w:tr2bl w:val="nil"/>
                  </w:tcBorders>
                  <w:noWrap w:val="0"/>
                  <w:vAlign w:val="center"/>
                </w:tcPr>
                <w:p w14:paraId="760B1FDF">
                  <w:pPr>
                    <w:adjustRightInd w:val="0"/>
                    <w:snapToGrid w:val="0"/>
                    <w:jc w:val="center"/>
                    <w:rPr>
                      <w:b/>
                      <w:bCs/>
                      <w:color w:val="auto"/>
                      <w:szCs w:val="21"/>
                    </w:rPr>
                  </w:pPr>
                  <w:r>
                    <w:rPr>
                      <w:b/>
                      <w:bCs/>
                      <w:color w:val="auto"/>
                      <w:szCs w:val="21"/>
                    </w:rPr>
                    <w:t>建筑物外噪声</w:t>
                  </w:r>
                </w:p>
              </w:tc>
            </w:tr>
            <w:tr w14:paraId="418AF2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328" w:type="pct"/>
                  <w:vMerge w:val="continue"/>
                  <w:tcBorders>
                    <w:tl2br w:val="nil"/>
                    <w:tr2bl w:val="nil"/>
                  </w:tcBorders>
                  <w:noWrap w:val="0"/>
                  <w:vAlign w:val="center"/>
                </w:tcPr>
                <w:p w14:paraId="389D09AB">
                  <w:pPr>
                    <w:adjustRightInd w:val="0"/>
                    <w:snapToGrid w:val="0"/>
                    <w:jc w:val="center"/>
                    <w:rPr>
                      <w:rFonts w:eastAsia="Times New Roman"/>
                      <w:b/>
                      <w:bCs/>
                      <w:color w:val="auto"/>
                      <w:szCs w:val="21"/>
                      <w:lang w:val="zh-CN" w:bidi="zh-CN"/>
                    </w:rPr>
                  </w:pPr>
                </w:p>
              </w:tc>
              <w:tc>
                <w:tcPr>
                  <w:tcW w:w="93" w:type="pct"/>
                  <w:vMerge w:val="continue"/>
                  <w:tcBorders>
                    <w:tl2br w:val="nil"/>
                    <w:tr2bl w:val="nil"/>
                  </w:tcBorders>
                  <w:noWrap w:val="0"/>
                  <w:vAlign w:val="center"/>
                </w:tcPr>
                <w:p w14:paraId="2E995F53">
                  <w:pPr>
                    <w:jc w:val="center"/>
                    <w:rPr>
                      <w:rFonts w:eastAsia="Times New Roman"/>
                      <w:b/>
                      <w:bCs/>
                      <w:color w:val="auto"/>
                      <w:szCs w:val="21"/>
                      <w:lang w:bidi="zh-CN"/>
                    </w:rPr>
                  </w:pPr>
                </w:p>
              </w:tc>
              <w:tc>
                <w:tcPr>
                  <w:tcW w:w="229" w:type="pct"/>
                  <w:vMerge w:val="continue"/>
                  <w:tcBorders>
                    <w:tl2br w:val="nil"/>
                    <w:tr2bl w:val="nil"/>
                  </w:tcBorders>
                  <w:noWrap w:val="0"/>
                  <w:vAlign w:val="center"/>
                </w:tcPr>
                <w:p w14:paraId="78BC1391">
                  <w:pPr>
                    <w:adjustRightInd w:val="0"/>
                    <w:snapToGrid w:val="0"/>
                    <w:jc w:val="center"/>
                    <w:rPr>
                      <w:rFonts w:eastAsia="Times New Roman"/>
                      <w:b/>
                      <w:bCs/>
                      <w:color w:val="auto"/>
                      <w:szCs w:val="21"/>
                      <w:lang w:bidi="zh-CN"/>
                    </w:rPr>
                  </w:pPr>
                </w:p>
              </w:tc>
              <w:tc>
                <w:tcPr>
                  <w:tcW w:w="258" w:type="pct"/>
                  <w:vMerge w:val="restart"/>
                  <w:tcBorders>
                    <w:tl2br w:val="nil"/>
                    <w:tr2bl w:val="nil"/>
                  </w:tcBorders>
                  <w:noWrap w:val="0"/>
                  <w:vAlign w:val="center"/>
                </w:tcPr>
                <w:p w14:paraId="28905CE8">
                  <w:pPr>
                    <w:adjustRightInd w:val="0"/>
                    <w:snapToGrid w:val="0"/>
                    <w:jc w:val="center"/>
                    <w:rPr>
                      <w:rFonts w:eastAsia="Times New Roman"/>
                      <w:b/>
                      <w:bCs/>
                      <w:color w:val="auto"/>
                      <w:szCs w:val="21"/>
                      <w:lang w:bidi="zh-CN"/>
                    </w:rPr>
                  </w:pPr>
                  <w:r>
                    <w:rPr>
                      <w:rFonts w:eastAsia="Times New Roman"/>
                      <w:b/>
                      <w:bCs/>
                      <w:color w:val="auto"/>
                      <w:szCs w:val="21"/>
                      <w:lang w:bidi="zh-CN"/>
                    </w:rPr>
                    <w:t>X</w:t>
                  </w:r>
                </w:p>
              </w:tc>
              <w:tc>
                <w:tcPr>
                  <w:tcW w:w="228" w:type="pct"/>
                  <w:vMerge w:val="restart"/>
                  <w:tcBorders>
                    <w:tl2br w:val="nil"/>
                    <w:tr2bl w:val="nil"/>
                  </w:tcBorders>
                  <w:noWrap w:val="0"/>
                  <w:vAlign w:val="center"/>
                </w:tcPr>
                <w:p w14:paraId="37370E4C">
                  <w:pPr>
                    <w:adjustRightInd w:val="0"/>
                    <w:snapToGrid w:val="0"/>
                    <w:jc w:val="center"/>
                    <w:rPr>
                      <w:rFonts w:eastAsia="Times New Roman"/>
                      <w:b/>
                      <w:bCs/>
                      <w:color w:val="auto"/>
                      <w:szCs w:val="21"/>
                      <w:lang w:bidi="zh-CN"/>
                    </w:rPr>
                  </w:pPr>
                  <w:r>
                    <w:rPr>
                      <w:rFonts w:eastAsia="Times New Roman"/>
                      <w:b/>
                      <w:bCs/>
                      <w:color w:val="auto"/>
                      <w:szCs w:val="21"/>
                      <w:lang w:bidi="zh-CN"/>
                    </w:rPr>
                    <w:t>Y</w:t>
                  </w:r>
                </w:p>
              </w:tc>
              <w:tc>
                <w:tcPr>
                  <w:tcW w:w="160" w:type="pct"/>
                  <w:vMerge w:val="restart"/>
                  <w:tcBorders>
                    <w:tl2br w:val="nil"/>
                    <w:tr2bl w:val="nil"/>
                  </w:tcBorders>
                  <w:noWrap w:val="0"/>
                  <w:vAlign w:val="center"/>
                </w:tcPr>
                <w:p w14:paraId="30CB3A02">
                  <w:pPr>
                    <w:adjustRightInd w:val="0"/>
                    <w:snapToGrid w:val="0"/>
                    <w:jc w:val="center"/>
                    <w:rPr>
                      <w:rFonts w:eastAsia="Times New Roman"/>
                      <w:b/>
                      <w:bCs/>
                      <w:color w:val="auto"/>
                      <w:szCs w:val="21"/>
                      <w:lang w:bidi="zh-CN"/>
                    </w:rPr>
                  </w:pPr>
                  <w:r>
                    <w:rPr>
                      <w:rFonts w:eastAsia="Times New Roman"/>
                      <w:b/>
                      <w:bCs/>
                      <w:color w:val="auto"/>
                      <w:szCs w:val="21"/>
                      <w:lang w:bidi="zh-CN"/>
                    </w:rPr>
                    <w:t>Z</w:t>
                  </w:r>
                </w:p>
              </w:tc>
              <w:tc>
                <w:tcPr>
                  <w:tcW w:w="258" w:type="pct"/>
                  <w:vMerge w:val="restart"/>
                  <w:tcBorders>
                    <w:tl2br w:val="nil"/>
                    <w:tr2bl w:val="nil"/>
                  </w:tcBorders>
                  <w:noWrap w:val="0"/>
                  <w:vAlign w:val="center"/>
                </w:tcPr>
                <w:p w14:paraId="79677CA4">
                  <w:pPr>
                    <w:adjustRightInd w:val="0"/>
                    <w:snapToGrid w:val="0"/>
                    <w:jc w:val="center"/>
                    <w:rPr>
                      <w:rFonts w:eastAsia="Times New Roman"/>
                      <w:b/>
                      <w:bCs/>
                      <w:color w:val="auto"/>
                      <w:szCs w:val="21"/>
                      <w:lang w:bidi="zh-CN"/>
                    </w:rPr>
                  </w:pPr>
                  <w:r>
                    <w:rPr>
                      <w:rFonts w:eastAsia="Times New Roman"/>
                      <w:b/>
                      <w:bCs/>
                      <w:color w:val="auto"/>
                      <w:szCs w:val="21"/>
                      <w:lang w:bidi="zh-CN"/>
                    </w:rPr>
                    <w:t>东</w:t>
                  </w:r>
                </w:p>
              </w:tc>
              <w:tc>
                <w:tcPr>
                  <w:tcW w:w="258" w:type="pct"/>
                  <w:vMerge w:val="restart"/>
                  <w:tcBorders>
                    <w:tl2br w:val="nil"/>
                    <w:tr2bl w:val="nil"/>
                  </w:tcBorders>
                  <w:noWrap w:val="0"/>
                  <w:vAlign w:val="center"/>
                </w:tcPr>
                <w:p w14:paraId="132FE6FA">
                  <w:pPr>
                    <w:adjustRightInd w:val="0"/>
                    <w:snapToGrid w:val="0"/>
                    <w:jc w:val="center"/>
                    <w:rPr>
                      <w:rFonts w:eastAsia="Times New Roman"/>
                      <w:b/>
                      <w:bCs/>
                      <w:color w:val="auto"/>
                      <w:szCs w:val="21"/>
                      <w:lang w:bidi="zh-CN"/>
                    </w:rPr>
                  </w:pPr>
                  <w:r>
                    <w:rPr>
                      <w:rFonts w:eastAsia="Times New Roman"/>
                      <w:b/>
                      <w:bCs/>
                      <w:color w:val="auto"/>
                      <w:szCs w:val="21"/>
                      <w:lang w:bidi="zh-CN"/>
                    </w:rPr>
                    <w:t>南</w:t>
                  </w:r>
                </w:p>
              </w:tc>
              <w:tc>
                <w:tcPr>
                  <w:tcW w:w="258" w:type="pct"/>
                  <w:vMerge w:val="restart"/>
                  <w:tcBorders>
                    <w:tl2br w:val="nil"/>
                    <w:tr2bl w:val="nil"/>
                  </w:tcBorders>
                  <w:noWrap w:val="0"/>
                  <w:vAlign w:val="center"/>
                </w:tcPr>
                <w:p w14:paraId="7EF99FC0">
                  <w:pPr>
                    <w:adjustRightInd w:val="0"/>
                    <w:snapToGrid w:val="0"/>
                    <w:jc w:val="center"/>
                    <w:rPr>
                      <w:rFonts w:eastAsia="Times New Roman"/>
                      <w:b/>
                      <w:bCs/>
                      <w:color w:val="auto"/>
                      <w:szCs w:val="21"/>
                      <w:lang w:bidi="zh-CN"/>
                    </w:rPr>
                  </w:pPr>
                  <w:r>
                    <w:rPr>
                      <w:rFonts w:eastAsia="Times New Roman"/>
                      <w:b/>
                      <w:bCs/>
                      <w:color w:val="auto"/>
                      <w:szCs w:val="21"/>
                      <w:lang w:bidi="zh-CN"/>
                    </w:rPr>
                    <w:t>西</w:t>
                  </w:r>
                </w:p>
              </w:tc>
              <w:tc>
                <w:tcPr>
                  <w:tcW w:w="203" w:type="pct"/>
                  <w:vMerge w:val="restart"/>
                  <w:tcBorders>
                    <w:tl2br w:val="nil"/>
                    <w:tr2bl w:val="nil"/>
                  </w:tcBorders>
                  <w:noWrap w:val="0"/>
                  <w:vAlign w:val="center"/>
                </w:tcPr>
                <w:p w14:paraId="19513F0E">
                  <w:pPr>
                    <w:adjustRightInd w:val="0"/>
                    <w:snapToGrid w:val="0"/>
                    <w:jc w:val="center"/>
                    <w:rPr>
                      <w:rFonts w:eastAsia="Times New Roman"/>
                      <w:b/>
                      <w:bCs/>
                      <w:color w:val="auto"/>
                      <w:szCs w:val="21"/>
                      <w:lang w:bidi="zh-CN"/>
                    </w:rPr>
                  </w:pPr>
                  <w:r>
                    <w:rPr>
                      <w:rFonts w:eastAsia="Times New Roman"/>
                      <w:b/>
                      <w:bCs/>
                      <w:color w:val="auto"/>
                      <w:szCs w:val="21"/>
                      <w:lang w:bidi="zh-CN"/>
                    </w:rPr>
                    <w:t>北</w:t>
                  </w:r>
                </w:p>
              </w:tc>
              <w:tc>
                <w:tcPr>
                  <w:tcW w:w="258" w:type="pct"/>
                  <w:vMerge w:val="restart"/>
                  <w:tcBorders>
                    <w:tl2br w:val="nil"/>
                    <w:tr2bl w:val="nil"/>
                  </w:tcBorders>
                  <w:noWrap w:val="0"/>
                  <w:vAlign w:val="center"/>
                </w:tcPr>
                <w:p w14:paraId="001CC491">
                  <w:pPr>
                    <w:adjustRightInd w:val="0"/>
                    <w:snapToGrid w:val="0"/>
                    <w:jc w:val="center"/>
                    <w:rPr>
                      <w:rFonts w:eastAsia="Times New Roman"/>
                      <w:b/>
                      <w:bCs/>
                      <w:color w:val="auto"/>
                      <w:szCs w:val="21"/>
                      <w:lang w:bidi="zh-CN"/>
                    </w:rPr>
                  </w:pPr>
                  <w:r>
                    <w:rPr>
                      <w:rFonts w:eastAsia="Times New Roman"/>
                      <w:b/>
                      <w:bCs/>
                      <w:color w:val="auto"/>
                      <w:szCs w:val="21"/>
                      <w:lang w:bidi="zh-CN"/>
                    </w:rPr>
                    <w:t>东</w:t>
                  </w:r>
                </w:p>
              </w:tc>
              <w:tc>
                <w:tcPr>
                  <w:tcW w:w="258" w:type="pct"/>
                  <w:vMerge w:val="restart"/>
                  <w:tcBorders>
                    <w:tl2br w:val="nil"/>
                    <w:tr2bl w:val="nil"/>
                  </w:tcBorders>
                  <w:noWrap w:val="0"/>
                  <w:vAlign w:val="center"/>
                </w:tcPr>
                <w:p w14:paraId="2B99A223">
                  <w:pPr>
                    <w:adjustRightInd w:val="0"/>
                    <w:snapToGrid w:val="0"/>
                    <w:jc w:val="center"/>
                    <w:rPr>
                      <w:rFonts w:eastAsia="Times New Roman"/>
                      <w:b/>
                      <w:bCs/>
                      <w:color w:val="auto"/>
                      <w:szCs w:val="21"/>
                      <w:lang w:bidi="zh-CN"/>
                    </w:rPr>
                  </w:pPr>
                  <w:r>
                    <w:rPr>
                      <w:rFonts w:eastAsia="Times New Roman"/>
                      <w:b/>
                      <w:bCs/>
                      <w:color w:val="auto"/>
                      <w:szCs w:val="21"/>
                      <w:lang w:bidi="zh-CN"/>
                    </w:rPr>
                    <w:t>南</w:t>
                  </w:r>
                </w:p>
              </w:tc>
              <w:tc>
                <w:tcPr>
                  <w:tcW w:w="258" w:type="pct"/>
                  <w:vMerge w:val="restart"/>
                  <w:tcBorders>
                    <w:tl2br w:val="nil"/>
                    <w:tr2bl w:val="nil"/>
                  </w:tcBorders>
                  <w:noWrap w:val="0"/>
                  <w:vAlign w:val="center"/>
                </w:tcPr>
                <w:p w14:paraId="0077C63A">
                  <w:pPr>
                    <w:adjustRightInd w:val="0"/>
                    <w:snapToGrid w:val="0"/>
                    <w:jc w:val="center"/>
                    <w:rPr>
                      <w:rFonts w:eastAsia="Times New Roman"/>
                      <w:b/>
                      <w:bCs/>
                      <w:color w:val="auto"/>
                      <w:szCs w:val="21"/>
                      <w:lang w:bidi="zh-CN"/>
                    </w:rPr>
                  </w:pPr>
                  <w:r>
                    <w:rPr>
                      <w:rFonts w:eastAsia="Times New Roman"/>
                      <w:b/>
                      <w:bCs/>
                      <w:color w:val="auto"/>
                      <w:szCs w:val="21"/>
                      <w:lang w:bidi="zh-CN"/>
                    </w:rPr>
                    <w:t>西</w:t>
                  </w:r>
                </w:p>
              </w:tc>
              <w:tc>
                <w:tcPr>
                  <w:tcW w:w="258" w:type="pct"/>
                  <w:vMerge w:val="restart"/>
                  <w:tcBorders>
                    <w:tl2br w:val="nil"/>
                    <w:tr2bl w:val="nil"/>
                  </w:tcBorders>
                  <w:noWrap w:val="0"/>
                  <w:vAlign w:val="center"/>
                </w:tcPr>
                <w:p w14:paraId="291FBC48">
                  <w:pPr>
                    <w:adjustRightInd w:val="0"/>
                    <w:snapToGrid w:val="0"/>
                    <w:jc w:val="center"/>
                    <w:rPr>
                      <w:rFonts w:eastAsia="Times New Roman"/>
                      <w:b/>
                      <w:bCs/>
                      <w:color w:val="auto"/>
                      <w:szCs w:val="21"/>
                      <w:lang w:bidi="zh-CN"/>
                    </w:rPr>
                  </w:pPr>
                  <w:r>
                    <w:rPr>
                      <w:rFonts w:eastAsia="Times New Roman"/>
                      <w:b/>
                      <w:bCs/>
                      <w:color w:val="auto"/>
                      <w:szCs w:val="21"/>
                      <w:lang w:bidi="zh-CN"/>
                    </w:rPr>
                    <w:t>北</w:t>
                  </w:r>
                </w:p>
              </w:tc>
              <w:tc>
                <w:tcPr>
                  <w:tcW w:w="229" w:type="pct"/>
                  <w:vMerge w:val="continue"/>
                  <w:tcBorders>
                    <w:tl2br w:val="nil"/>
                    <w:tr2bl w:val="nil"/>
                  </w:tcBorders>
                  <w:noWrap w:val="0"/>
                  <w:vAlign w:val="center"/>
                </w:tcPr>
                <w:p w14:paraId="22344DD7">
                  <w:pPr>
                    <w:adjustRightInd w:val="0"/>
                    <w:snapToGrid w:val="0"/>
                    <w:jc w:val="center"/>
                    <w:rPr>
                      <w:rFonts w:eastAsia="Times New Roman"/>
                      <w:b/>
                      <w:bCs/>
                      <w:color w:val="auto"/>
                      <w:szCs w:val="21"/>
                      <w:lang w:bidi="zh-CN"/>
                    </w:rPr>
                  </w:pPr>
                </w:p>
              </w:tc>
              <w:tc>
                <w:tcPr>
                  <w:tcW w:w="310" w:type="pct"/>
                  <w:vMerge w:val="continue"/>
                  <w:tcBorders>
                    <w:tl2br w:val="nil"/>
                    <w:tr2bl w:val="nil"/>
                  </w:tcBorders>
                  <w:noWrap w:val="0"/>
                  <w:vAlign w:val="center"/>
                </w:tcPr>
                <w:p w14:paraId="4D3AC482">
                  <w:pPr>
                    <w:jc w:val="center"/>
                    <w:rPr>
                      <w:b/>
                      <w:bCs/>
                      <w:color w:val="auto"/>
                      <w:szCs w:val="21"/>
                    </w:rPr>
                  </w:pPr>
                </w:p>
              </w:tc>
              <w:tc>
                <w:tcPr>
                  <w:tcW w:w="1034" w:type="pct"/>
                  <w:gridSpan w:val="4"/>
                  <w:tcBorders>
                    <w:tl2br w:val="nil"/>
                    <w:tr2bl w:val="nil"/>
                  </w:tcBorders>
                  <w:noWrap w:val="0"/>
                  <w:vAlign w:val="center"/>
                </w:tcPr>
                <w:p w14:paraId="2DC92C16">
                  <w:pPr>
                    <w:jc w:val="center"/>
                    <w:rPr>
                      <w:b/>
                      <w:bCs/>
                      <w:color w:val="auto"/>
                      <w:szCs w:val="21"/>
                    </w:rPr>
                  </w:pPr>
                  <w:r>
                    <w:rPr>
                      <w:b/>
                      <w:bCs/>
                      <w:color w:val="auto"/>
                      <w:szCs w:val="21"/>
                    </w:rPr>
                    <w:t>声压级/dB（A）</w:t>
                  </w:r>
                </w:p>
              </w:tc>
              <w:tc>
                <w:tcPr>
                  <w:tcW w:w="116" w:type="pct"/>
                  <w:vMerge w:val="restart"/>
                  <w:tcBorders>
                    <w:tl2br w:val="nil"/>
                    <w:tr2bl w:val="nil"/>
                  </w:tcBorders>
                  <w:noWrap w:val="0"/>
                  <w:vAlign w:val="center"/>
                </w:tcPr>
                <w:p w14:paraId="2F316B16">
                  <w:pPr>
                    <w:jc w:val="center"/>
                    <w:rPr>
                      <w:color w:val="auto"/>
                      <w:szCs w:val="21"/>
                    </w:rPr>
                  </w:pPr>
                  <w:r>
                    <w:rPr>
                      <w:b/>
                      <w:bCs/>
                      <w:color w:val="auto"/>
                      <w:szCs w:val="21"/>
                    </w:rPr>
                    <w:t>建筑物外距离</w:t>
                  </w:r>
                </w:p>
              </w:tc>
            </w:tr>
            <w:tr w14:paraId="76A426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2" w:hRule="atLeast"/>
                <w:jc w:val="center"/>
              </w:trPr>
              <w:tc>
                <w:tcPr>
                  <w:tcW w:w="328" w:type="pct"/>
                  <w:vMerge w:val="continue"/>
                  <w:tcBorders>
                    <w:tl2br w:val="nil"/>
                    <w:tr2bl w:val="nil"/>
                  </w:tcBorders>
                  <w:noWrap w:val="0"/>
                  <w:vAlign w:val="center"/>
                </w:tcPr>
                <w:p w14:paraId="3F778EA7">
                  <w:pPr>
                    <w:adjustRightInd w:val="0"/>
                    <w:snapToGrid w:val="0"/>
                    <w:jc w:val="center"/>
                    <w:rPr>
                      <w:rFonts w:eastAsia="Times New Roman"/>
                      <w:b/>
                      <w:bCs/>
                      <w:color w:val="auto"/>
                      <w:szCs w:val="21"/>
                      <w:lang w:val="zh-CN" w:bidi="zh-CN"/>
                    </w:rPr>
                  </w:pPr>
                </w:p>
              </w:tc>
              <w:tc>
                <w:tcPr>
                  <w:tcW w:w="93" w:type="pct"/>
                  <w:vMerge w:val="continue"/>
                  <w:tcBorders>
                    <w:tl2br w:val="nil"/>
                    <w:tr2bl w:val="nil"/>
                  </w:tcBorders>
                  <w:noWrap w:val="0"/>
                  <w:vAlign w:val="center"/>
                </w:tcPr>
                <w:p w14:paraId="543F66AA">
                  <w:pPr>
                    <w:jc w:val="center"/>
                    <w:rPr>
                      <w:rFonts w:eastAsia="Times New Roman"/>
                      <w:b/>
                      <w:bCs/>
                      <w:color w:val="auto"/>
                      <w:szCs w:val="21"/>
                      <w:lang w:bidi="zh-CN"/>
                    </w:rPr>
                  </w:pPr>
                </w:p>
              </w:tc>
              <w:tc>
                <w:tcPr>
                  <w:tcW w:w="229" w:type="pct"/>
                  <w:vMerge w:val="continue"/>
                  <w:tcBorders>
                    <w:tl2br w:val="nil"/>
                    <w:tr2bl w:val="nil"/>
                  </w:tcBorders>
                  <w:noWrap w:val="0"/>
                  <w:vAlign w:val="center"/>
                </w:tcPr>
                <w:p w14:paraId="69712A3F">
                  <w:pPr>
                    <w:adjustRightInd w:val="0"/>
                    <w:snapToGrid w:val="0"/>
                    <w:jc w:val="center"/>
                    <w:rPr>
                      <w:rFonts w:eastAsia="Times New Roman"/>
                      <w:b/>
                      <w:bCs/>
                      <w:color w:val="auto"/>
                      <w:szCs w:val="21"/>
                      <w:lang w:bidi="zh-CN"/>
                    </w:rPr>
                  </w:pPr>
                </w:p>
              </w:tc>
              <w:tc>
                <w:tcPr>
                  <w:tcW w:w="258" w:type="pct"/>
                  <w:vMerge w:val="continue"/>
                  <w:tcBorders>
                    <w:tl2br w:val="nil"/>
                    <w:tr2bl w:val="nil"/>
                  </w:tcBorders>
                  <w:noWrap w:val="0"/>
                  <w:vAlign w:val="center"/>
                </w:tcPr>
                <w:p w14:paraId="23C0494B">
                  <w:pPr>
                    <w:adjustRightInd w:val="0"/>
                    <w:snapToGrid w:val="0"/>
                    <w:jc w:val="center"/>
                    <w:rPr>
                      <w:rFonts w:eastAsia="Times New Roman"/>
                      <w:b/>
                      <w:bCs/>
                      <w:color w:val="auto"/>
                      <w:szCs w:val="21"/>
                      <w:lang w:bidi="zh-CN"/>
                    </w:rPr>
                  </w:pPr>
                </w:p>
              </w:tc>
              <w:tc>
                <w:tcPr>
                  <w:tcW w:w="228" w:type="pct"/>
                  <w:vMerge w:val="continue"/>
                  <w:tcBorders>
                    <w:tl2br w:val="nil"/>
                    <w:tr2bl w:val="nil"/>
                  </w:tcBorders>
                  <w:noWrap w:val="0"/>
                  <w:vAlign w:val="center"/>
                </w:tcPr>
                <w:p w14:paraId="2ED1B0A2">
                  <w:pPr>
                    <w:adjustRightInd w:val="0"/>
                    <w:snapToGrid w:val="0"/>
                    <w:jc w:val="center"/>
                    <w:rPr>
                      <w:rFonts w:eastAsia="Times New Roman"/>
                      <w:b/>
                      <w:bCs/>
                      <w:color w:val="auto"/>
                      <w:szCs w:val="21"/>
                      <w:lang w:bidi="zh-CN"/>
                    </w:rPr>
                  </w:pPr>
                </w:p>
              </w:tc>
              <w:tc>
                <w:tcPr>
                  <w:tcW w:w="160" w:type="pct"/>
                  <w:vMerge w:val="continue"/>
                  <w:tcBorders>
                    <w:tl2br w:val="nil"/>
                    <w:tr2bl w:val="nil"/>
                  </w:tcBorders>
                  <w:noWrap w:val="0"/>
                  <w:vAlign w:val="center"/>
                </w:tcPr>
                <w:p w14:paraId="3ABFD672">
                  <w:pPr>
                    <w:adjustRightInd w:val="0"/>
                    <w:snapToGrid w:val="0"/>
                    <w:jc w:val="center"/>
                    <w:rPr>
                      <w:rFonts w:eastAsia="Times New Roman"/>
                      <w:b/>
                      <w:bCs/>
                      <w:color w:val="auto"/>
                      <w:szCs w:val="21"/>
                      <w:lang w:bidi="zh-CN"/>
                    </w:rPr>
                  </w:pPr>
                </w:p>
              </w:tc>
              <w:tc>
                <w:tcPr>
                  <w:tcW w:w="258" w:type="pct"/>
                  <w:vMerge w:val="continue"/>
                  <w:tcBorders>
                    <w:tl2br w:val="nil"/>
                    <w:tr2bl w:val="nil"/>
                  </w:tcBorders>
                  <w:noWrap w:val="0"/>
                  <w:vAlign w:val="center"/>
                </w:tcPr>
                <w:p w14:paraId="427068EA">
                  <w:pPr>
                    <w:adjustRightInd w:val="0"/>
                    <w:snapToGrid w:val="0"/>
                    <w:jc w:val="center"/>
                    <w:rPr>
                      <w:rFonts w:eastAsia="Times New Roman"/>
                      <w:b/>
                      <w:bCs/>
                      <w:color w:val="auto"/>
                      <w:szCs w:val="21"/>
                      <w:lang w:bidi="zh-CN"/>
                    </w:rPr>
                  </w:pPr>
                </w:p>
              </w:tc>
              <w:tc>
                <w:tcPr>
                  <w:tcW w:w="258" w:type="pct"/>
                  <w:vMerge w:val="continue"/>
                  <w:tcBorders>
                    <w:tl2br w:val="nil"/>
                    <w:tr2bl w:val="nil"/>
                  </w:tcBorders>
                  <w:noWrap w:val="0"/>
                  <w:vAlign w:val="center"/>
                </w:tcPr>
                <w:p w14:paraId="01060A0D">
                  <w:pPr>
                    <w:adjustRightInd w:val="0"/>
                    <w:snapToGrid w:val="0"/>
                    <w:jc w:val="center"/>
                    <w:rPr>
                      <w:rFonts w:eastAsia="Times New Roman"/>
                      <w:b/>
                      <w:bCs/>
                      <w:color w:val="auto"/>
                      <w:szCs w:val="21"/>
                      <w:lang w:bidi="zh-CN"/>
                    </w:rPr>
                  </w:pPr>
                </w:p>
              </w:tc>
              <w:tc>
                <w:tcPr>
                  <w:tcW w:w="258" w:type="pct"/>
                  <w:vMerge w:val="continue"/>
                  <w:tcBorders>
                    <w:tl2br w:val="nil"/>
                    <w:tr2bl w:val="nil"/>
                  </w:tcBorders>
                  <w:noWrap w:val="0"/>
                  <w:vAlign w:val="center"/>
                </w:tcPr>
                <w:p w14:paraId="1AEC206C">
                  <w:pPr>
                    <w:adjustRightInd w:val="0"/>
                    <w:snapToGrid w:val="0"/>
                    <w:jc w:val="center"/>
                    <w:rPr>
                      <w:rFonts w:eastAsia="Times New Roman"/>
                      <w:b/>
                      <w:bCs/>
                      <w:color w:val="auto"/>
                      <w:szCs w:val="21"/>
                      <w:lang w:bidi="zh-CN"/>
                    </w:rPr>
                  </w:pPr>
                </w:p>
              </w:tc>
              <w:tc>
                <w:tcPr>
                  <w:tcW w:w="203" w:type="pct"/>
                  <w:vMerge w:val="continue"/>
                  <w:tcBorders>
                    <w:tl2br w:val="nil"/>
                    <w:tr2bl w:val="nil"/>
                  </w:tcBorders>
                  <w:noWrap w:val="0"/>
                  <w:vAlign w:val="center"/>
                </w:tcPr>
                <w:p w14:paraId="6FEDB4FF">
                  <w:pPr>
                    <w:adjustRightInd w:val="0"/>
                    <w:snapToGrid w:val="0"/>
                    <w:jc w:val="center"/>
                    <w:rPr>
                      <w:rFonts w:eastAsia="Times New Roman"/>
                      <w:b/>
                      <w:bCs/>
                      <w:color w:val="auto"/>
                      <w:szCs w:val="21"/>
                      <w:lang w:bidi="zh-CN"/>
                    </w:rPr>
                  </w:pPr>
                </w:p>
              </w:tc>
              <w:tc>
                <w:tcPr>
                  <w:tcW w:w="258" w:type="pct"/>
                  <w:vMerge w:val="continue"/>
                  <w:tcBorders>
                    <w:tl2br w:val="nil"/>
                    <w:tr2bl w:val="nil"/>
                  </w:tcBorders>
                  <w:noWrap w:val="0"/>
                  <w:vAlign w:val="center"/>
                </w:tcPr>
                <w:p w14:paraId="00C1B4FC">
                  <w:pPr>
                    <w:adjustRightInd w:val="0"/>
                    <w:snapToGrid w:val="0"/>
                    <w:jc w:val="center"/>
                    <w:rPr>
                      <w:rFonts w:eastAsia="Times New Roman"/>
                      <w:b/>
                      <w:bCs/>
                      <w:color w:val="auto"/>
                      <w:szCs w:val="21"/>
                      <w:lang w:bidi="zh-CN"/>
                    </w:rPr>
                  </w:pPr>
                </w:p>
              </w:tc>
              <w:tc>
                <w:tcPr>
                  <w:tcW w:w="258" w:type="pct"/>
                  <w:vMerge w:val="continue"/>
                  <w:tcBorders>
                    <w:tl2br w:val="nil"/>
                    <w:tr2bl w:val="nil"/>
                  </w:tcBorders>
                  <w:noWrap w:val="0"/>
                  <w:vAlign w:val="center"/>
                </w:tcPr>
                <w:p w14:paraId="0105D126">
                  <w:pPr>
                    <w:adjustRightInd w:val="0"/>
                    <w:snapToGrid w:val="0"/>
                    <w:jc w:val="center"/>
                    <w:rPr>
                      <w:rFonts w:eastAsia="Times New Roman"/>
                      <w:b/>
                      <w:bCs/>
                      <w:color w:val="auto"/>
                      <w:szCs w:val="21"/>
                      <w:lang w:bidi="zh-CN"/>
                    </w:rPr>
                  </w:pPr>
                </w:p>
              </w:tc>
              <w:tc>
                <w:tcPr>
                  <w:tcW w:w="258" w:type="pct"/>
                  <w:vMerge w:val="continue"/>
                  <w:tcBorders>
                    <w:tl2br w:val="nil"/>
                    <w:tr2bl w:val="nil"/>
                  </w:tcBorders>
                  <w:noWrap w:val="0"/>
                  <w:vAlign w:val="center"/>
                </w:tcPr>
                <w:p w14:paraId="1923C0DF">
                  <w:pPr>
                    <w:adjustRightInd w:val="0"/>
                    <w:snapToGrid w:val="0"/>
                    <w:jc w:val="center"/>
                    <w:rPr>
                      <w:rFonts w:eastAsia="Times New Roman"/>
                      <w:b/>
                      <w:bCs/>
                      <w:color w:val="auto"/>
                      <w:szCs w:val="21"/>
                      <w:lang w:bidi="zh-CN"/>
                    </w:rPr>
                  </w:pPr>
                </w:p>
              </w:tc>
              <w:tc>
                <w:tcPr>
                  <w:tcW w:w="258" w:type="pct"/>
                  <w:vMerge w:val="continue"/>
                  <w:tcBorders>
                    <w:tl2br w:val="nil"/>
                    <w:tr2bl w:val="nil"/>
                  </w:tcBorders>
                  <w:noWrap w:val="0"/>
                  <w:vAlign w:val="center"/>
                </w:tcPr>
                <w:p w14:paraId="244F9424">
                  <w:pPr>
                    <w:adjustRightInd w:val="0"/>
                    <w:snapToGrid w:val="0"/>
                    <w:jc w:val="center"/>
                    <w:rPr>
                      <w:rFonts w:eastAsia="Times New Roman"/>
                      <w:b/>
                      <w:bCs/>
                      <w:color w:val="auto"/>
                      <w:szCs w:val="21"/>
                      <w:lang w:bidi="zh-CN"/>
                    </w:rPr>
                  </w:pPr>
                </w:p>
              </w:tc>
              <w:tc>
                <w:tcPr>
                  <w:tcW w:w="229" w:type="pct"/>
                  <w:vMerge w:val="continue"/>
                  <w:tcBorders>
                    <w:tl2br w:val="nil"/>
                    <w:tr2bl w:val="nil"/>
                  </w:tcBorders>
                  <w:noWrap w:val="0"/>
                  <w:vAlign w:val="center"/>
                </w:tcPr>
                <w:p w14:paraId="3DE1124A">
                  <w:pPr>
                    <w:adjustRightInd w:val="0"/>
                    <w:snapToGrid w:val="0"/>
                    <w:jc w:val="center"/>
                    <w:rPr>
                      <w:rFonts w:eastAsia="Times New Roman"/>
                      <w:b/>
                      <w:bCs/>
                      <w:color w:val="auto"/>
                      <w:szCs w:val="21"/>
                      <w:lang w:bidi="zh-CN"/>
                    </w:rPr>
                  </w:pPr>
                </w:p>
              </w:tc>
              <w:tc>
                <w:tcPr>
                  <w:tcW w:w="310" w:type="pct"/>
                  <w:vMerge w:val="continue"/>
                  <w:tcBorders>
                    <w:tl2br w:val="nil"/>
                    <w:tr2bl w:val="nil"/>
                  </w:tcBorders>
                  <w:noWrap w:val="0"/>
                  <w:vAlign w:val="center"/>
                </w:tcPr>
                <w:p w14:paraId="7D02523B">
                  <w:pPr>
                    <w:adjustRightInd w:val="0"/>
                    <w:snapToGrid w:val="0"/>
                    <w:jc w:val="center"/>
                    <w:rPr>
                      <w:rFonts w:eastAsia="Times New Roman"/>
                      <w:b/>
                      <w:bCs/>
                      <w:color w:val="auto"/>
                      <w:szCs w:val="21"/>
                      <w:lang w:bidi="zh-CN"/>
                    </w:rPr>
                  </w:pPr>
                </w:p>
              </w:tc>
              <w:tc>
                <w:tcPr>
                  <w:tcW w:w="258" w:type="pct"/>
                  <w:tcBorders>
                    <w:tl2br w:val="nil"/>
                    <w:tr2bl w:val="nil"/>
                  </w:tcBorders>
                  <w:noWrap w:val="0"/>
                  <w:vAlign w:val="center"/>
                </w:tcPr>
                <w:p w14:paraId="5C78A3D8">
                  <w:pPr>
                    <w:adjustRightInd w:val="0"/>
                    <w:snapToGrid w:val="0"/>
                    <w:jc w:val="center"/>
                    <w:rPr>
                      <w:rFonts w:eastAsia="Times New Roman"/>
                      <w:b/>
                      <w:bCs/>
                      <w:color w:val="auto"/>
                      <w:szCs w:val="21"/>
                      <w:lang w:bidi="zh-CN"/>
                    </w:rPr>
                  </w:pPr>
                  <w:r>
                    <w:rPr>
                      <w:rFonts w:eastAsia="Times New Roman"/>
                      <w:b/>
                      <w:bCs/>
                      <w:color w:val="auto"/>
                      <w:szCs w:val="21"/>
                      <w:lang w:bidi="zh-CN"/>
                    </w:rPr>
                    <w:t>东</w:t>
                  </w:r>
                </w:p>
              </w:tc>
              <w:tc>
                <w:tcPr>
                  <w:tcW w:w="258" w:type="pct"/>
                  <w:tcBorders>
                    <w:tl2br w:val="nil"/>
                    <w:tr2bl w:val="nil"/>
                  </w:tcBorders>
                  <w:noWrap w:val="0"/>
                  <w:vAlign w:val="center"/>
                </w:tcPr>
                <w:p w14:paraId="51658638">
                  <w:pPr>
                    <w:adjustRightInd w:val="0"/>
                    <w:snapToGrid w:val="0"/>
                    <w:jc w:val="center"/>
                    <w:rPr>
                      <w:rFonts w:eastAsia="Times New Roman"/>
                      <w:b/>
                      <w:bCs/>
                      <w:color w:val="auto"/>
                      <w:szCs w:val="21"/>
                      <w:lang w:bidi="zh-CN"/>
                    </w:rPr>
                  </w:pPr>
                  <w:r>
                    <w:rPr>
                      <w:rFonts w:eastAsia="Times New Roman"/>
                      <w:b/>
                      <w:bCs/>
                      <w:color w:val="auto"/>
                      <w:szCs w:val="21"/>
                      <w:lang w:bidi="zh-CN"/>
                    </w:rPr>
                    <w:t>南</w:t>
                  </w:r>
                </w:p>
              </w:tc>
              <w:tc>
                <w:tcPr>
                  <w:tcW w:w="258" w:type="pct"/>
                  <w:tcBorders>
                    <w:tl2br w:val="nil"/>
                    <w:tr2bl w:val="nil"/>
                  </w:tcBorders>
                  <w:noWrap w:val="0"/>
                  <w:vAlign w:val="center"/>
                </w:tcPr>
                <w:p w14:paraId="338BF4A5">
                  <w:pPr>
                    <w:adjustRightInd w:val="0"/>
                    <w:snapToGrid w:val="0"/>
                    <w:jc w:val="center"/>
                    <w:rPr>
                      <w:rFonts w:eastAsia="Times New Roman"/>
                      <w:b/>
                      <w:bCs/>
                      <w:color w:val="auto"/>
                      <w:szCs w:val="21"/>
                      <w:lang w:bidi="zh-CN"/>
                    </w:rPr>
                  </w:pPr>
                  <w:r>
                    <w:rPr>
                      <w:rFonts w:eastAsia="Times New Roman"/>
                      <w:b/>
                      <w:bCs/>
                      <w:color w:val="auto"/>
                      <w:szCs w:val="21"/>
                      <w:lang w:bidi="zh-CN"/>
                    </w:rPr>
                    <w:t>西</w:t>
                  </w:r>
                </w:p>
              </w:tc>
              <w:tc>
                <w:tcPr>
                  <w:tcW w:w="260" w:type="pct"/>
                  <w:tcBorders>
                    <w:tl2br w:val="nil"/>
                    <w:tr2bl w:val="nil"/>
                  </w:tcBorders>
                  <w:noWrap w:val="0"/>
                  <w:vAlign w:val="center"/>
                </w:tcPr>
                <w:p w14:paraId="70545342">
                  <w:pPr>
                    <w:adjustRightInd w:val="0"/>
                    <w:snapToGrid w:val="0"/>
                    <w:jc w:val="center"/>
                    <w:rPr>
                      <w:rFonts w:eastAsia="Times New Roman"/>
                      <w:b/>
                      <w:bCs/>
                      <w:color w:val="auto"/>
                      <w:szCs w:val="21"/>
                      <w:lang w:bidi="zh-CN"/>
                    </w:rPr>
                  </w:pPr>
                  <w:r>
                    <w:rPr>
                      <w:rFonts w:eastAsia="Times New Roman"/>
                      <w:b/>
                      <w:bCs/>
                      <w:color w:val="auto"/>
                      <w:szCs w:val="21"/>
                      <w:lang w:bidi="zh-CN"/>
                    </w:rPr>
                    <w:t>北</w:t>
                  </w:r>
                </w:p>
              </w:tc>
              <w:tc>
                <w:tcPr>
                  <w:tcW w:w="116" w:type="pct"/>
                  <w:vMerge w:val="continue"/>
                  <w:tcBorders>
                    <w:tl2br w:val="nil"/>
                    <w:tr2bl w:val="nil"/>
                  </w:tcBorders>
                  <w:noWrap w:val="0"/>
                  <w:vAlign w:val="center"/>
                </w:tcPr>
                <w:p w14:paraId="0463BEAC">
                  <w:pPr>
                    <w:adjustRightInd w:val="0"/>
                    <w:snapToGrid w:val="0"/>
                    <w:jc w:val="center"/>
                    <w:rPr>
                      <w:rFonts w:eastAsia="Times New Roman"/>
                      <w:color w:val="auto"/>
                      <w:szCs w:val="21"/>
                      <w:lang w:bidi="zh-CN"/>
                    </w:rPr>
                  </w:pPr>
                </w:p>
              </w:tc>
            </w:tr>
            <w:tr w14:paraId="73347A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328" w:type="pct"/>
                  <w:tcBorders>
                    <w:tl2br w:val="nil"/>
                    <w:tr2bl w:val="nil"/>
                  </w:tcBorders>
                  <w:noWrap w:val="0"/>
                  <w:vAlign w:val="center"/>
                </w:tcPr>
                <w:p w14:paraId="395763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szCs w:val="21"/>
                      <w:lang w:val="en-US" w:eastAsia="zh-CN"/>
                    </w:rPr>
                    <w:t>精密视觉裁切机</w:t>
                  </w:r>
                </w:p>
              </w:tc>
              <w:tc>
                <w:tcPr>
                  <w:tcW w:w="93" w:type="pct"/>
                  <w:tcBorders>
                    <w:tl2br w:val="nil"/>
                    <w:tr2bl w:val="nil"/>
                  </w:tcBorders>
                  <w:noWrap w:val="0"/>
                  <w:vAlign w:val="center"/>
                </w:tcPr>
                <w:p w14:paraId="06264B87">
                  <w:pPr>
                    <w:jc w:val="center"/>
                    <w:rPr>
                      <w:color w:val="auto"/>
                      <w:szCs w:val="21"/>
                    </w:rPr>
                  </w:pPr>
                  <w:r>
                    <w:rPr>
                      <w:color w:val="auto"/>
                      <w:szCs w:val="21"/>
                    </w:rPr>
                    <w:t>80</w:t>
                  </w:r>
                </w:p>
              </w:tc>
              <w:tc>
                <w:tcPr>
                  <w:tcW w:w="229" w:type="pct"/>
                  <w:vMerge w:val="restart"/>
                  <w:tcBorders>
                    <w:tl2br w:val="nil"/>
                    <w:tr2bl w:val="nil"/>
                  </w:tcBorders>
                  <w:noWrap w:val="0"/>
                  <w:vAlign w:val="center"/>
                </w:tcPr>
                <w:p w14:paraId="04A86717">
                  <w:pPr>
                    <w:jc w:val="center"/>
                    <w:rPr>
                      <w:color w:val="auto"/>
                      <w:szCs w:val="21"/>
                    </w:rPr>
                  </w:pPr>
                  <w:r>
                    <w:rPr>
                      <w:color w:val="auto"/>
                      <w:szCs w:val="21"/>
                    </w:rPr>
                    <w:t>基础减振、厂房隔声</w:t>
                  </w:r>
                </w:p>
              </w:tc>
              <w:tc>
                <w:tcPr>
                  <w:tcW w:w="258" w:type="pct"/>
                  <w:tcBorders>
                    <w:tl2br w:val="nil"/>
                    <w:tr2bl w:val="nil"/>
                  </w:tcBorders>
                  <w:noWrap w:val="0"/>
                  <w:vAlign w:val="center"/>
                </w:tcPr>
                <w:p w14:paraId="17CCBA6B">
                  <w:pPr>
                    <w:widowControl/>
                    <w:adjustRightInd w:val="0"/>
                    <w:snapToGrid w:val="0"/>
                    <w:jc w:val="center"/>
                    <w:textAlignment w:val="cente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10.43</w:t>
                  </w:r>
                </w:p>
              </w:tc>
              <w:tc>
                <w:tcPr>
                  <w:tcW w:w="228" w:type="pct"/>
                  <w:tcBorders>
                    <w:tl2br w:val="nil"/>
                    <w:tr2bl w:val="nil"/>
                  </w:tcBorders>
                  <w:noWrap w:val="0"/>
                  <w:vAlign w:val="center"/>
                </w:tcPr>
                <w:p w14:paraId="225D9B1E">
                  <w:pPr>
                    <w:widowControl/>
                    <w:adjustRightInd w:val="0"/>
                    <w:snapToGrid w:val="0"/>
                    <w:jc w:val="center"/>
                    <w:textAlignment w:val="cente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7.76</w:t>
                  </w:r>
                </w:p>
              </w:tc>
              <w:tc>
                <w:tcPr>
                  <w:tcW w:w="160" w:type="pct"/>
                  <w:tcBorders>
                    <w:tl2br w:val="nil"/>
                    <w:tr2bl w:val="nil"/>
                  </w:tcBorders>
                  <w:noWrap w:val="0"/>
                  <w:vAlign w:val="center"/>
                </w:tcPr>
                <w:p w14:paraId="3916168D">
                  <w:pPr>
                    <w:widowControl/>
                    <w:adjustRightInd w:val="0"/>
                    <w:snapToGrid w:val="0"/>
                    <w:jc w:val="center"/>
                    <w:textAlignment w:val="cente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9</w:t>
                  </w:r>
                </w:p>
              </w:tc>
              <w:tc>
                <w:tcPr>
                  <w:tcW w:w="258" w:type="pct"/>
                  <w:tcBorders>
                    <w:tl2br w:val="nil"/>
                    <w:tr2bl w:val="nil"/>
                  </w:tcBorders>
                  <w:noWrap w:val="0"/>
                  <w:vAlign w:val="center"/>
                </w:tcPr>
                <w:p w14:paraId="7A0C2EE8">
                  <w:pPr>
                    <w:widowControl/>
                    <w:adjustRightInd w:val="0"/>
                    <w:snapToGrid w:val="0"/>
                    <w:jc w:val="center"/>
                    <w:textAlignment w:val="cente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41.00</w:t>
                  </w:r>
                </w:p>
              </w:tc>
              <w:tc>
                <w:tcPr>
                  <w:tcW w:w="258" w:type="pct"/>
                  <w:tcBorders>
                    <w:tl2br w:val="nil"/>
                    <w:tr2bl w:val="nil"/>
                  </w:tcBorders>
                  <w:noWrap w:val="0"/>
                  <w:vAlign w:val="center"/>
                </w:tcPr>
                <w:p w14:paraId="69B848EA">
                  <w:pPr>
                    <w:widowControl/>
                    <w:adjustRightInd w:val="0"/>
                    <w:snapToGrid w:val="0"/>
                    <w:jc w:val="center"/>
                    <w:textAlignment w:val="cente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7.36</w:t>
                  </w:r>
                </w:p>
              </w:tc>
              <w:tc>
                <w:tcPr>
                  <w:tcW w:w="258" w:type="pct"/>
                  <w:tcBorders>
                    <w:tl2br w:val="nil"/>
                    <w:tr2bl w:val="nil"/>
                  </w:tcBorders>
                  <w:noWrap w:val="0"/>
                  <w:vAlign w:val="center"/>
                </w:tcPr>
                <w:p w14:paraId="5CD35F32">
                  <w:pPr>
                    <w:widowControl/>
                    <w:adjustRightInd w:val="0"/>
                    <w:snapToGrid w:val="0"/>
                    <w:jc w:val="center"/>
                    <w:textAlignment w:val="cente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10.32</w:t>
                  </w:r>
                </w:p>
              </w:tc>
              <w:tc>
                <w:tcPr>
                  <w:tcW w:w="203" w:type="pct"/>
                  <w:tcBorders>
                    <w:tl2br w:val="nil"/>
                    <w:tr2bl w:val="nil"/>
                  </w:tcBorders>
                  <w:noWrap w:val="0"/>
                  <w:vAlign w:val="center"/>
                </w:tcPr>
                <w:p w14:paraId="74ACEB37">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13.51</w:t>
                  </w:r>
                </w:p>
              </w:tc>
              <w:tc>
                <w:tcPr>
                  <w:tcW w:w="681" w:type="dxa"/>
                  <w:tcBorders>
                    <w:tl2br w:val="nil"/>
                    <w:tr2bl w:val="nil"/>
                  </w:tcBorders>
                  <w:noWrap w:val="0"/>
                  <w:vAlign w:val="center"/>
                </w:tcPr>
                <w:p w14:paraId="62D6849E">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74.57</w:t>
                  </w:r>
                </w:p>
              </w:tc>
              <w:tc>
                <w:tcPr>
                  <w:tcW w:w="681" w:type="dxa"/>
                  <w:tcBorders>
                    <w:tl2br w:val="nil"/>
                    <w:tr2bl w:val="nil"/>
                  </w:tcBorders>
                  <w:noWrap w:val="0"/>
                  <w:vAlign w:val="center"/>
                </w:tcPr>
                <w:p w14:paraId="358C0755">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74.59</w:t>
                  </w:r>
                </w:p>
              </w:tc>
              <w:tc>
                <w:tcPr>
                  <w:tcW w:w="681" w:type="dxa"/>
                  <w:tcBorders>
                    <w:tl2br w:val="nil"/>
                    <w:tr2bl w:val="nil"/>
                  </w:tcBorders>
                  <w:noWrap w:val="0"/>
                  <w:vAlign w:val="center"/>
                </w:tcPr>
                <w:p w14:paraId="69CB02BB">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74.58</w:t>
                  </w:r>
                </w:p>
              </w:tc>
              <w:tc>
                <w:tcPr>
                  <w:tcW w:w="681" w:type="dxa"/>
                  <w:tcBorders>
                    <w:tl2br w:val="nil"/>
                    <w:tr2bl w:val="nil"/>
                  </w:tcBorders>
                  <w:noWrap w:val="0"/>
                  <w:vAlign w:val="center"/>
                </w:tcPr>
                <w:p w14:paraId="0A0D6400">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74.57</w:t>
                  </w:r>
                </w:p>
              </w:tc>
              <w:tc>
                <w:tcPr>
                  <w:tcW w:w="229" w:type="pct"/>
                  <w:vMerge w:val="restart"/>
                  <w:tcBorders>
                    <w:tl2br w:val="nil"/>
                    <w:tr2bl w:val="nil"/>
                  </w:tcBorders>
                  <w:noWrap w:val="0"/>
                  <w:vAlign w:val="center"/>
                </w:tcPr>
                <w:p w14:paraId="3620D159">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昼间</w:t>
                  </w:r>
                </w:p>
              </w:tc>
              <w:tc>
                <w:tcPr>
                  <w:tcW w:w="310" w:type="pct"/>
                  <w:vMerge w:val="restart"/>
                  <w:tcBorders>
                    <w:tl2br w:val="nil"/>
                    <w:tr2bl w:val="nil"/>
                  </w:tcBorders>
                  <w:noWrap w:val="0"/>
                  <w:vAlign w:val="center"/>
                </w:tcPr>
                <w:p w14:paraId="50DCEFE5">
                  <w:pPr>
                    <w:widowControl/>
                    <w:adjustRightInd w:val="0"/>
                    <w:snapToGrid w:val="0"/>
                    <w:jc w:val="center"/>
                    <w:textAlignment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21</w:t>
                  </w:r>
                </w:p>
              </w:tc>
              <w:tc>
                <w:tcPr>
                  <w:tcW w:w="681" w:type="dxa"/>
                  <w:tcBorders>
                    <w:tl2br w:val="nil"/>
                    <w:tr2bl w:val="nil"/>
                  </w:tcBorders>
                  <w:noWrap w:val="0"/>
                  <w:vAlign w:val="center"/>
                </w:tcPr>
                <w:p w14:paraId="29719F72">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53.57</w:t>
                  </w:r>
                </w:p>
              </w:tc>
              <w:tc>
                <w:tcPr>
                  <w:tcW w:w="681" w:type="dxa"/>
                  <w:tcBorders>
                    <w:tl2br w:val="nil"/>
                    <w:tr2bl w:val="nil"/>
                  </w:tcBorders>
                  <w:noWrap w:val="0"/>
                  <w:vAlign w:val="center"/>
                </w:tcPr>
                <w:p w14:paraId="2BF086E7">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53.59</w:t>
                  </w:r>
                </w:p>
              </w:tc>
              <w:tc>
                <w:tcPr>
                  <w:tcW w:w="681" w:type="dxa"/>
                  <w:tcBorders>
                    <w:tl2br w:val="nil"/>
                    <w:tr2bl w:val="nil"/>
                  </w:tcBorders>
                  <w:noWrap w:val="0"/>
                  <w:vAlign w:val="center"/>
                </w:tcPr>
                <w:p w14:paraId="7449DADF">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53.58</w:t>
                  </w:r>
                </w:p>
              </w:tc>
              <w:tc>
                <w:tcPr>
                  <w:tcW w:w="686" w:type="dxa"/>
                  <w:tcBorders>
                    <w:tl2br w:val="nil"/>
                    <w:tr2bl w:val="nil"/>
                  </w:tcBorders>
                  <w:noWrap w:val="0"/>
                  <w:vAlign w:val="center"/>
                </w:tcPr>
                <w:p w14:paraId="30997764">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53.57</w:t>
                  </w:r>
                </w:p>
              </w:tc>
              <w:tc>
                <w:tcPr>
                  <w:tcW w:w="116" w:type="pct"/>
                  <w:tcBorders>
                    <w:tl2br w:val="nil"/>
                    <w:tr2bl w:val="nil"/>
                  </w:tcBorders>
                  <w:noWrap w:val="0"/>
                  <w:vAlign w:val="center"/>
                </w:tcPr>
                <w:p w14:paraId="5AE0348F">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r>
            <w:tr w14:paraId="2466B5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22" w:hRule="atLeast"/>
                <w:jc w:val="center"/>
              </w:trPr>
              <w:tc>
                <w:tcPr>
                  <w:tcW w:w="328" w:type="pct"/>
                  <w:tcBorders>
                    <w:tl2br w:val="nil"/>
                    <w:tr2bl w:val="nil"/>
                  </w:tcBorders>
                  <w:noWrap w:val="0"/>
                  <w:vAlign w:val="center"/>
                </w:tcPr>
                <w:p w14:paraId="48E798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szCs w:val="21"/>
                      <w:lang w:val="en-US" w:eastAsia="zh-CN"/>
                    </w:rPr>
                    <w:t>伺服热压机</w:t>
                  </w:r>
                </w:p>
              </w:tc>
              <w:tc>
                <w:tcPr>
                  <w:tcW w:w="93" w:type="pct"/>
                  <w:tcBorders>
                    <w:tl2br w:val="nil"/>
                    <w:tr2bl w:val="nil"/>
                  </w:tcBorders>
                  <w:noWrap w:val="0"/>
                  <w:vAlign w:val="center"/>
                </w:tcPr>
                <w:p w14:paraId="621F867F">
                  <w:pPr>
                    <w:jc w:val="center"/>
                    <w:rPr>
                      <w:color w:val="auto"/>
                      <w:szCs w:val="21"/>
                    </w:rPr>
                  </w:pPr>
                  <w:r>
                    <w:rPr>
                      <w:color w:val="auto"/>
                      <w:szCs w:val="21"/>
                    </w:rPr>
                    <w:t>80</w:t>
                  </w:r>
                </w:p>
              </w:tc>
              <w:tc>
                <w:tcPr>
                  <w:tcW w:w="229" w:type="pct"/>
                  <w:vMerge w:val="continue"/>
                  <w:tcBorders>
                    <w:tl2br w:val="nil"/>
                    <w:tr2bl w:val="nil"/>
                  </w:tcBorders>
                  <w:noWrap w:val="0"/>
                  <w:vAlign w:val="center"/>
                </w:tcPr>
                <w:p w14:paraId="23B5469F">
                  <w:pPr>
                    <w:jc w:val="center"/>
                    <w:rPr>
                      <w:color w:val="auto"/>
                      <w:szCs w:val="21"/>
                    </w:rPr>
                  </w:pPr>
                </w:p>
              </w:tc>
              <w:tc>
                <w:tcPr>
                  <w:tcW w:w="258" w:type="pct"/>
                  <w:tcBorders>
                    <w:tl2br w:val="nil"/>
                    <w:tr2bl w:val="nil"/>
                  </w:tcBorders>
                  <w:noWrap w:val="0"/>
                  <w:vAlign w:val="center"/>
                </w:tcPr>
                <w:p w14:paraId="0C924196">
                  <w:pPr>
                    <w:widowControl/>
                    <w:adjustRightInd w:val="0"/>
                    <w:snapToGrid w:val="0"/>
                    <w:jc w:val="center"/>
                    <w:textAlignment w:val="cente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18.54</w:t>
                  </w:r>
                </w:p>
              </w:tc>
              <w:tc>
                <w:tcPr>
                  <w:tcW w:w="228" w:type="pct"/>
                  <w:tcBorders>
                    <w:tl2br w:val="nil"/>
                    <w:tr2bl w:val="nil"/>
                  </w:tcBorders>
                  <w:noWrap w:val="0"/>
                  <w:vAlign w:val="center"/>
                </w:tcPr>
                <w:p w14:paraId="4B8C51BF">
                  <w:pPr>
                    <w:widowControl/>
                    <w:adjustRightInd w:val="0"/>
                    <w:snapToGrid w:val="0"/>
                    <w:jc w:val="center"/>
                    <w:textAlignment w:val="cente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7.49</w:t>
                  </w:r>
                </w:p>
              </w:tc>
              <w:tc>
                <w:tcPr>
                  <w:tcW w:w="160" w:type="pct"/>
                  <w:tcBorders>
                    <w:tl2br w:val="nil"/>
                    <w:tr2bl w:val="nil"/>
                  </w:tcBorders>
                  <w:noWrap w:val="0"/>
                  <w:vAlign w:val="center"/>
                </w:tcPr>
                <w:p w14:paraId="6CD85B74">
                  <w:pPr>
                    <w:widowControl/>
                    <w:adjustRightInd w:val="0"/>
                    <w:snapToGrid w:val="0"/>
                    <w:jc w:val="center"/>
                    <w:textAlignment w:val="cente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9</w:t>
                  </w:r>
                </w:p>
              </w:tc>
              <w:tc>
                <w:tcPr>
                  <w:tcW w:w="258" w:type="pct"/>
                  <w:tcBorders>
                    <w:tl2br w:val="nil"/>
                    <w:tr2bl w:val="nil"/>
                  </w:tcBorders>
                  <w:noWrap w:val="0"/>
                  <w:vAlign w:val="center"/>
                </w:tcPr>
                <w:p w14:paraId="060752F4">
                  <w:pPr>
                    <w:widowControl/>
                    <w:adjustRightInd w:val="0"/>
                    <w:snapToGrid w:val="0"/>
                    <w:jc w:val="center"/>
                    <w:textAlignment w:val="cente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32.90</w:t>
                  </w:r>
                </w:p>
              </w:tc>
              <w:tc>
                <w:tcPr>
                  <w:tcW w:w="258" w:type="pct"/>
                  <w:tcBorders>
                    <w:tl2br w:val="nil"/>
                    <w:tr2bl w:val="nil"/>
                  </w:tcBorders>
                  <w:noWrap w:val="0"/>
                  <w:vAlign w:val="center"/>
                </w:tcPr>
                <w:p w14:paraId="63134AF0">
                  <w:pPr>
                    <w:widowControl/>
                    <w:adjustRightInd w:val="0"/>
                    <w:snapToGrid w:val="0"/>
                    <w:jc w:val="center"/>
                    <w:textAlignment w:val="cente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6.94</w:t>
                  </w:r>
                </w:p>
              </w:tc>
              <w:tc>
                <w:tcPr>
                  <w:tcW w:w="258" w:type="pct"/>
                  <w:tcBorders>
                    <w:tl2br w:val="nil"/>
                    <w:tr2bl w:val="nil"/>
                  </w:tcBorders>
                  <w:noWrap w:val="0"/>
                  <w:vAlign w:val="center"/>
                </w:tcPr>
                <w:p w14:paraId="4E11B55B">
                  <w:pPr>
                    <w:widowControl/>
                    <w:adjustRightInd w:val="0"/>
                    <w:snapToGrid w:val="0"/>
                    <w:jc w:val="center"/>
                    <w:textAlignment w:val="cente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18.42</w:t>
                  </w:r>
                </w:p>
              </w:tc>
              <w:tc>
                <w:tcPr>
                  <w:tcW w:w="203" w:type="pct"/>
                  <w:tcBorders>
                    <w:tl2br w:val="nil"/>
                    <w:tr2bl w:val="nil"/>
                  </w:tcBorders>
                  <w:noWrap w:val="0"/>
                  <w:vAlign w:val="center"/>
                </w:tcPr>
                <w:p w14:paraId="767425E7">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14.13</w:t>
                  </w:r>
                </w:p>
              </w:tc>
              <w:tc>
                <w:tcPr>
                  <w:tcW w:w="681" w:type="dxa"/>
                  <w:tcBorders>
                    <w:tl2br w:val="nil"/>
                    <w:tr2bl w:val="nil"/>
                  </w:tcBorders>
                  <w:noWrap w:val="0"/>
                  <w:vAlign w:val="center"/>
                </w:tcPr>
                <w:p w14:paraId="700178C4">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74.57</w:t>
                  </w:r>
                </w:p>
              </w:tc>
              <w:tc>
                <w:tcPr>
                  <w:tcW w:w="681" w:type="dxa"/>
                  <w:tcBorders>
                    <w:tl2br w:val="nil"/>
                    <w:tr2bl w:val="nil"/>
                  </w:tcBorders>
                  <w:noWrap w:val="0"/>
                  <w:vAlign w:val="center"/>
                </w:tcPr>
                <w:p w14:paraId="762E06CD">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74.59</w:t>
                  </w:r>
                </w:p>
              </w:tc>
              <w:tc>
                <w:tcPr>
                  <w:tcW w:w="681" w:type="dxa"/>
                  <w:tcBorders>
                    <w:tl2br w:val="nil"/>
                    <w:tr2bl w:val="nil"/>
                  </w:tcBorders>
                  <w:noWrap w:val="0"/>
                  <w:vAlign w:val="center"/>
                </w:tcPr>
                <w:p w14:paraId="76AE9EB1">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74.57</w:t>
                  </w:r>
                </w:p>
              </w:tc>
              <w:tc>
                <w:tcPr>
                  <w:tcW w:w="681" w:type="dxa"/>
                  <w:tcBorders>
                    <w:tl2br w:val="nil"/>
                    <w:tr2bl w:val="nil"/>
                  </w:tcBorders>
                  <w:noWrap w:val="0"/>
                  <w:vAlign w:val="center"/>
                </w:tcPr>
                <w:p w14:paraId="59B6E942">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74.57</w:t>
                  </w:r>
                </w:p>
              </w:tc>
              <w:tc>
                <w:tcPr>
                  <w:tcW w:w="229" w:type="pct"/>
                  <w:vMerge w:val="continue"/>
                  <w:tcBorders>
                    <w:tl2br w:val="nil"/>
                    <w:tr2bl w:val="nil"/>
                  </w:tcBorders>
                  <w:noWrap w:val="0"/>
                  <w:vAlign w:val="center"/>
                </w:tcPr>
                <w:p w14:paraId="4DEBCC26">
                  <w:pPr>
                    <w:widowControl/>
                    <w:adjustRightInd w:val="0"/>
                    <w:snapToGrid w:val="0"/>
                    <w:jc w:val="center"/>
                    <w:textAlignment w:val="center"/>
                    <w:rPr>
                      <w:rFonts w:hint="eastAsia" w:ascii="Times New Roman" w:hAnsi="Times New Roman" w:eastAsia="宋体" w:cs="Times New Roman"/>
                      <w:color w:val="auto"/>
                      <w:lang w:val="en-US" w:eastAsia="zh-CN"/>
                    </w:rPr>
                  </w:pPr>
                </w:p>
              </w:tc>
              <w:tc>
                <w:tcPr>
                  <w:tcW w:w="310" w:type="pct"/>
                  <w:vMerge w:val="continue"/>
                  <w:tcBorders>
                    <w:tl2br w:val="nil"/>
                    <w:tr2bl w:val="nil"/>
                  </w:tcBorders>
                  <w:noWrap w:val="0"/>
                  <w:vAlign w:val="center"/>
                </w:tcPr>
                <w:p w14:paraId="47AE050F">
                  <w:pPr>
                    <w:widowControl/>
                    <w:adjustRightInd w:val="0"/>
                    <w:snapToGrid w:val="0"/>
                    <w:jc w:val="center"/>
                    <w:textAlignment w:val="center"/>
                    <w:rPr>
                      <w:rFonts w:hint="default" w:ascii="Times New Roman" w:hAnsi="Times New Roman" w:eastAsia="宋体" w:cs="Times New Roman"/>
                      <w:color w:val="auto"/>
                      <w:lang w:val="en-US" w:eastAsia="zh-CN"/>
                    </w:rPr>
                  </w:pPr>
                </w:p>
              </w:tc>
              <w:tc>
                <w:tcPr>
                  <w:tcW w:w="681" w:type="dxa"/>
                  <w:tcBorders>
                    <w:tl2br w:val="nil"/>
                    <w:tr2bl w:val="nil"/>
                  </w:tcBorders>
                  <w:noWrap w:val="0"/>
                  <w:vAlign w:val="center"/>
                </w:tcPr>
                <w:p w14:paraId="12935040">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53.57</w:t>
                  </w:r>
                </w:p>
              </w:tc>
              <w:tc>
                <w:tcPr>
                  <w:tcW w:w="681" w:type="dxa"/>
                  <w:tcBorders>
                    <w:tl2br w:val="nil"/>
                    <w:tr2bl w:val="nil"/>
                  </w:tcBorders>
                  <w:noWrap w:val="0"/>
                  <w:vAlign w:val="center"/>
                </w:tcPr>
                <w:p w14:paraId="24178DD7">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53.59</w:t>
                  </w:r>
                </w:p>
              </w:tc>
              <w:tc>
                <w:tcPr>
                  <w:tcW w:w="681" w:type="dxa"/>
                  <w:tcBorders>
                    <w:tl2br w:val="nil"/>
                    <w:tr2bl w:val="nil"/>
                  </w:tcBorders>
                  <w:noWrap w:val="0"/>
                  <w:vAlign w:val="center"/>
                </w:tcPr>
                <w:p w14:paraId="36A12183">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53.57</w:t>
                  </w:r>
                </w:p>
              </w:tc>
              <w:tc>
                <w:tcPr>
                  <w:tcW w:w="686" w:type="dxa"/>
                  <w:tcBorders>
                    <w:tl2br w:val="nil"/>
                    <w:tr2bl w:val="nil"/>
                  </w:tcBorders>
                  <w:noWrap w:val="0"/>
                  <w:vAlign w:val="center"/>
                </w:tcPr>
                <w:p w14:paraId="4FFD2E01">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53.57</w:t>
                  </w:r>
                </w:p>
              </w:tc>
              <w:tc>
                <w:tcPr>
                  <w:tcW w:w="116" w:type="pct"/>
                  <w:tcBorders>
                    <w:tl2br w:val="nil"/>
                    <w:tr2bl w:val="nil"/>
                  </w:tcBorders>
                  <w:noWrap w:val="0"/>
                  <w:vAlign w:val="center"/>
                </w:tcPr>
                <w:p w14:paraId="7E821CAE">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r>
            <w:tr w14:paraId="0FCAAE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5" w:hRule="atLeast"/>
                <w:jc w:val="center"/>
              </w:trPr>
              <w:tc>
                <w:tcPr>
                  <w:tcW w:w="328" w:type="pct"/>
                  <w:tcBorders>
                    <w:tl2br w:val="nil"/>
                    <w:tr2bl w:val="nil"/>
                  </w:tcBorders>
                  <w:noWrap w:val="0"/>
                  <w:vAlign w:val="center"/>
                </w:tcPr>
                <w:p w14:paraId="107FB0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szCs w:val="21"/>
                      <w:lang w:val="en-US" w:eastAsia="zh-CN"/>
                    </w:rPr>
                    <w:t>五合一贴合设备</w:t>
                  </w:r>
                </w:p>
              </w:tc>
              <w:tc>
                <w:tcPr>
                  <w:tcW w:w="93" w:type="pct"/>
                  <w:tcBorders>
                    <w:tl2br w:val="nil"/>
                    <w:tr2bl w:val="nil"/>
                  </w:tcBorders>
                  <w:noWrap w:val="0"/>
                  <w:vAlign w:val="center"/>
                </w:tcPr>
                <w:p w14:paraId="0DA6C87B">
                  <w:pPr>
                    <w:jc w:val="center"/>
                    <w:rPr>
                      <w:rFonts w:hint="default" w:eastAsia="宋体"/>
                      <w:color w:val="auto"/>
                      <w:szCs w:val="21"/>
                      <w:lang w:val="en-US" w:eastAsia="zh-CN"/>
                    </w:rPr>
                  </w:pPr>
                  <w:r>
                    <w:rPr>
                      <w:rFonts w:hint="eastAsia"/>
                      <w:color w:val="auto"/>
                      <w:szCs w:val="21"/>
                      <w:lang w:val="en-US" w:eastAsia="zh-CN"/>
                    </w:rPr>
                    <w:t>80</w:t>
                  </w:r>
                </w:p>
              </w:tc>
              <w:tc>
                <w:tcPr>
                  <w:tcW w:w="229" w:type="pct"/>
                  <w:vMerge w:val="continue"/>
                  <w:tcBorders>
                    <w:tl2br w:val="nil"/>
                    <w:tr2bl w:val="nil"/>
                  </w:tcBorders>
                  <w:noWrap w:val="0"/>
                  <w:vAlign w:val="center"/>
                </w:tcPr>
                <w:p w14:paraId="3FF9CD2D">
                  <w:pPr>
                    <w:jc w:val="center"/>
                    <w:rPr>
                      <w:color w:val="auto"/>
                      <w:szCs w:val="21"/>
                    </w:rPr>
                  </w:pPr>
                </w:p>
              </w:tc>
              <w:tc>
                <w:tcPr>
                  <w:tcW w:w="258" w:type="pct"/>
                  <w:tcBorders>
                    <w:tl2br w:val="nil"/>
                    <w:tr2bl w:val="nil"/>
                  </w:tcBorders>
                  <w:noWrap w:val="0"/>
                  <w:vAlign w:val="center"/>
                </w:tcPr>
                <w:p w14:paraId="7E73ADB8">
                  <w:pPr>
                    <w:widowControl/>
                    <w:adjustRightInd w:val="0"/>
                    <w:snapToGrid w:val="0"/>
                    <w:jc w:val="center"/>
                    <w:textAlignment w:val="cente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26.64</w:t>
                  </w:r>
                </w:p>
              </w:tc>
              <w:tc>
                <w:tcPr>
                  <w:tcW w:w="228" w:type="pct"/>
                  <w:tcBorders>
                    <w:tl2br w:val="nil"/>
                    <w:tr2bl w:val="nil"/>
                  </w:tcBorders>
                  <w:noWrap w:val="0"/>
                  <w:vAlign w:val="center"/>
                </w:tcPr>
                <w:p w14:paraId="2F40317F">
                  <w:pPr>
                    <w:widowControl/>
                    <w:adjustRightInd w:val="0"/>
                    <w:snapToGrid w:val="0"/>
                    <w:jc w:val="center"/>
                    <w:textAlignment w:val="cente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7.63</w:t>
                  </w:r>
                </w:p>
              </w:tc>
              <w:tc>
                <w:tcPr>
                  <w:tcW w:w="160" w:type="pct"/>
                  <w:tcBorders>
                    <w:tl2br w:val="nil"/>
                    <w:tr2bl w:val="nil"/>
                  </w:tcBorders>
                  <w:noWrap w:val="0"/>
                  <w:vAlign w:val="center"/>
                </w:tcPr>
                <w:p w14:paraId="24B934DD">
                  <w:pPr>
                    <w:widowControl/>
                    <w:adjustRightInd w:val="0"/>
                    <w:snapToGrid w:val="0"/>
                    <w:jc w:val="center"/>
                    <w:textAlignment w:val="cente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9</w:t>
                  </w:r>
                </w:p>
              </w:tc>
              <w:tc>
                <w:tcPr>
                  <w:tcW w:w="258" w:type="pct"/>
                  <w:tcBorders>
                    <w:tl2br w:val="nil"/>
                    <w:tr2bl w:val="nil"/>
                  </w:tcBorders>
                  <w:noWrap w:val="0"/>
                  <w:vAlign w:val="center"/>
                </w:tcPr>
                <w:p w14:paraId="2E86F5AD">
                  <w:pPr>
                    <w:widowControl/>
                    <w:adjustRightInd w:val="0"/>
                    <w:snapToGrid w:val="0"/>
                    <w:jc w:val="center"/>
                    <w:textAlignment w:val="cente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24.80</w:t>
                  </w:r>
                </w:p>
              </w:tc>
              <w:tc>
                <w:tcPr>
                  <w:tcW w:w="258" w:type="pct"/>
                  <w:tcBorders>
                    <w:tl2br w:val="nil"/>
                    <w:tr2bl w:val="nil"/>
                  </w:tcBorders>
                  <w:noWrap w:val="0"/>
                  <w:vAlign w:val="center"/>
                </w:tcPr>
                <w:p w14:paraId="5EF12EF0">
                  <w:pPr>
                    <w:widowControl/>
                    <w:adjustRightInd w:val="0"/>
                    <w:snapToGrid w:val="0"/>
                    <w:jc w:val="center"/>
                    <w:textAlignment w:val="cente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6.93</w:t>
                  </w:r>
                </w:p>
              </w:tc>
              <w:tc>
                <w:tcPr>
                  <w:tcW w:w="258" w:type="pct"/>
                  <w:tcBorders>
                    <w:tl2br w:val="nil"/>
                    <w:tr2bl w:val="nil"/>
                  </w:tcBorders>
                  <w:noWrap w:val="0"/>
                  <w:vAlign w:val="center"/>
                </w:tcPr>
                <w:p w14:paraId="59CAEC15">
                  <w:pPr>
                    <w:widowControl/>
                    <w:adjustRightInd w:val="0"/>
                    <w:snapToGrid w:val="0"/>
                    <w:jc w:val="center"/>
                    <w:textAlignment w:val="cente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26.51</w:t>
                  </w:r>
                </w:p>
              </w:tc>
              <w:tc>
                <w:tcPr>
                  <w:tcW w:w="203" w:type="pct"/>
                  <w:tcBorders>
                    <w:tl2br w:val="nil"/>
                    <w:tr2bl w:val="nil"/>
                  </w:tcBorders>
                  <w:noWrap w:val="0"/>
                  <w:vAlign w:val="center"/>
                </w:tcPr>
                <w:p w14:paraId="6FA88A26">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14.34</w:t>
                  </w:r>
                </w:p>
              </w:tc>
              <w:tc>
                <w:tcPr>
                  <w:tcW w:w="681" w:type="dxa"/>
                  <w:tcBorders>
                    <w:tl2br w:val="nil"/>
                    <w:tr2bl w:val="nil"/>
                  </w:tcBorders>
                  <w:noWrap w:val="0"/>
                  <w:vAlign w:val="center"/>
                </w:tcPr>
                <w:p w14:paraId="54D89C49">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74.57</w:t>
                  </w:r>
                </w:p>
              </w:tc>
              <w:tc>
                <w:tcPr>
                  <w:tcW w:w="681" w:type="dxa"/>
                  <w:tcBorders>
                    <w:tl2br w:val="nil"/>
                    <w:tr2bl w:val="nil"/>
                  </w:tcBorders>
                  <w:noWrap w:val="0"/>
                  <w:vAlign w:val="center"/>
                </w:tcPr>
                <w:p w14:paraId="0FC32DD3">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74.59</w:t>
                  </w:r>
                </w:p>
              </w:tc>
              <w:tc>
                <w:tcPr>
                  <w:tcW w:w="681" w:type="dxa"/>
                  <w:tcBorders>
                    <w:tl2br w:val="nil"/>
                    <w:tr2bl w:val="nil"/>
                  </w:tcBorders>
                  <w:noWrap w:val="0"/>
                  <w:vAlign w:val="center"/>
                </w:tcPr>
                <w:p w14:paraId="62C7D6FE">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74.57</w:t>
                  </w:r>
                </w:p>
              </w:tc>
              <w:tc>
                <w:tcPr>
                  <w:tcW w:w="681" w:type="dxa"/>
                  <w:tcBorders>
                    <w:tl2br w:val="nil"/>
                    <w:tr2bl w:val="nil"/>
                  </w:tcBorders>
                  <w:noWrap w:val="0"/>
                  <w:vAlign w:val="center"/>
                </w:tcPr>
                <w:p w14:paraId="2740EA8F">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74.57</w:t>
                  </w:r>
                </w:p>
              </w:tc>
              <w:tc>
                <w:tcPr>
                  <w:tcW w:w="229" w:type="pct"/>
                  <w:vMerge w:val="continue"/>
                  <w:tcBorders>
                    <w:tl2br w:val="nil"/>
                    <w:tr2bl w:val="nil"/>
                  </w:tcBorders>
                  <w:noWrap w:val="0"/>
                  <w:vAlign w:val="center"/>
                </w:tcPr>
                <w:p w14:paraId="1DF855DA">
                  <w:pPr>
                    <w:widowControl/>
                    <w:adjustRightInd w:val="0"/>
                    <w:snapToGrid w:val="0"/>
                    <w:jc w:val="center"/>
                    <w:textAlignment w:val="center"/>
                    <w:rPr>
                      <w:rFonts w:hint="eastAsia" w:ascii="Times New Roman" w:hAnsi="Times New Roman" w:eastAsia="宋体" w:cs="Times New Roman"/>
                      <w:color w:val="auto"/>
                      <w:lang w:val="en-US" w:eastAsia="zh-CN"/>
                    </w:rPr>
                  </w:pPr>
                </w:p>
              </w:tc>
              <w:tc>
                <w:tcPr>
                  <w:tcW w:w="310" w:type="pct"/>
                  <w:vMerge w:val="continue"/>
                  <w:tcBorders>
                    <w:tl2br w:val="nil"/>
                    <w:tr2bl w:val="nil"/>
                  </w:tcBorders>
                  <w:noWrap w:val="0"/>
                  <w:vAlign w:val="center"/>
                </w:tcPr>
                <w:p w14:paraId="1F64A313">
                  <w:pPr>
                    <w:widowControl/>
                    <w:adjustRightInd w:val="0"/>
                    <w:snapToGrid w:val="0"/>
                    <w:jc w:val="center"/>
                    <w:textAlignment w:val="center"/>
                    <w:rPr>
                      <w:rFonts w:hint="default" w:ascii="Times New Roman" w:hAnsi="Times New Roman" w:eastAsia="宋体" w:cs="Times New Roman"/>
                      <w:color w:val="auto"/>
                      <w:lang w:val="en-US" w:eastAsia="zh-CN"/>
                    </w:rPr>
                  </w:pPr>
                </w:p>
              </w:tc>
              <w:tc>
                <w:tcPr>
                  <w:tcW w:w="681" w:type="dxa"/>
                  <w:tcBorders>
                    <w:tl2br w:val="nil"/>
                    <w:tr2bl w:val="nil"/>
                  </w:tcBorders>
                  <w:noWrap w:val="0"/>
                  <w:vAlign w:val="center"/>
                </w:tcPr>
                <w:p w14:paraId="19A5553B">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53.57</w:t>
                  </w:r>
                </w:p>
              </w:tc>
              <w:tc>
                <w:tcPr>
                  <w:tcW w:w="681" w:type="dxa"/>
                  <w:tcBorders>
                    <w:tl2br w:val="nil"/>
                    <w:tr2bl w:val="nil"/>
                  </w:tcBorders>
                  <w:noWrap w:val="0"/>
                  <w:vAlign w:val="center"/>
                </w:tcPr>
                <w:p w14:paraId="3ECEC151">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53.59</w:t>
                  </w:r>
                </w:p>
              </w:tc>
              <w:tc>
                <w:tcPr>
                  <w:tcW w:w="681" w:type="dxa"/>
                  <w:tcBorders>
                    <w:tl2br w:val="nil"/>
                    <w:tr2bl w:val="nil"/>
                  </w:tcBorders>
                  <w:noWrap w:val="0"/>
                  <w:vAlign w:val="center"/>
                </w:tcPr>
                <w:p w14:paraId="45450221">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53.57</w:t>
                  </w:r>
                </w:p>
              </w:tc>
              <w:tc>
                <w:tcPr>
                  <w:tcW w:w="686" w:type="dxa"/>
                  <w:tcBorders>
                    <w:tl2br w:val="nil"/>
                    <w:tr2bl w:val="nil"/>
                  </w:tcBorders>
                  <w:noWrap w:val="0"/>
                  <w:vAlign w:val="center"/>
                </w:tcPr>
                <w:p w14:paraId="4FA04801">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53.57</w:t>
                  </w:r>
                </w:p>
              </w:tc>
              <w:tc>
                <w:tcPr>
                  <w:tcW w:w="116" w:type="pct"/>
                  <w:tcBorders>
                    <w:tl2br w:val="nil"/>
                    <w:tr2bl w:val="nil"/>
                  </w:tcBorders>
                  <w:noWrap w:val="0"/>
                  <w:vAlign w:val="center"/>
                </w:tcPr>
                <w:p w14:paraId="09F80F5E">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r>
            <w:tr w14:paraId="290958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64" w:hRule="atLeast"/>
                <w:jc w:val="center"/>
              </w:trPr>
              <w:tc>
                <w:tcPr>
                  <w:tcW w:w="328" w:type="pct"/>
                  <w:tcBorders>
                    <w:tl2br w:val="nil"/>
                    <w:tr2bl w:val="nil"/>
                  </w:tcBorders>
                  <w:noWrap w:val="0"/>
                  <w:vAlign w:val="center"/>
                </w:tcPr>
                <w:p w14:paraId="62DCA5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szCs w:val="21"/>
                      <w:lang w:val="en-US" w:eastAsia="zh-CN"/>
                    </w:rPr>
                    <w:t>七合一贴合设备</w:t>
                  </w:r>
                </w:p>
              </w:tc>
              <w:tc>
                <w:tcPr>
                  <w:tcW w:w="93" w:type="pct"/>
                  <w:tcBorders>
                    <w:tl2br w:val="nil"/>
                    <w:tr2bl w:val="nil"/>
                  </w:tcBorders>
                  <w:noWrap w:val="0"/>
                  <w:vAlign w:val="center"/>
                </w:tcPr>
                <w:p w14:paraId="3800D0D0">
                  <w:pPr>
                    <w:jc w:val="center"/>
                    <w:rPr>
                      <w:color w:val="auto"/>
                      <w:szCs w:val="21"/>
                    </w:rPr>
                  </w:pPr>
                  <w:r>
                    <w:rPr>
                      <w:color w:val="auto"/>
                      <w:szCs w:val="21"/>
                    </w:rPr>
                    <w:t>80</w:t>
                  </w:r>
                </w:p>
              </w:tc>
              <w:tc>
                <w:tcPr>
                  <w:tcW w:w="229" w:type="pct"/>
                  <w:vMerge w:val="continue"/>
                  <w:tcBorders>
                    <w:tl2br w:val="nil"/>
                    <w:tr2bl w:val="nil"/>
                  </w:tcBorders>
                  <w:noWrap w:val="0"/>
                  <w:vAlign w:val="center"/>
                </w:tcPr>
                <w:p w14:paraId="21912769">
                  <w:pPr>
                    <w:jc w:val="center"/>
                    <w:rPr>
                      <w:color w:val="auto"/>
                      <w:szCs w:val="21"/>
                    </w:rPr>
                  </w:pPr>
                </w:p>
              </w:tc>
              <w:tc>
                <w:tcPr>
                  <w:tcW w:w="258" w:type="pct"/>
                  <w:tcBorders>
                    <w:tl2br w:val="nil"/>
                    <w:tr2bl w:val="nil"/>
                  </w:tcBorders>
                  <w:noWrap w:val="0"/>
                  <w:vAlign w:val="center"/>
                </w:tcPr>
                <w:p w14:paraId="39C3D3C6">
                  <w:pPr>
                    <w:widowControl/>
                    <w:adjustRightInd w:val="0"/>
                    <w:snapToGrid w:val="0"/>
                    <w:jc w:val="center"/>
                    <w:textAlignment w:val="cente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35.57</w:t>
                  </w:r>
                </w:p>
              </w:tc>
              <w:tc>
                <w:tcPr>
                  <w:tcW w:w="228" w:type="pct"/>
                  <w:tcBorders>
                    <w:tl2br w:val="nil"/>
                    <w:tr2bl w:val="nil"/>
                  </w:tcBorders>
                  <w:noWrap w:val="0"/>
                  <w:vAlign w:val="center"/>
                </w:tcPr>
                <w:p w14:paraId="50C0BA88">
                  <w:pPr>
                    <w:widowControl/>
                    <w:adjustRightInd w:val="0"/>
                    <w:snapToGrid w:val="0"/>
                    <w:jc w:val="center"/>
                    <w:textAlignment w:val="cente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8.17</w:t>
                  </w:r>
                </w:p>
              </w:tc>
              <w:tc>
                <w:tcPr>
                  <w:tcW w:w="160" w:type="pct"/>
                  <w:tcBorders>
                    <w:tl2br w:val="nil"/>
                    <w:tr2bl w:val="nil"/>
                  </w:tcBorders>
                  <w:noWrap w:val="0"/>
                  <w:vAlign w:val="center"/>
                </w:tcPr>
                <w:p w14:paraId="72934C7A">
                  <w:pPr>
                    <w:widowControl/>
                    <w:adjustRightInd w:val="0"/>
                    <w:snapToGrid w:val="0"/>
                    <w:jc w:val="center"/>
                    <w:textAlignment w:val="cente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9</w:t>
                  </w:r>
                </w:p>
              </w:tc>
              <w:tc>
                <w:tcPr>
                  <w:tcW w:w="258" w:type="pct"/>
                  <w:tcBorders>
                    <w:tl2br w:val="nil"/>
                    <w:tr2bl w:val="nil"/>
                  </w:tcBorders>
                  <w:noWrap w:val="0"/>
                  <w:vAlign w:val="center"/>
                </w:tcPr>
                <w:p w14:paraId="7FD0A804">
                  <w:pPr>
                    <w:widowControl/>
                    <w:adjustRightInd w:val="0"/>
                    <w:snapToGrid w:val="0"/>
                    <w:jc w:val="center"/>
                    <w:textAlignment w:val="cente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15.86</w:t>
                  </w:r>
                </w:p>
              </w:tc>
              <w:tc>
                <w:tcPr>
                  <w:tcW w:w="258" w:type="pct"/>
                  <w:tcBorders>
                    <w:tl2br w:val="nil"/>
                    <w:tr2bl w:val="nil"/>
                  </w:tcBorders>
                  <w:noWrap w:val="0"/>
                  <w:vAlign w:val="center"/>
                </w:tcPr>
                <w:p w14:paraId="439D0CEE">
                  <w:pPr>
                    <w:widowControl/>
                    <w:adjustRightInd w:val="0"/>
                    <w:snapToGrid w:val="0"/>
                    <w:jc w:val="center"/>
                    <w:textAlignment w:val="cente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7.30</w:t>
                  </w:r>
                </w:p>
              </w:tc>
              <w:tc>
                <w:tcPr>
                  <w:tcW w:w="258" w:type="pct"/>
                  <w:tcBorders>
                    <w:tl2br w:val="nil"/>
                    <w:tr2bl w:val="nil"/>
                  </w:tcBorders>
                  <w:noWrap w:val="0"/>
                  <w:vAlign w:val="center"/>
                </w:tcPr>
                <w:p w14:paraId="7F93A9EC">
                  <w:pPr>
                    <w:widowControl/>
                    <w:adjustRightInd w:val="0"/>
                    <w:snapToGrid w:val="0"/>
                    <w:jc w:val="center"/>
                    <w:textAlignment w:val="cente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35.46</w:t>
                  </w:r>
                </w:p>
              </w:tc>
              <w:tc>
                <w:tcPr>
                  <w:tcW w:w="203" w:type="pct"/>
                  <w:tcBorders>
                    <w:tl2br w:val="nil"/>
                    <w:tr2bl w:val="nil"/>
                  </w:tcBorders>
                  <w:noWrap w:val="0"/>
                  <w:vAlign w:val="center"/>
                </w:tcPr>
                <w:p w14:paraId="03B91423">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14.18</w:t>
                  </w:r>
                </w:p>
              </w:tc>
              <w:tc>
                <w:tcPr>
                  <w:tcW w:w="681" w:type="dxa"/>
                  <w:tcBorders>
                    <w:tl2br w:val="nil"/>
                    <w:tr2bl w:val="nil"/>
                  </w:tcBorders>
                  <w:noWrap w:val="0"/>
                  <w:vAlign w:val="center"/>
                </w:tcPr>
                <w:p w14:paraId="712EE2BF">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74.57</w:t>
                  </w:r>
                </w:p>
              </w:tc>
              <w:tc>
                <w:tcPr>
                  <w:tcW w:w="681" w:type="dxa"/>
                  <w:tcBorders>
                    <w:tl2br w:val="nil"/>
                    <w:tr2bl w:val="nil"/>
                  </w:tcBorders>
                  <w:noWrap w:val="0"/>
                  <w:vAlign w:val="center"/>
                </w:tcPr>
                <w:p w14:paraId="510DEF77">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74.59</w:t>
                  </w:r>
                </w:p>
              </w:tc>
              <w:tc>
                <w:tcPr>
                  <w:tcW w:w="681" w:type="dxa"/>
                  <w:tcBorders>
                    <w:tl2br w:val="nil"/>
                    <w:tr2bl w:val="nil"/>
                  </w:tcBorders>
                  <w:noWrap w:val="0"/>
                  <w:vAlign w:val="center"/>
                </w:tcPr>
                <w:p w14:paraId="62C04083">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74.57</w:t>
                  </w:r>
                </w:p>
              </w:tc>
              <w:tc>
                <w:tcPr>
                  <w:tcW w:w="681" w:type="dxa"/>
                  <w:tcBorders>
                    <w:tl2br w:val="nil"/>
                    <w:tr2bl w:val="nil"/>
                  </w:tcBorders>
                  <w:noWrap w:val="0"/>
                  <w:vAlign w:val="center"/>
                </w:tcPr>
                <w:p w14:paraId="3D4DD0DB">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74.57</w:t>
                  </w:r>
                </w:p>
              </w:tc>
              <w:tc>
                <w:tcPr>
                  <w:tcW w:w="229" w:type="pct"/>
                  <w:vMerge w:val="continue"/>
                  <w:tcBorders>
                    <w:tl2br w:val="nil"/>
                    <w:tr2bl w:val="nil"/>
                  </w:tcBorders>
                  <w:noWrap w:val="0"/>
                  <w:vAlign w:val="center"/>
                </w:tcPr>
                <w:p w14:paraId="09028C46">
                  <w:pPr>
                    <w:widowControl/>
                    <w:adjustRightInd w:val="0"/>
                    <w:snapToGrid w:val="0"/>
                    <w:jc w:val="center"/>
                    <w:textAlignment w:val="center"/>
                    <w:rPr>
                      <w:rFonts w:hint="eastAsia" w:ascii="Times New Roman" w:hAnsi="Times New Roman" w:eastAsia="宋体" w:cs="Times New Roman"/>
                      <w:color w:val="auto"/>
                      <w:lang w:val="en-US" w:eastAsia="zh-CN"/>
                    </w:rPr>
                  </w:pPr>
                </w:p>
              </w:tc>
              <w:tc>
                <w:tcPr>
                  <w:tcW w:w="310" w:type="pct"/>
                  <w:vMerge w:val="continue"/>
                  <w:tcBorders>
                    <w:tl2br w:val="nil"/>
                    <w:tr2bl w:val="nil"/>
                  </w:tcBorders>
                  <w:noWrap w:val="0"/>
                  <w:vAlign w:val="center"/>
                </w:tcPr>
                <w:p w14:paraId="36590F27">
                  <w:pPr>
                    <w:widowControl/>
                    <w:adjustRightInd w:val="0"/>
                    <w:snapToGrid w:val="0"/>
                    <w:jc w:val="center"/>
                    <w:textAlignment w:val="center"/>
                    <w:rPr>
                      <w:rFonts w:hint="default" w:ascii="Times New Roman" w:hAnsi="Times New Roman" w:eastAsia="宋体" w:cs="Times New Roman"/>
                      <w:color w:val="auto"/>
                      <w:lang w:val="en-US" w:eastAsia="zh-CN"/>
                    </w:rPr>
                  </w:pPr>
                </w:p>
              </w:tc>
              <w:tc>
                <w:tcPr>
                  <w:tcW w:w="681" w:type="dxa"/>
                  <w:tcBorders>
                    <w:tl2br w:val="nil"/>
                    <w:tr2bl w:val="nil"/>
                  </w:tcBorders>
                  <w:noWrap w:val="0"/>
                  <w:vAlign w:val="center"/>
                </w:tcPr>
                <w:p w14:paraId="0425B6F2">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53.57</w:t>
                  </w:r>
                </w:p>
              </w:tc>
              <w:tc>
                <w:tcPr>
                  <w:tcW w:w="681" w:type="dxa"/>
                  <w:tcBorders>
                    <w:tl2br w:val="nil"/>
                    <w:tr2bl w:val="nil"/>
                  </w:tcBorders>
                  <w:noWrap w:val="0"/>
                  <w:vAlign w:val="center"/>
                </w:tcPr>
                <w:p w14:paraId="2246BE23">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53.59</w:t>
                  </w:r>
                </w:p>
              </w:tc>
              <w:tc>
                <w:tcPr>
                  <w:tcW w:w="681" w:type="dxa"/>
                  <w:tcBorders>
                    <w:tl2br w:val="nil"/>
                    <w:tr2bl w:val="nil"/>
                  </w:tcBorders>
                  <w:noWrap w:val="0"/>
                  <w:vAlign w:val="center"/>
                </w:tcPr>
                <w:p w14:paraId="4F39DC66">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53.57</w:t>
                  </w:r>
                </w:p>
              </w:tc>
              <w:tc>
                <w:tcPr>
                  <w:tcW w:w="686" w:type="dxa"/>
                  <w:tcBorders>
                    <w:tl2br w:val="nil"/>
                    <w:tr2bl w:val="nil"/>
                  </w:tcBorders>
                  <w:noWrap w:val="0"/>
                  <w:vAlign w:val="center"/>
                </w:tcPr>
                <w:p w14:paraId="0E3F43CA">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53.57</w:t>
                  </w:r>
                </w:p>
              </w:tc>
              <w:tc>
                <w:tcPr>
                  <w:tcW w:w="116" w:type="pct"/>
                  <w:tcBorders>
                    <w:tl2br w:val="nil"/>
                    <w:tr2bl w:val="nil"/>
                  </w:tcBorders>
                  <w:noWrap w:val="0"/>
                  <w:vAlign w:val="center"/>
                </w:tcPr>
                <w:p w14:paraId="3A8F1022">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r>
            <w:tr w14:paraId="36A405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0" w:hRule="atLeast"/>
                <w:jc w:val="center"/>
              </w:trPr>
              <w:tc>
                <w:tcPr>
                  <w:tcW w:w="328" w:type="pct"/>
                  <w:tcBorders>
                    <w:tl2br w:val="nil"/>
                    <w:tr2bl w:val="nil"/>
                  </w:tcBorders>
                  <w:noWrap w:val="0"/>
                  <w:vAlign w:val="center"/>
                </w:tcPr>
                <w:p w14:paraId="4FF9D4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szCs w:val="21"/>
                      <w:lang w:val="en-US" w:eastAsia="zh-CN"/>
                    </w:rPr>
                    <w:t>鼓风干燥箱</w:t>
                  </w:r>
                </w:p>
              </w:tc>
              <w:tc>
                <w:tcPr>
                  <w:tcW w:w="93" w:type="pct"/>
                  <w:tcBorders>
                    <w:tl2br w:val="nil"/>
                    <w:tr2bl w:val="nil"/>
                  </w:tcBorders>
                  <w:noWrap w:val="0"/>
                  <w:vAlign w:val="center"/>
                </w:tcPr>
                <w:p w14:paraId="6C8729EA">
                  <w:pPr>
                    <w:jc w:val="center"/>
                    <w:rPr>
                      <w:rFonts w:hint="eastAsia" w:eastAsia="宋体"/>
                      <w:color w:val="auto"/>
                      <w:szCs w:val="21"/>
                      <w:lang w:eastAsia="zh-CN"/>
                    </w:rPr>
                  </w:pPr>
                  <w:r>
                    <w:rPr>
                      <w:color w:val="auto"/>
                      <w:szCs w:val="21"/>
                    </w:rPr>
                    <w:t>7</w:t>
                  </w:r>
                  <w:r>
                    <w:rPr>
                      <w:rFonts w:hint="eastAsia"/>
                      <w:color w:val="auto"/>
                      <w:szCs w:val="21"/>
                      <w:lang w:val="en-US" w:eastAsia="zh-CN"/>
                    </w:rPr>
                    <w:t>0</w:t>
                  </w:r>
                </w:p>
              </w:tc>
              <w:tc>
                <w:tcPr>
                  <w:tcW w:w="229" w:type="pct"/>
                  <w:vMerge w:val="continue"/>
                  <w:tcBorders>
                    <w:tl2br w:val="nil"/>
                    <w:tr2bl w:val="nil"/>
                  </w:tcBorders>
                  <w:noWrap w:val="0"/>
                  <w:vAlign w:val="center"/>
                </w:tcPr>
                <w:p w14:paraId="1C0A923D">
                  <w:pPr>
                    <w:jc w:val="center"/>
                    <w:rPr>
                      <w:color w:val="auto"/>
                      <w:szCs w:val="21"/>
                    </w:rPr>
                  </w:pPr>
                </w:p>
              </w:tc>
              <w:tc>
                <w:tcPr>
                  <w:tcW w:w="258" w:type="pct"/>
                  <w:tcBorders>
                    <w:tl2br w:val="nil"/>
                    <w:tr2bl w:val="nil"/>
                  </w:tcBorders>
                  <w:noWrap w:val="0"/>
                  <w:vAlign w:val="center"/>
                </w:tcPr>
                <w:p w14:paraId="42E0A764">
                  <w:pPr>
                    <w:widowControl/>
                    <w:adjustRightInd w:val="0"/>
                    <w:snapToGrid w:val="0"/>
                    <w:jc w:val="center"/>
                    <w:textAlignment w:val="cente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30.08</w:t>
                  </w:r>
                </w:p>
              </w:tc>
              <w:tc>
                <w:tcPr>
                  <w:tcW w:w="228" w:type="pct"/>
                  <w:tcBorders>
                    <w:tl2br w:val="nil"/>
                    <w:tr2bl w:val="nil"/>
                  </w:tcBorders>
                  <w:noWrap w:val="0"/>
                  <w:vAlign w:val="center"/>
                </w:tcPr>
                <w:p w14:paraId="4198DD6A">
                  <w:pPr>
                    <w:widowControl/>
                    <w:adjustRightInd w:val="0"/>
                    <w:snapToGrid w:val="0"/>
                    <w:jc w:val="center"/>
                    <w:textAlignment w:val="cente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15.87</w:t>
                  </w:r>
                </w:p>
              </w:tc>
              <w:tc>
                <w:tcPr>
                  <w:tcW w:w="160" w:type="pct"/>
                  <w:tcBorders>
                    <w:tl2br w:val="nil"/>
                    <w:tr2bl w:val="nil"/>
                  </w:tcBorders>
                  <w:noWrap w:val="0"/>
                  <w:vAlign w:val="center"/>
                </w:tcPr>
                <w:p w14:paraId="03251528">
                  <w:pPr>
                    <w:widowControl/>
                    <w:adjustRightInd w:val="0"/>
                    <w:snapToGrid w:val="0"/>
                    <w:jc w:val="center"/>
                    <w:textAlignment w:val="cente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9</w:t>
                  </w:r>
                </w:p>
              </w:tc>
              <w:tc>
                <w:tcPr>
                  <w:tcW w:w="258" w:type="pct"/>
                  <w:tcBorders>
                    <w:tl2br w:val="nil"/>
                    <w:tr2bl w:val="nil"/>
                  </w:tcBorders>
                  <w:noWrap w:val="0"/>
                  <w:vAlign w:val="center"/>
                </w:tcPr>
                <w:p w14:paraId="41B5C3C0">
                  <w:pPr>
                    <w:widowControl/>
                    <w:adjustRightInd w:val="0"/>
                    <w:snapToGrid w:val="0"/>
                    <w:jc w:val="center"/>
                    <w:textAlignment w:val="cente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21.11</w:t>
                  </w:r>
                </w:p>
              </w:tc>
              <w:tc>
                <w:tcPr>
                  <w:tcW w:w="258" w:type="pct"/>
                  <w:tcBorders>
                    <w:tl2br w:val="nil"/>
                    <w:tr2bl w:val="nil"/>
                  </w:tcBorders>
                  <w:noWrap w:val="0"/>
                  <w:vAlign w:val="center"/>
                </w:tcPr>
                <w:p w14:paraId="35CD328E">
                  <w:pPr>
                    <w:widowControl/>
                    <w:adjustRightInd w:val="0"/>
                    <w:snapToGrid w:val="0"/>
                    <w:jc w:val="center"/>
                    <w:textAlignment w:val="cente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15.10</w:t>
                  </w:r>
                </w:p>
              </w:tc>
              <w:tc>
                <w:tcPr>
                  <w:tcW w:w="258" w:type="pct"/>
                  <w:tcBorders>
                    <w:tl2br w:val="nil"/>
                    <w:tr2bl w:val="nil"/>
                  </w:tcBorders>
                  <w:noWrap w:val="0"/>
                  <w:vAlign w:val="center"/>
                </w:tcPr>
                <w:p w14:paraId="7A3E4DBA">
                  <w:pPr>
                    <w:widowControl/>
                    <w:adjustRightInd w:val="0"/>
                    <w:snapToGrid w:val="0"/>
                    <w:jc w:val="center"/>
                    <w:textAlignment w:val="cente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30.28</w:t>
                  </w:r>
                </w:p>
              </w:tc>
              <w:tc>
                <w:tcPr>
                  <w:tcW w:w="203" w:type="pct"/>
                  <w:tcBorders>
                    <w:tl2br w:val="nil"/>
                    <w:tr2bl w:val="nil"/>
                  </w:tcBorders>
                  <w:noWrap w:val="0"/>
                  <w:vAlign w:val="center"/>
                </w:tcPr>
                <w:p w14:paraId="117827DB">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6.25</w:t>
                  </w:r>
                </w:p>
              </w:tc>
              <w:tc>
                <w:tcPr>
                  <w:tcW w:w="681" w:type="dxa"/>
                  <w:tcBorders>
                    <w:tl2br w:val="nil"/>
                    <w:tr2bl w:val="nil"/>
                  </w:tcBorders>
                  <w:noWrap w:val="0"/>
                  <w:vAlign w:val="center"/>
                </w:tcPr>
                <w:p w14:paraId="4FB723A1">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64.57</w:t>
                  </w:r>
                </w:p>
              </w:tc>
              <w:tc>
                <w:tcPr>
                  <w:tcW w:w="681" w:type="dxa"/>
                  <w:tcBorders>
                    <w:tl2br w:val="nil"/>
                    <w:tr2bl w:val="nil"/>
                  </w:tcBorders>
                  <w:noWrap w:val="0"/>
                  <w:vAlign w:val="center"/>
                </w:tcPr>
                <w:p w14:paraId="6EAAD825">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64.57</w:t>
                  </w:r>
                </w:p>
              </w:tc>
              <w:tc>
                <w:tcPr>
                  <w:tcW w:w="681" w:type="dxa"/>
                  <w:tcBorders>
                    <w:tl2br w:val="nil"/>
                    <w:tr2bl w:val="nil"/>
                  </w:tcBorders>
                  <w:noWrap w:val="0"/>
                  <w:vAlign w:val="center"/>
                </w:tcPr>
                <w:p w14:paraId="7D7E56F2">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64.57</w:t>
                  </w:r>
                </w:p>
              </w:tc>
              <w:tc>
                <w:tcPr>
                  <w:tcW w:w="681" w:type="dxa"/>
                  <w:tcBorders>
                    <w:tl2br w:val="nil"/>
                    <w:tr2bl w:val="nil"/>
                  </w:tcBorders>
                  <w:noWrap w:val="0"/>
                  <w:vAlign w:val="center"/>
                </w:tcPr>
                <w:p w14:paraId="009A7E42">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64.60</w:t>
                  </w:r>
                </w:p>
              </w:tc>
              <w:tc>
                <w:tcPr>
                  <w:tcW w:w="229" w:type="pct"/>
                  <w:vMerge w:val="continue"/>
                  <w:tcBorders>
                    <w:tl2br w:val="nil"/>
                    <w:tr2bl w:val="nil"/>
                  </w:tcBorders>
                  <w:noWrap w:val="0"/>
                  <w:vAlign w:val="center"/>
                </w:tcPr>
                <w:p w14:paraId="7767B184">
                  <w:pPr>
                    <w:widowControl/>
                    <w:adjustRightInd w:val="0"/>
                    <w:snapToGrid w:val="0"/>
                    <w:jc w:val="center"/>
                    <w:textAlignment w:val="center"/>
                    <w:rPr>
                      <w:rFonts w:hint="eastAsia" w:ascii="Times New Roman" w:hAnsi="Times New Roman" w:eastAsia="宋体" w:cs="Times New Roman"/>
                      <w:color w:val="auto"/>
                      <w:lang w:val="en-US" w:eastAsia="zh-CN"/>
                    </w:rPr>
                  </w:pPr>
                </w:p>
              </w:tc>
              <w:tc>
                <w:tcPr>
                  <w:tcW w:w="310" w:type="pct"/>
                  <w:vMerge w:val="continue"/>
                  <w:tcBorders>
                    <w:tl2br w:val="nil"/>
                    <w:tr2bl w:val="nil"/>
                  </w:tcBorders>
                  <w:noWrap w:val="0"/>
                  <w:vAlign w:val="center"/>
                </w:tcPr>
                <w:p w14:paraId="06B2C8C1">
                  <w:pPr>
                    <w:widowControl/>
                    <w:adjustRightInd w:val="0"/>
                    <w:snapToGrid w:val="0"/>
                    <w:jc w:val="center"/>
                    <w:textAlignment w:val="center"/>
                    <w:rPr>
                      <w:rFonts w:hint="default" w:ascii="Times New Roman" w:hAnsi="Times New Roman" w:eastAsia="宋体" w:cs="Times New Roman"/>
                      <w:color w:val="auto"/>
                      <w:lang w:val="en-US" w:eastAsia="zh-CN"/>
                    </w:rPr>
                  </w:pPr>
                </w:p>
              </w:tc>
              <w:tc>
                <w:tcPr>
                  <w:tcW w:w="681" w:type="dxa"/>
                  <w:tcBorders>
                    <w:tl2br w:val="nil"/>
                    <w:tr2bl w:val="nil"/>
                  </w:tcBorders>
                  <w:noWrap w:val="0"/>
                  <w:vAlign w:val="center"/>
                </w:tcPr>
                <w:p w14:paraId="4878E3AA">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43.57</w:t>
                  </w:r>
                </w:p>
              </w:tc>
              <w:tc>
                <w:tcPr>
                  <w:tcW w:w="681" w:type="dxa"/>
                  <w:tcBorders>
                    <w:tl2br w:val="nil"/>
                    <w:tr2bl w:val="nil"/>
                  </w:tcBorders>
                  <w:noWrap w:val="0"/>
                  <w:vAlign w:val="center"/>
                </w:tcPr>
                <w:p w14:paraId="0EDDB160">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43.57</w:t>
                  </w:r>
                </w:p>
              </w:tc>
              <w:tc>
                <w:tcPr>
                  <w:tcW w:w="681" w:type="dxa"/>
                  <w:tcBorders>
                    <w:tl2br w:val="nil"/>
                    <w:tr2bl w:val="nil"/>
                  </w:tcBorders>
                  <w:noWrap w:val="0"/>
                  <w:vAlign w:val="center"/>
                </w:tcPr>
                <w:p w14:paraId="0E81FC0D">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43.57</w:t>
                  </w:r>
                </w:p>
              </w:tc>
              <w:tc>
                <w:tcPr>
                  <w:tcW w:w="686" w:type="dxa"/>
                  <w:tcBorders>
                    <w:tl2br w:val="nil"/>
                    <w:tr2bl w:val="nil"/>
                  </w:tcBorders>
                  <w:noWrap w:val="0"/>
                  <w:vAlign w:val="center"/>
                </w:tcPr>
                <w:p w14:paraId="5D26C408">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43.60</w:t>
                  </w:r>
                </w:p>
              </w:tc>
              <w:tc>
                <w:tcPr>
                  <w:tcW w:w="116" w:type="pct"/>
                  <w:tcBorders>
                    <w:tl2br w:val="nil"/>
                    <w:tr2bl w:val="nil"/>
                  </w:tcBorders>
                  <w:noWrap w:val="0"/>
                  <w:vAlign w:val="center"/>
                </w:tcPr>
                <w:p w14:paraId="3BED0B13">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r>
            <w:tr w14:paraId="280270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0" w:hRule="atLeast"/>
                <w:jc w:val="center"/>
              </w:trPr>
              <w:tc>
                <w:tcPr>
                  <w:tcW w:w="328" w:type="pct"/>
                  <w:tcBorders>
                    <w:tl2br w:val="nil"/>
                    <w:tr2bl w:val="nil"/>
                  </w:tcBorders>
                  <w:noWrap w:val="0"/>
                  <w:vAlign w:val="center"/>
                </w:tcPr>
                <w:p w14:paraId="1F5F2E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szCs w:val="21"/>
                      <w:lang w:val="en-US" w:eastAsia="zh-CN"/>
                    </w:rPr>
                    <w:t>工业离心机</w:t>
                  </w:r>
                </w:p>
              </w:tc>
              <w:tc>
                <w:tcPr>
                  <w:tcW w:w="93" w:type="pct"/>
                  <w:tcBorders>
                    <w:tl2br w:val="nil"/>
                    <w:tr2bl w:val="nil"/>
                  </w:tcBorders>
                  <w:noWrap w:val="0"/>
                  <w:vAlign w:val="center"/>
                </w:tcPr>
                <w:p w14:paraId="4840755B">
                  <w:pPr>
                    <w:jc w:val="center"/>
                    <w:rPr>
                      <w:color w:val="auto"/>
                      <w:szCs w:val="21"/>
                    </w:rPr>
                  </w:pPr>
                  <w:r>
                    <w:rPr>
                      <w:color w:val="auto"/>
                      <w:szCs w:val="21"/>
                    </w:rPr>
                    <w:t>80</w:t>
                  </w:r>
                </w:p>
              </w:tc>
              <w:tc>
                <w:tcPr>
                  <w:tcW w:w="229" w:type="pct"/>
                  <w:vMerge w:val="continue"/>
                  <w:tcBorders>
                    <w:tl2br w:val="nil"/>
                    <w:tr2bl w:val="nil"/>
                  </w:tcBorders>
                  <w:noWrap w:val="0"/>
                  <w:vAlign w:val="center"/>
                </w:tcPr>
                <w:p w14:paraId="49A13D2C">
                  <w:pPr>
                    <w:jc w:val="center"/>
                    <w:rPr>
                      <w:color w:val="auto"/>
                      <w:szCs w:val="21"/>
                    </w:rPr>
                  </w:pPr>
                </w:p>
              </w:tc>
              <w:tc>
                <w:tcPr>
                  <w:tcW w:w="258" w:type="pct"/>
                  <w:tcBorders>
                    <w:tl2br w:val="nil"/>
                    <w:tr2bl w:val="nil"/>
                  </w:tcBorders>
                  <w:noWrap w:val="0"/>
                  <w:vAlign w:val="center"/>
                </w:tcPr>
                <w:p w14:paraId="74A8B3DB">
                  <w:pPr>
                    <w:widowControl/>
                    <w:adjustRightInd w:val="0"/>
                    <w:snapToGrid w:val="0"/>
                    <w:jc w:val="center"/>
                    <w:textAlignment w:val="cente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35.03</w:t>
                  </w:r>
                </w:p>
              </w:tc>
              <w:tc>
                <w:tcPr>
                  <w:tcW w:w="228" w:type="pct"/>
                  <w:tcBorders>
                    <w:tl2br w:val="nil"/>
                    <w:tr2bl w:val="nil"/>
                  </w:tcBorders>
                  <w:noWrap w:val="0"/>
                  <w:vAlign w:val="center"/>
                </w:tcPr>
                <w:p w14:paraId="6EA2C824">
                  <w:pPr>
                    <w:widowControl/>
                    <w:adjustRightInd w:val="0"/>
                    <w:snapToGrid w:val="0"/>
                    <w:jc w:val="center"/>
                    <w:textAlignment w:val="cente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16.01</w:t>
                  </w:r>
                </w:p>
              </w:tc>
              <w:tc>
                <w:tcPr>
                  <w:tcW w:w="160" w:type="pct"/>
                  <w:tcBorders>
                    <w:tl2br w:val="nil"/>
                    <w:tr2bl w:val="nil"/>
                  </w:tcBorders>
                  <w:noWrap w:val="0"/>
                  <w:vAlign w:val="center"/>
                </w:tcPr>
                <w:p w14:paraId="43F92B1D">
                  <w:pPr>
                    <w:widowControl/>
                    <w:adjustRightInd w:val="0"/>
                    <w:snapToGrid w:val="0"/>
                    <w:jc w:val="center"/>
                    <w:textAlignment w:val="cente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9</w:t>
                  </w:r>
                </w:p>
              </w:tc>
              <w:tc>
                <w:tcPr>
                  <w:tcW w:w="258" w:type="pct"/>
                  <w:tcBorders>
                    <w:tl2br w:val="nil"/>
                    <w:tr2bl w:val="nil"/>
                  </w:tcBorders>
                  <w:noWrap w:val="0"/>
                  <w:vAlign w:val="center"/>
                </w:tcPr>
                <w:p w14:paraId="2739484B">
                  <w:pPr>
                    <w:widowControl/>
                    <w:adjustRightInd w:val="0"/>
                    <w:snapToGrid w:val="0"/>
                    <w:jc w:val="center"/>
                    <w:textAlignment w:val="cente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16.15</w:t>
                  </w:r>
                </w:p>
              </w:tc>
              <w:tc>
                <w:tcPr>
                  <w:tcW w:w="258" w:type="pct"/>
                  <w:tcBorders>
                    <w:tl2br w:val="nil"/>
                    <w:tr2bl w:val="nil"/>
                  </w:tcBorders>
                  <w:noWrap w:val="0"/>
                  <w:vAlign w:val="center"/>
                </w:tcPr>
                <w:p w14:paraId="5B3250C6">
                  <w:pPr>
                    <w:widowControl/>
                    <w:adjustRightInd w:val="0"/>
                    <w:snapToGrid w:val="0"/>
                    <w:jc w:val="center"/>
                    <w:textAlignment w:val="cente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15.15</w:t>
                  </w:r>
                </w:p>
              </w:tc>
              <w:tc>
                <w:tcPr>
                  <w:tcW w:w="258" w:type="pct"/>
                  <w:tcBorders>
                    <w:tl2br w:val="nil"/>
                    <w:tr2bl w:val="nil"/>
                  </w:tcBorders>
                  <w:noWrap w:val="0"/>
                  <w:vAlign w:val="center"/>
                </w:tcPr>
                <w:p w14:paraId="22D8FF2A">
                  <w:pPr>
                    <w:widowControl/>
                    <w:adjustRightInd w:val="0"/>
                    <w:snapToGrid w:val="0"/>
                    <w:jc w:val="center"/>
                    <w:textAlignment w:val="cente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35.23</w:t>
                  </w:r>
                </w:p>
              </w:tc>
              <w:tc>
                <w:tcPr>
                  <w:tcW w:w="203" w:type="pct"/>
                  <w:tcBorders>
                    <w:tl2br w:val="nil"/>
                    <w:tr2bl w:val="nil"/>
                  </w:tcBorders>
                  <w:noWrap w:val="0"/>
                  <w:vAlign w:val="center"/>
                </w:tcPr>
                <w:p w14:paraId="76551962">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6.32</w:t>
                  </w:r>
                </w:p>
              </w:tc>
              <w:tc>
                <w:tcPr>
                  <w:tcW w:w="681" w:type="dxa"/>
                  <w:tcBorders>
                    <w:tl2br w:val="nil"/>
                    <w:tr2bl w:val="nil"/>
                  </w:tcBorders>
                  <w:noWrap w:val="0"/>
                  <w:vAlign w:val="center"/>
                </w:tcPr>
                <w:p w14:paraId="1751B2E3">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74.57</w:t>
                  </w:r>
                </w:p>
              </w:tc>
              <w:tc>
                <w:tcPr>
                  <w:tcW w:w="681" w:type="dxa"/>
                  <w:tcBorders>
                    <w:tl2br w:val="nil"/>
                    <w:tr2bl w:val="nil"/>
                  </w:tcBorders>
                  <w:noWrap w:val="0"/>
                  <w:vAlign w:val="center"/>
                </w:tcPr>
                <w:p w14:paraId="2D680DA5">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74.57</w:t>
                  </w:r>
                </w:p>
              </w:tc>
              <w:tc>
                <w:tcPr>
                  <w:tcW w:w="681" w:type="dxa"/>
                  <w:tcBorders>
                    <w:tl2br w:val="nil"/>
                    <w:tr2bl w:val="nil"/>
                  </w:tcBorders>
                  <w:noWrap w:val="0"/>
                  <w:vAlign w:val="center"/>
                </w:tcPr>
                <w:p w14:paraId="0DCA36C7">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74.57</w:t>
                  </w:r>
                </w:p>
              </w:tc>
              <w:tc>
                <w:tcPr>
                  <w:tcW w:w="681" w:type="dxa"/>
                  <w:tcBorders>
                    <w:tl2br w:val="nil"/>
                    <w:tr2bl w:val="nil"/>
                  </w:tcBorders>
                  <w:noWrap w:val="0"/>
                  <w:vAlign w:val="center"/>
                </w:tcPr>
                <w:p w14:paraId="3A3D4A49">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74.58</w:t>
                  </w:r>
                </w:p>
              </w:tc>
              <w:tc>
                <w:tcPr>
                  <w:tcW w:w="229" w:type="pct"/>
                  <w:vMerge w:val="continue"/>
                  <w:tcBorders>
                    <w:tl2br w:val="nil"/>
                    <w:tr2bl w:val="nil"/>
                  </w:tcBorders>
                  <w:noWrap w:val="0"/>
                  <w:vAlign w:val="center"/>
                </w:tcPr>
                <w:p w14:paraId="431577A5">
                  <w:pPr>
                    <w:widowControl/>
                    <w:adjustRightInd w:val="0"/>
                    <w:snapToGrid w:val="0"/>
                    <w:jc w:val="center"/>
                    <w:textAlignment w:val="center"/>
                    <w:rPr>
                      <w:rFonts w:hint="eastAsia" w:ascii="Times New Roman" w:hAnsi="Times New Roman" w:eastAsia="宋体" w:cs="Times New Roman"/>
                      <w:color w:val="auto"/>
                      <w:lang w:val="en-US" w:eastAsia="zh-CN"/>
                    </w:rPr>
                  </w:pPr>
                </w:p>
              </w:tc>
              <w:tc>
                <w:tcPr>
                  <w:tcW w:w="310" w:type="pct"/>
                  <w:vMerge w:val="continue"/>
                  <w:tcBorders>
                    <w:tl2br w:val="nil"/>
                    <w:tr2bl w:val="nil"/>
                  </w:tcBorders>
                  <w:noWrap w:val="0"/>
                  <w:vAlign w:val="center"/>
                </w:tcPr>
                <w:p w14:paraId="2A33C06B">
                  <w:pPr>
                    <w:widowControl/>
                    <w:adjustRightInd w:val="0"/>
                    <w:snapToGrid w:val="0"/>
                    <w:jc w:val="center"/>
                    <w:textAlignment w:val="center"/>
                    <w:rPr>
                      <w:rFonts w:hint="default" w:ascii="Times New Roman" w:hAnsi="Times New Roman" w:eastAsia="宋体" w:cs="Times New Roman"/>
                      <w:color w:val="auto"/>
                      <w:lang w:val="en-US" w:eastAsia="zh-CN"/>
                    </w:rPr>
                  </w:pPr>
                </w:p>
              </w:tc>
              <w:tc>
                <w:tcPr>
                  <w:tcW w:w="681" w:type="dxa"/>
                  <w:tcBorders>
                    <w:tl2br w:val="nil"/>
                    <w:tr2bl w:val="nil"/>
                  </w:tcBorders>
                  <w:noWrap w:val="0"/>
                  <w:vAlign w:val="center"/>
                </w:tcPr>
                <w:p w14:paraId="5E8A94F4">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53.57</w:t>
                  </w:r>
                </w:p>
              </w:tc>
              <w:tc>
                <w:tcPr>
                  <w:tcW w:w="681" w:type="dxa"/>
                  <w:tcBorders>
                    <w:tl2br w:val="nil"/>
                    <w:tr2bl w:val="nil"/>
                  </w:tcBorders>
                  <w:noWrap w:val="0"/>
                  <w:vAlign w:val="center"/>
                </w:tcPr>
                <w:p w14:paraId="5896A42C">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53.57</w:t>
                  </w:r>
                </w:p>
              </w:tc>
              <w:tc>
                <w:tcPr>
                  <w:tcW w:w="681" w:type="dxa"/>
                  <w:tcBorders>
                    <w:tl2br w:val="nil"/>
                    <w:tr2bl w:val="nil"/>
                  </w:tcBorders>
                  <w:noWrap w:val="0"/>
                  <w:vAlign w:val="center"/>
                </w:tcPr>
                <w:p w14:paraId="6D36643D">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53.57</w:t>
                  </w:r>
                </w:p>
              </w:tc>
              <w:tc>
                <w:tcPr>
                  <w:tcW w:w="686" w:type="dxa"/>
                  <w:tcBorders>
                    <w:tl2br w:val="nil"/>
                    <w:tr2bl w:val="nil"/>
                  </w:tcBorders>
                  <w:noWrap w:val="0"/>
                  <w:vAlign w:val="center"/>
                </w:tcPr>
                <w:p w14:paraId="3D803C86">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53.59</w:t>
                  </w:r>
                </w:p>
              </w:tc>
              <w:tc>
                <w:tcPr>
                  <w:tcW w:w="116" w:type="pct"/>
                  <w:tcBorders>
                    <w:tl2br w:val="nil"/>
                    <w:tr2bl w:val="nil"/>
                  </w:tcBorders>
                  <w:noWrap w:val="0"/>
                  <w:vAlign w:val="center"/>
                </w:tcPr>
                <w:p w14:paraId="4E59B08D">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r>
            <w:tr w14:paraId="32C772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0" w:hRule="atLeast"/>
                <w:jc w:val="center"/>
              </w:trPr>
              <w:tc>
                <w:tcPr>
                  <w:tcW w:w="328" w:type="pct"/>
                  <w:tcBorders>
                    <w:tl2br w:val="nil"/>
                    <w:tr2bl w:val="nil"/>
                  </w:tcBorders>
                  <w:noWrap w:val="0"/>
                  <w:vAlign w:val="center"/>
                </w:tcPr>
                <w:p w14:paraId="455645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szCs w:val="21"/>
                      <w:lang w:val="en-US" w:eastAsia="zh-CN"/>
                    </w:rPr>
                    <w:t>卷材涂布机</w:t>
                  </w:r>
                </w:p>
              </w:tc>
              <w:tc>
                <w:tcPr>
                  <w:tcW w:w="93" w:type="pct"/>
                  <w:tcBorders>
                    <w:tl2br w:val="nil"/>
                    <w:tr2bl w:val="nil"/>
                  </w:tcBorders>
                  <w:noWrap w:val="0"/>
                  <w:vAlign w:val="center"/>
                </w:tcPr>
                <w:p w14:paraId="4A81C9E2">
                  <w:pPr>
                    <w:jc w:val="center"/>
                    <w:rPr>
                      <w:rFonts w:hint="default" w:eastAsia="宋体"/>
                      <w:color w:val="auto"/>
                      <w:szCs w:val="21"/>
                      <w:lang w:val="en-US" w:eastAsia="zh-CN"/>
                    </w:rPr>
                  </w:pPr>
                  <w:r>
                    <w:rPr>
                      <w:rFonts w:hint="eastAsia"/>
                      <w:color w:val="auto"/>
                      <w:szCs w:val="21"/>
                      <w:lang w:val="en-US" w:eastAsia="zh-CN"/>
                    </w:rPr>
                    <w:t>80</w:t>
                  </w:r>
                </w:p>
              </w:tc>
              <w:tc>
                <w:tcPr>
                  <w:tcW w:w="229" w:type="pct"/>
                  <w:vMerge w:val="continue"/>
                  <w:tcBorders>
                    <w:tl2br w:val="nil"/>
                    <w:tr2bl w:val="nil"/>
                  </w:tcBorders>
                  <w:noWrap w:val="0"/>
                  <w:vAlign w:val="center"/>
                </w:tcPr>
                <w:p w14:paraId="4FBC4197">
                  <w:pPr>
                    <w:jc w:val="center"/>
                    <w:rPr>
                      <w:color w:val="auto"/>
                      <w:szCs w:val="21"/>
                    </w:rPr>
                  </w:pPr>
                </w:p>
              </w:tc>
              <w:tc>
                <w:tcPr>
                  <w:tcW w:w="258" w:type="pct"/>
                  <w:tcBorders>
                    <w:tl2br w:val="nil"/>
                    <w:tr2bl w:val="nil"/>
                  </w:tcBorders>
                  <w:noWrap w:val="0"/>
                  <w:vAlign w:val="center"/>
                </w:tcPr>
                <w:p w14:paraId="5558EB25">
                  <w:pPr>
                    <w:widowControl/>
                    <w:adjustRightInd w:val="0"/>
                    <w:snapToGrid w:val="0"/>
                    <w:jc w:val="center"/>
                    <w:textAlignment w:val="cente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15.52</w:t>
                  </w:r>
                </w:p>
              </w:tc>
              <w:tc>
                <w:tcPr>
                  <w:tcW w:w="228" w:type="pct"/>
                  <w:tcBorders>
                    <w:tl2br w:val="nil"/>
                    <w:tr2bl w:val="nil"/>
                  </w:tcBorders>
                  <w:noWrap w:val="0"/>
                  <w:vAlign w:val="center"/>
                </w:tcPr>
                <w:p w14:paraId="67BEAEAF">
                  <w:pPr>
                    <w:widowControl/>
                    <w:adjustRightInd w:val="0"/>
                    <w:snapToGrid w:val="0"/>
                    <w:jc w:val="center"/>
                    <w:textAlignment w:val="cente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13.26</w:t>
                  </w:r>
                </w:p>
              </w:tc>
              <w:tc>
                <w:tcPr>
                  <w:tcW w:w="160" w:type="pct"/>
                  <w:tcBorders>
                    <w:tl2br w:val="nil"/>
                    <w:tr2bl w:val="nil"/>
                  </w:tcBorders>
                  <w:noWrap w:val="0"/>
                  <w:vAlign w:val="center"/>
                </w:tcPr>
                <w:p w14:paraId="65D9A61A">
                  <w:pPr>
                    <w:widowControl/>
                    <w:adjustRightInd w:val="0"/>
                    <w:snapToGrid w:val="0"/>
                    <w:jc w:val="center"/>
                    <w:textAlignment w:val="cente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9</w:t>
                  </w:r>
                </w:p>
              </w:tc>
              <w:tc>
                <w:tcPr>
                  <w:tcW w:w="258" w:type="pct"/>
                  <w:tcBorders>
                    <w:tl2br w:val="nil"/>
                    <w:tr2bl w:val="nil"/>
                  </w:tcBorders>
                  <w:noWrap w:val="0"/>
                  <w:vAlign w:val="center"/>
                </w:tcPr>
                <w:p w14:paraId="1DCE6190">
                  <w:pPr>
                    <w:widowControl/>
                    <w:adjustRightInd w:val="0"/>
                    <w:snapToGrid w:val="0"/>
                    <w:jc w:val="center"/>
                    <w:textAlignment w:val="cente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35.74</w:t>
                  </w:r>
                </w:p>
              </w:tc>
              <w:tc>
                <w:tcPr>
                  <w:tcW w:w="258" w:type="pct"/>
                  <w:tcBorders>
                    <w:tl2br w:val="nil"/>
                    <w:tr2bl w:val="nil"/>
                  </w:tcBorders>
                  <w:noWrap w:val="0"/>
                  <w:vAlign w:val="center"/>
                </w:tcPr>
                <w:p w14:paraId="14913E91">
                  <w:pPr>
                    <w:widowControl/>
                    <w:adjustRightInd w:val="0"/>
                    <w:snapToGrid w:val="0"/>
                    <w:jc w:val="center"/>
                    <w:textAlignment w:val="cente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12.76</w:t>
                  </w:r>
                </w:p>
              </w:tc>
              <w:tc>
                <w:tcPr>
                  <w:tcW w:w="258" w:type="pct"/>
                  <w:tcBorders>
                    <w:tl2br w:val="nil"/>
                    <w:tr2bl w:val="nil"/>
                  </w:tcBorders>
                  <w:noWrap w:val="0"/>
                  <w:vAlign w:val="center"/>
                </w:tcPr>
                <w:p w14:paraId="11D74CF0">
                  <w:pPr>
                    <w:widowControl/>
                    <w:adjustRightInd w:val="0"/>
                    <w:snapToGrid w:val="0"/>
                    <w:jc w:val="center"/>
                    <w:textAlignment w:val="cente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15.63</w:t>
                  </w:r>
                </w:p>
              </w:tc>
              <w:tc>
                <w:tcPr>
                  <w:tcW w:w="203" w:type="pct"/>
                  <w:tcBorders>
                    <w:tl2br w:val="nil"/>
                    <w:tr2bl w:val="nil"/>
                  </w:tcBorders>
                  <w:noWrap w:val="0"/>
                  <w:vAlign w:val="center"/>
                </w:tcPr>
                <w:p w14:paraId="522CDFC1">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8.23</w:t>
                  </w:r>
                </w:p>
              </w:tc>
              <w:tc>
                <w:tcPr>
                  <w:tcW w:w="681" w:type="dxa"/>
                  <w:tcBorders>
                    <w:tl2br w:val="nil"/>
                    <w:tr2bl w:val="nil"/>
                  </w:tcBorders>
                  <w:noWrap w:val="0"/>
                  <w:vAlign w:val="center"/>
                </w:tcPr>
                <w:p w14:paraId="47750086">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74.57</w:t>
                  </w:r>
                </w:p>
              </w:tc>
              <w:tc>
                <w:tcPr>
                  <w:tcW w:w="681" w:type="dxa"/>
                  <w:tcBorders>
                    <w:tl2br w:val="nil"/>
                    <w:tr2bl w:val="nil"/>
                  </w:tcBorders>
                  <w:noWrap w:val="0"/>
                  <w:vAlign w:val="center"/>
                </w:tcPr>
                <w:p w14:paraId="3EBD227A">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74.57</w:t>
                  </w:r>
                </w:p>
              </w:tc>
              <w:tc>
                <w:tcPr>
                  <w:tcW w:w="681" w:type="dxa"/>
                  <w:tcBorders>
                    <w:tl2br w:val="nil"/>
                    <w:tr2bl w:val="nil"/>
                  </w:tcBorders>
                  <w:noWrap w:val="0"/>
                  <w:vAlign w:val="center"/>
                </w:tcPr>
                <w:p w14:paraId="1F14A5CF">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74.57</w:t>
                  </w:r>
                </w:p>
              </w:tc>
              <w:tc>
                <w:tcPr>
                  <w:tcW w:w="681" w:type="dxa"/>
                  <w:tcBorders>
                    <w:tl2br w:val="nil"/>
                    <w:tr2bl w:val="nil"/>
                  </w:tcBorders>
                  <w:noWrap w:val="0"/>
                  <w:vAlign w:val="center"/>
                </w:tcPr>
                <w:p w14:paraId="3B2205BE">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74.59</w:t>
                  </w:r>
                </w:p>
              </w:tc>
              <w:tc>
                <w:tcPr>
                  <w:tcW w:w="229" w:type="pct"/>
                  <w:vMerge w:val="continue"/>
                  <w:tcBorders>
                    <w:tl2br w:val="nil"/>
                    <w:tr2bl w:val="nil"/>
                  </w:tcBorders>
                  <w:noWrap w:val="0"/>
                  <w:vAlign w:val="center"/>
                </w:tcPr>
                <w:p w14:paraId="79C6D58D">
                  <w:pPr>
                    <w:widowControl/>
                    <w:adjustRightInd w:val="0"/>
                    <w:snapToGrid w:val="0"/>
                    <w:jc w:val="center"/>
                    <w:textAlignment w:val="center"/>
                    <w:rPr>
                      <w:rFonts w:hint="eastAsia" w:ascii="Times New Roman" w:hAnsi="Times New Roman" w:eastAsia="宋体" w:cs="Times New Roman"/>
                      <w:color w:val="auto"/>
                      <w:lang w:val="en-US" w:eastAsia="zh-CN"/>
                    </w:rPr>
                  </w:pPr>
                </w:p>
              </w:tc>
              <w:tc>
                <w:tcPr>
                  <w:tcW w:w="310" w:type="pct"/>
                  <w:vMerge w:val="continue"/>
                  <w:tcBorders>
                    <w:tl2br w:val="nil"/>
                    <w:tr2bl w:val="nil"/>
                  </w:tcBorders>
                  <w:noWrap w:val="0"/>
                  <w:vAlign w:val="center"/>
                </w:tcPr>
                <w:p w14:paraId="5ACA3555">
                  <w:pPr>
                    <w:widowControl/>
                    <w:adjustRightInd w:val="0"/>
                    <w:snapToGrid w:val="0"/>
                    <w:jc w:val="center"/>
                    <w:textAlignment w:val="center"/>
                    <w:rPr>
                      <w:rFonts w:hint="default" w:ascii="Times New Roman" w:hAnsi="Times New Roman" w:eastAsia="宋体" w:cs="Times New Roman"/>
                      <w:color w:val="auto"/>
                      <w:lang w:val="en-US" w:eastAsia="zh-CN"/>
                    </w:rPr>
                  </w:pPr>
                </w:p>
              </w:tc>
              <w:tc>
                <w:tcPr>
                  <w:tcW w:w="681" w:type="dxa"/>
                  <w:tcBorders>
                    <w:tl2br w:val="nil"/>
                    <w:tr2bl w:val="nil"/>
                  </w:tcBorders>
                  <w:noWrap w:val="0"/>
                  <w:vAlign w:val="center"/>
                </w:tcPr>
                <w:p w14:paraId="1897D0F9">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53.57</w:t>
                  </w:r>
                </w:p>
              </w:tc>
              <w:tc>
                <w:tcPr>
                  <w:tcW w:w="681" w:type="dxa"/>
                  <w:tcBorders>
                    <w:tl2br w:val="nil"/>
                    <w:tr2bl w:val="nil"/>
                  </w:tcBorders>
                  <w:noWrap w:val="0"/>
                  <w:vAlign w:val="center"/>
                </w:tcPr>
                <w:p w14:paraId="0ABECA68">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53.57</w:t>
                  </w:r>
                </w:p>
              </w:tc>
              <w:tc>
                <w:tcPr>
                  <w:tcW w:w="681" w:type="dxa"/>
                  <w:tcBorders>
                    <w:tl2br w:val="nil"/>
                    <w:tr2bl w:val="nil"/>
                  </w:tcBorders>
                  <w:noWrap w:val="0"/>
                  <w:vAlign w:val="center"/>
                </w:tcPr>
                <w:p w14:paraId="738FE037">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53.57</w:t>
                  </w:r>
                </w:p>
              </w:tc>
              <w:tc>
                <w:tcPr>
                  <w:tcW w:w="686" w:type="dxa"/>
                  <w:tcBorders>
                    <w:tl2br w:val="nil"/>
                    <w:tr2bl w:val="nil"/>
                  </w:tcBorders>
                  <w:noWrap w:val="0"/>
                  <w:vAlign w:val="center"/>
                </w:tcPr>
                <w:p w14:paraId="105B0D4A">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53.58</w:t>
                  </w:r>
                </w:p>
              </w:tc>
              <w:tc>
                <w:tcPr>
                  <w:tcW w:w="116" w:type="pct"/>
                  <w:tcBorders>
                    <w:tl2br w:val="nil"/>
                    <w:tr2bl w:val="nil"/>
                  </w:tcBorders>
                  <w:noWrap w:val="0"/>
                  <w:vAlign w:val="center"/>
                </w:tcPr>
                <w:p w14:paraId="4417D8CC">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r>
          </w:tbl>
          <w:p w14:paraId="66D680A7">
            <w:pPr>
              <w:spacing w:line="240" w:lineRule="auto"/>
              <w:jc w:val="center"/>
              <w:rPr>
                <w:rFonts w:hint="default" w:ascii="Times New Roman" w:hAnsi="Times New Roman" w:eastAsia="宋体" w:cs="Times New Roman"/>
                <w:b/>
                <w:color w:val="000000"/>
                <w:kern w:val="0"/>
                <w:szCs w:val="21"/>
              </w:rPr>
            </w:pPr>
            <w:r>
              <w:rPr>
                <w:b/>
                <w:color w:val="auto"/>
                <w:sz w:val="24"/>
              </w:rPr>
              <w:t>表4-</w:t>
            </w:r>
            <w:r>
              <w:rPr>
                <w:rFonts w:hint="eastAsia"/>
                <w:b/>
                <w:color w:val="auto"/>
                <w:sz w:val="24"/>
                <w:lang w:val="en-US" w:eastAsia="zh-CN"/>
              </w:rPr>
              <w:t>10</w:t>
            </w:r>
            <w:r>
              <w:rPr>
                <w:b/>
                <w:color w:val="auto"/>
                <w:sz w:val="24"/>
              </w:rPr>
              <w:t xml:space="preserve">   </w:t>
            </w:r>
            <w:r>
              <w:rPr>
                <w:rFonts w:hint="eastAsia"/>
                <w:b/>
                <w:bCs/>
                <w:color w:val="auto"/>
                <w:sz w:val="24"/>
              </w:rPr>
              <w:t>本项目</w:t>
            </w:r>
            <w:r>
              <w:rPr>
                <w:b/>
                <w:bCs/>
                <w:color w:val="auto"/>
                <w:sz w:val="24"/>
              </w:rPr>
              <w:t>噪声源强调查清单</w:t>
            </w:r>
            <w:r>
              <w:rPr>
                <w:rFonts w:hint="eastAsia"/>
                <w:b/>
                <w:bCs/>
                <w:color w:val="auto"/>
                <w:sz w:val="24"/>
              </w:rPr>
              <w:t>（室外）</w:t>
            </w:r>
          </w:p>
          <w:tbl>
            <w:tblPr>
              <w:tblStyle w:val="27"/>
              <w:tblW w:w="504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4"/>
              <w:gridCol w:w="1751"/>
              <w:gridCol w:w="1461"/>
              <w:gridCol w:w="1352"/>
              <w:gridCol w:w="2258"/>
              <w:gridCol w:w="1729"/>
              <w:gridCol w:w="1809"/>
              <w:gridCol w:w="1888"/>
            </w:tblGrid>
            <w:tr w14:paraId="36E19B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3" w:type="pct"/>
                  <w:vMerge w:val="restart"/>
                  <w:tcBorders>
                    <w:tl2br w:val="nil"/>
                    <w:tr2bl w:val="nil"/>
                  </w:tcBorders>
                  <w:noWrap w:val="0"/>
                  <w:vAlign w:val="center"/>
                </w:tcPr>
                <w:p w14:paraId="30C14A04">
                  <w:pPr>
                    <w:adjustRightInd w:val="0"/>
                    <w:snapToGrid w:val="0"/>
                    <w:jc w:val="center"/>
                    <w:rPr>
                      <w:b/>
                      <w:bCs/>
                      <w:color w:val="auto"/>
                      <w:szCs w:val="21"/>
                    </w:rPr>
                  </w:pPr>
                  <w:r>
                    <w:rPr>
                      <w:b/>
                      <w:bCs/>
                      <w:color w:val="auto"/>
                      <w:szCs w:val="21"/>
                    </w:rPr>
                    <w:t>序号</w:t>
                  </w:r>
                </w:p>
              </w:tc>
              <w:tc>
                <w:tcPr>
                  <w:tcW w:w="657" w:type="pct"/>
                  <w:vMerge w:val="restart"/>
                  <w:tcBorders>
                    <w:tl2br w:val="nil"/>
                    <w:tr2bl w:val="nil"/>
                  </w:tcBorders>
                  <w:noWrap w:val="0"/>
                  <w:vAlign w:val="center"/>
                </w:tcPr>
                <w:p w14:paraId="6AC4DD3C">
                  <w:pPr>
                    <w:adjustRightInd w:val="0"/>
                    <w:snapToGrid w:val="0"/>
                    <w:jc w:val="center"/>
                    <w:rPr>
                      <w:b/>
                      <w:bCs/>
                      <w:color w:val="auto"/>
                      <w:szCs w:val="21"/>
                    </w:rPr>
                  </w:pPr>
                  <w:r>
                    <w:rPr>
                      <w:b/>
                      <w:bCs/>
                      <w:color w:val="auto"/>
                      <w:szCs w:val="21"/>
                    </w:rPr>
                    <w:t>声源名称</w:t>
                  </w:r>
                </w:p>
              </w:tc>
              <w:tc>
                <w:tcPr>
                  <w:tcW w:w="1902" w:type="pct"/>
                  <w:gridSpan w:val="3"/>
                  <w:tcBorders>
                    <w:tl2br w:val="nil"/>
                    <w:tr2bl w:val="nil"/>
                  </w:tcBorders>
                  <w:noWrap w:val="0"/>
                  <w:vAlign w:val="center"/>
                </w:tcPr>
                <w:p w14:paraId="78996AD2">
                  <w:pPr>
                    <w:adjustRightInd w:val="0"/>
                    <w:snapToGrid w:val="0"/>
                    <w:jc w:val="center"/>
                    <w:rPr>
                      <w:b/>
                      <w:bCs/>
                      <w:color w:val="auto"/>
                      <w:szCs w:val="21"/>
                    </w:rPr>
                  </w:pPr>
                  <w:r>
                    <w:rPr>
                      <w:b/>
                      <w:bCs/>
                      <w:color w:val="auto"/>
                      <w:szCs w:val="21"/>
                    </w:rPr>
                    <w:t>空间相对位置/m</w:t>
                  </w:r>
                </w:p>
              </w:tc>
              <w:tc>
                <w:tcPr>
                  <w:tcW w:w="649" w:type="pct"/>
                  <w:vMerge w:val="restart"/>
                  <w:tcBorders>
                    <w:tl2br w:val="nil"/>
                    <w:tr2bl w:val="nil"/>
                  </w:tcBorders>
                  <w:noWrap w:val="0"/>
                  <w:vAlign w:val="center"/>
                </w:tcPr>
                <w:p w14:paraId="2BB3EBDE">
                  <w:pPr>
                    <w:adjustRightInd w:val="0"/>
                    <w:snapToGrid w:val="0"/>
                    <w:jc w:val="center"/>
                    <w:rPr>
                      <w:b/>
                      <w:bCs/>
                      <w:color w:val="auto"/>
                      <w:szCs w:val="21"/>
                    </w:rPr>
                  </w:pPr>
                  <w:r>
                    <w:rPr>
                      <w:b/>
                      <w:bCs/>
                      <w:color w:val="auto"/>
                      <w:szCs w:val="21"/>
                    </w:rPr>
                    <w:t>声功率级/dB（A）</w:t>
                  </w:r>
                </w:p>
              </w:tc>
              <w:tc>
                <w:tcPr>
                  <w:tcW w:w="679" w:type="pct"/>
                  <w:vMerge w:val="restart"/>
                  <w:tcBorders>
                    <w:tl2br w:val="nil"/>
                    <w:tr2bl w:val="nil"/>
                  </w:tcBorders>
                  <w:noWrap w:val="0"/>
                  <w:vAlign w:val="center"/>
                </w:tcPr>
                <w:p w14:paraId="5ABA6F8D">
                  <w:pPr>
                    <w:adjustRightInd w:val="0"/>
                    <w:snapToGrid w:val="0"/>
                    <w:jc w:val="center"/>
                    <w:rPr>
                      <w:b/>
                      <w:bCs/>
                      <w:color w:val="auto"/>
                      <w:szCs w:val="21"/>
                    </w:rPr>
                  </w:pPr>
                  <w:r>
                    <w:rPr>
                      <w:b/>
                      <w:bCs/>
                      <w:color w:val="auto"/>
                      <w:szCs w:val="21"/>
                    </w:rPr>
                    <w:t>声源控制措施</w:t>
                  </w:r>
                </w:p>
              </w:tc>
              <w:tc>
                <w:tcPr>
                  <w:tcW w:w="708" w:type="pct"/>
                  <w:vMerge w:val="restart"/>
                  <w:tcBorders>
                    <w:tl2br w:val="nil"/>
                    <w:tr2bl w:val="nil"/>
                  </w:tcBorders>
                  <w:noWrap w:val="0"/>
                  <w:vAlign w:val="center"/>
                </w:tcPr>
                <w:p w14:paraId="776D62D8">
                  <w:pPr>
                    <w:adjustRightInd w:val="0"/>
                    <w:snapToGrid w:val="0"/>
                    <w:jc w:val="center"/>
                    <w:rPr>
                      <w:b/>
                      <w:bCs/>
                      <w:color w:val="auto"/>
                      <w:szCs w:val="21"/>
                    </w:rPr>
                  </w:pPr>
                  <w:r>
                    <w:rPr>
                      <w:b/>
                      <w:bCs/>
                      <w:color w:val="auto"/>
                      <w:szCs w:val="21"/>
                    </w:rPr>
                    <w:t>运行时段</w:t>
                  </w:r>
                </w:p>
              </w:tc>
            </w:tr>
            <w:tr w14:paraId="72160D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3" w:type="pct"/>
                  <w:vMerge w:val="continue"/>
                  <w:tcBorders>
                    <w:tl2br w:val="nil"/>
                    <w:tr2bl w:val="nil"/>
                  </w:tcBorders>
                  <w:noWrap w:val="0"/>
                  <w:vAlign w:val="center"/>
                </w:tcPr>
                <w:p w14:paraId="4D115F97">
                  <w:pPr>
                    <w:adjustRightInd w:val="0"/>
                    <w:snapToGrid w:val="0"/>
                    <w:jc w:val="center"/>
                    <w:rPr>
                      <w:color w:val="auto"/>
                      <w:szCs w:val="21"/>
                    </w:rPr>
                  </w:pPr>
                </w:p>
              </w:tc>
              <w:tc>
                <w:tcPr>
                  <w:tcW w:w="657" w:type="pct"/>
                  <w:vMerge w:val="continue"/>
                  <w:tcBorders>
                    <w:tl2br w:val="nil"/>
                    <w:tr2bl w:val="nil"/>
                  </w:tcBorders>
                  <w:noWrap w:val="0"/>
                  <w:vAlign w:val="center"/>
                </w:tcPr>
                <w:p w14:paraId="6B20E809">
                  <w:pPr>
                    <w:adjustRightInd w:val="0"/>
                    <w:snapToGrid w:val="0"/>
                    <w:jc w:val="center"/>
                    <w:rPr>
                      <w:color w:val="auto"/>
                      <w:szCs w:val="21"/>
                    </w:rPr>
                  </w:pPr>
                </w:p>
              </w:tc>
              <w:tc>
                <w:tcPr>
                  <w:tcW w:w="548" w:type="pct"/>
                  <w:tcBorders>
                    <w:tl2br w:val="nil"/>
                    <w:tr2bl w:val="nil"/>
                  </w:tcBorders>
                  <w:noWrap w:val="0"/>
                  <w:vAlign w:val="center"/>
                </w:tcPr>
                <w:p w14:paraId="456FC19D">
                  <w:pPr>
                    <w:adjustRightInd w:val="0"/>
                    <w:snapToGrid w:val="0"/>
                    <w:jc w:val="center"/>
                    <w:rPr>
                      <w:b/>
                      <w:bCs/>
                      <w:color w:val="auto"/>
                      <w:szCs w:val="21"/>
                    </w:rPr>
                  </w:pPr>
                  <w:r>
                    <w:rPr>
                      <w:b/>
                      <w:bCs/>
                      <w:color w:val="auto"/>
                      <w:szCs w:val="21"/>
                    </w:rPr>
                    <w:t>X</w:t>
                  </w:r>
                </w:p>
              </w:tc>
              <w:tc>
                <w:tcPr>
                  <w:tcW w:w="507" w:type="pct"/>
                  <w:tcBorders>
                    <w:tl2br w:val="nil"/>
                    <w:tr2bl w:val="nil"/>
                  </w:tcBorders>
                  <w:noWrap w:val="0"/>
                  <w:vAlign w:val="center"/>
                </w:tcPr>
                <w:p w14:paraId="1A546DD6">
                  <w:pPr>
                    <w:adjustRightInd w:val="0"/>
                    <w:snapToGrid w:val="0"/>
                    <w:jc w:val="center"/>
                    <w:rPr>
                      <w:b/>
                      <w:bCs/>
                      <w:color w:val="auto"/>
                      <w:szCs w:val="21"/>
                    </w:rPr>
                  </w:pPr>
                  <w:r>
                    <w:rPr>
                      <w:b/>
                      <w:bCs/>
                      <w:color w:val="auto"/>
                      <w:szCs w:val="21"/>
                    </w:rPr>
                    <w:t>Y</w:t>
                  </w:r>
                </w:p>
              </w:tc>
              <w:tc>
                <w:tcPr>
                  <w:tcW w:w="847" w:type="pct"/>
                  <w:tcBorders>
                    <w:tl2br w:val="nil"/>
                    <w:tr2bl w:val="nil"/>
                  </w:tcBorders>
                  <w:noWrap w:val="0"/>
                  <w:vAlign w:val="center"/>
                </w:tcPr>
                <w:p w14:paraId="0B438EB6">
                  <w:pPr>
                    <w:adjustRightInd w:val="0"/>
                    <w:snapToGrid w:val="0"/>
                    <w:jc w:val="center"/>
                    <w:rPr>
                      <w:b/>
                      <w:bCs/>
                      <w:color w:val="auto"/>
                      <w:szCs w:val="21"/>
                    </w:rPr>
                  </w:pPr>
                  <w:r>
                    <w:rPr>
                      <w:b/>
                      <w:bCs/>
                      <w:color w:val="auto"/>
                      <w:szCs w:val="21"/>
                    </w:rPr>
                    <w:t>Z</w:t>
                  </w:r>
                </w:p>
              </w:tc>
              <w:tc>
                <w:tcPr>
                  <w:tcW w:w="649" w:type="pct"/>
                  <w:vMerge w:val="continue"/>
                  <w:tcBorders>
                    <w:tl2br w:val="nil"/>
                    <w:tr2bl w:val="nil"/>
                  </w:tcBorders>
                  <w:noWrap w:val="0"/>
                  <w:vAlign w:val="center"/>
                </w:tcPr>
                <w:p w14:paraId="2F1DD6C3">
                  <w:pPr>
                    <w:adjustRightInd w:val="0"/>
                    <w:snapToGrid w:val="0"/>
                    <w:jc w:val="center"/>
                    <w:rPr>
                      <w:color w:val="auto"/>
                      <w:szCs w:val="21"/>
                    </w:rPr>
                  </w:pPr>
                </w:p>
              </w:tc>
              <w:tc>
                <w:tcPr>
                  <w:tcW w:w="679" w:type="pct"/>
                  <w:vMerge w:val="continue"/>
                  <w:tcBorders>
                    <w:tl2br w:val="nil"/>
                    <w:tr2bl w:val="nil"/>
                  </w:tcBorders>
                  <w:noWrap w:val="0"/>
                  <w:vAlign w:val="center"/>
                </w:tcPr>
                <w:p w14:paraId="3E117593">
                  <w:pPr>
                    <w:adjustRightInd w:val="0"/>
                    <w:snapToGrid w:val="0"/>
                    <w:jc w:val="center"/>
                    <w:rPr>
                      <w:color w:val="auto"/>
                      <w:szCs w:val="21"/>
                    </w:rPr>
                  </w:pPr>
                </w:p>
              </w:tc>
              <w:tc>
                <w:tcPr>
                  <w:tcW w:w="708" w:type="pct"/>
                  <w:vMerge w:val="continue"/>
                  <w:tcBorders>
                    <w:tl2br w:val="nil"/>
                    <w:tr2bl w:val="nil"/>
                  </w:tcBorders>
                  <w:noWrap w:val="0"/>
                  <w:vAlign w:val="center"/>
                </w:tcPr>
                <w:p w14:paraId="6103CA33">
                  <w:pPr>
                    <w:adjustRightInd w:val="0"/>
                    <w:snapToGrid w:val="0"/>
                    <w:jc w:val="center"/>
                    <w:rPr>
                      <w:color w:val="auto"/>
                      <w:szCs w:val="21"/>
                    </w:rPr>
                  </w:pPr>
                </w:p>
              </w:tc>
            </w:tr>
            <w:tr w14:paraId="332F41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3" w:type="pct"/>
                  <w:tcBorders>
                    <w:tl2br w:val="nil"/>
                    <w:tr2bl w:val="nil"/>
                  </w:tcBorders>
                  <w:noWrap w:val="0"/>
                  <w:vAlign w:val="center"/>
                </w:tcPr>
                <w:p w14:paraId="50A20C90">
                  <w:pPr>
                    <w:adjustRightInd w:val="0"/>
                    <w:snapToGrid w:val="0"/>
                    <w:jc w:val="center"/>
                    <w:rPr>
                      <w:color w:val="auto"/>
                      <w:szCs w:val="21"/>
                    </w:rPr>
                  </w:pPr>
                  <w:r>
                    <w:rPr>
                      <w:color w:val="auto"/>
                      <w:szCs w:val="21"/>
                    </w:rPr>
                    <w:t>1</w:t>
                  </w:r>
                </w:p>
              </w:tc>
              <w:tc>
                <w:tcPr>
                  <w:tcW w:w="657" w:type="pct"/>
                  <w:tcBorders>
                    <w:tl2br w:val="nil"/>
                    <w:tr2bl w:val="nil"/>
                  </w:tcBorders>
                  <w:noWrap w:val="0"/>
                  <w:vAlign w:val="center"/>
                </w:tcPr>
                <w:p w14:paraId="54976466">
                  <w:pPr>
                    <w:adjustRightInd w:val="0"/>
                    <w:snapToGrid w:val="0"/>
                    <w:jc w:val="center"/>
                    <w:rPr>
                      <w:color w:val="auto"/>
                      <w:szCs w:val="21"/>
                    </w:rPr>
                  </w:pPr>
                  <w:r>
                    <w:rPr>
                      <w:rFonts w:hint="eastAsia"/>
                      <w:color w:val="auto"/>
                    </w:rPr>
                    <w:t>风机</w:t>
                  </w:r>
                </w:p>
              </w:tc>
              <w:tc>
                <w:tcPr>
                  <w:tcW w:w="548" w:type="pct"/>
                  <w:tcBorders>
                    <w:tl2br w:val="nil"/>
                    <w:tr2bl w:val="nil"/>
                  </w:tcBorders>
                  <w:noWrap w:val="0"/>
                  <w:vAlign w:val="center"/>
                </w:tcPr>
                <w:p w14:paraId="27DBCB5D">
                  <w:pPr>
                    <w:widowControl/>
                    <w:adjustRightInd w:val="0"/>
                    <w:snapToGrid w:val="0"/>
                    <w:jc w:val="center"/>
                    <w:textAlignment w:val="center"/>
                    <w:rPr>
                      <w:color w:val="auto"/>
                    </w:rPr>
                  </w:pPr>
                  <w:r>
                    <w:rPr>
                      <w:rFonts w:hint="eastAsia"/>
                    </w:rPr>
                    <w:t>52.07</w:t>
                  </w:r>
                </w:p>
              </w:tc>
              <w:tc>
                <w:tcPr>
                  <w:tcW w:w="507" w:type="pct"/>
                  <w:tcBorders>
                    <w:tl2br w:val="nil"/>
                    <w:tr2bl w:val="nil"/>
                  </w:tcBorders>
                  <w:noWrap w:val="0"/>
                  <w:vAlign w:val="center"/>
                </w:tcPr>
                <w:p w14:paraId="08B4395D">
                  <w:pPr>
                    <w:widowControl/>
                    <w:adjustRightInd w:val="0"/>
                    <w:snapToGrid w:val="0"/>
                    <w:jc w:val="center"/>
                    <w:textAlignment w:val="center"/>
                    <w:rPr>
                      <w:color w:val="auto"/>
                    </w:rPr>
                  </w:pPr>
                  <w:r>
                    <w:rPr>
                      <w:rFonts w:hint="eastAsia"/>
                    </w:rPr>
                    <w:t>18.76</w:t>
                  </w:r>
                </w:p>
              </w:tc>
              <w:tc>
                <w:tcPr>
                  <w:tcW w:w="847" w:type="pct"/>
                  <w:tcBorders>
                    <w:tl2br w:val="nil"/>
                    <w:tr2bl w:val="nil"/>
                  </w:tcBorders>
                  <w:noWrap w:val="0"/>
                  <w:vAlign w:val="center"/>
                </w:tcPr>
                <w:p w14:paraId="3254A092">
                  <w:pPr>
                    <w:widowControl/>
                    <w:adjustRightInd w:val="0"/>
                    <w:snapToGrid w:val="0"/>
                    <w:jc w:val="center"/>
                    <w:textAlignment w:val="center"/>
                    <w:rPr>
                      <w:color w:val="auto"/>
                    </w:rPr>
                  </w:pPr>
                  <w:r>
                    <w:rPr>
                      <w:rFonts w:hint="eastAsia"/>
                    </w:rPr>
                    <w:t>12</w:t>
                  </w:r>
                </w:p>
              </w:tc>
              <w:tc>
                <w:tcPr>
                  <w:tcW w:w="649" w:type="pct"/>
                  <w:tcBorders>
                    <w:tl2br w:val="nil"/>
                    <w:tr2bl w:val="nil"/>
                  </w:tcBorders>
                  <w:noWrap w:val="0"/>
                  <w:vAlign w:val="center"/>
                </w:tcPr>
                <w:p w14:paraId="176EE354">
                  <w:pPr>
                    <w:adjustRightInd w:val="0"/>
                    <w:snapToGrid w:val="0"/>
                    <w:jc w:val="center"/>
                    <w:rPr>
                      <w:color w:val="auto"/>
                      <w:szCs w:val="21"/>
                    </w:rPr>
                  </w:pPr>
                  <w:r>
                    <w:rPr>
                      <w:rFonts w:hint="eastAsia"/>
                      <w:color w:val="auto"/>
                      <w:szCs w:val="21"/>
                    </w:rPr>
                    <w:t>80</w:t>
                  </w:r>
                </w:p>
              </w:tc>
              <w:tc>
                <w:tcPr>
                  <w:tcW w:w="679" w:type="pct"/>
                  <w:tcBorders>
                    <w:tl2br w:val="nil"/>
                    <w:tr2bl w:val="nil"/>
                  </w:tcBorders>
                  <w:noWrap w:val="0"/>
                  <w:vAlign w:val="center"/>
                </w:tcPr>
                <w:p w14:paraId="578063A4">
                  <w:pPr>
                    <w:adjustRightInd w:val="0"/>
                    <w:snapToGrid w:val="0"/>
                    <w:jc w:val="center"/>
                    <w:rPr>
                      <w:color w:val="auto"/>
                      <w:szCs w:val="21"/>
                    </w:rPr>
                  </w:pPr>
                  <w:r>
                    <w:rPr>
                      <w:color w:val="auto"/>
                      <w:szCs w:val="21"/>
                    </w:rPr>
                    <w:t>选用低噪声设备</w:t>
                  </w:r>
                  <w:r>
                    <w:rPr>
                      <w:rFonts w:hint="eastAsia"/>
                      <w:color w:val="auto"/>
                      <w:szCs w:val="21"/>
                    </w:rPr>
                    <w:t>、隔声、减振</w:t>
                  </w:r>
                </w:p>
              </w:tc>
              <w:tc>
                <w:tcPr>
                  <w:tcW w:w="708" w:type="pct"/>
                  <w:tcBorders>
                    <w:tl2br w:val="nil"/>
                    <w:tr2bl w:val="nil"/>
                  </w:tcBorders>
                  <w:noWrap w:val="0"/>
                  <w:vAlign w:val="center"/>
                </w:tcPr>
                <w:p w14:paraId="089D82C9">
                  <w:pPr>
                    <w:adjustRightInd w:val="0"/>
                    <w:snapToGrid w:val="0"/>
                    <w:jc w:val="center"/>
                    <w:rPr>
                      <w:color w:val="auto"/>
                      <w:szCs w:val="21"/>
                    </w:rPr>
                  </w:pPr>
                  <w:r>
                    <w:rPr>
                      <w:rFonts w:hint="eastAsia"/>
                      <w:color w:val="auto"/>
                      <w:kern w:val="0"/>
                      <w:szCs w:val="21"/>
                      <w:lang w:bidi="ar"/>
                    </w:rPr>
                    <w:t>昼间</w:t>
                  </w:r>
                </w:p>
              </w:tc>
            </w:tr>
          </w:tbl>
          <w:p w14:paraId="43D7D418">
            <w:pPr>
              <w:numPr>
                <w:ilvl w:val="0"/>
                <w:numId w:val="0"/>
              </w:numPr>
              <w:adjustRightInd w:val="0"/>
              <w:snapToGrid w:val="0"/>
              <w:spacing w:line="360" w:lineRule="auto"/>
              <w:ind w:firstLine="480" w:firstLineChars="200"/>
              <w:rPr>
                <w:rFonts w:hint="default" w:ascii="Times New Roman" w:hAnsi="Times New Roman" w:cs="Times New Roman"/>
                <w:bCs/>
                <w:spacing w:val="0"/>
                <w:sz w:val="24"/>
                <w:szCs w:val="24"/>
                <w:lang w:val="en-US" w:eastAsia="zh-CN"/>
              </w:rPr>
            </w:pPr>
          </w:p>
        </w:tc>
      </w:tr>
    </w:tbl>
    <w:p w14:paraId="3499CC93">
      <w:pPr>
        <w:adjustRightInd w:val="0"/>
        <w:snapToGrid w:val="0"/>
        <w:spacing w:line="360" w:lineRule="auto"/>
        <w:rPr>
          <w:rFonts w:hint="default" w:ascii="Times New Roman" w:hAnsi="Times New Roman" w:cs="Times New Roman"/>
          <w:b/>
          <w:kern w:val="0"/>
          <w:sz w:val="28"/>
          <w:szCs w:val="28"/>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6"/>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8"/>
        <w:gridCol w:w="8440"/>
      </w:tblGrid>
      <w:tr w14:paraId="3F8D65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1" w:hRule="atLeast"/>
          <w:jc w:val="center"/>
        </w:trPr>
        <w:tc>
          <w:tcPr>
            <w:tcW w:w="468" w:type="dxa"/>
            <w:noWrap w:val="0"/>
            <w:tcMar>
              <w:left w:w="28" w:type="dxa"/>
              <w:right w:w="28" w:type="dxa"/>
            </w:tcMar>
            <w:vAlign w:val="center"/>
          </w:tcPr>
          <w:p w14:paraId="5AB249D3">
            <w:pPr>
              <w:pStyle w:val="23"/>
              <w:adjustRightInd w:val="0"/>
              <w:snapToGrid w:val="0"/>
              <w:spacing w:before="0" w:beforeAutospacing="0" w:after="0" w:afterAutospacing="0"/>
              <w:jc w:val="center"/>
              <w:rPr>
                <w:rFonts w:hint="default" w:ascii="Times New Roman" w:hAnsi="Times New Roman" w:cs="Times New Roman"/>
                <w:bCs/>
                <w:kern w:val="2"/>
                <w:sz w:val="24"/>
                <w:szCs w:val="24"/>
              </w:rPr>
            </w:pPr>
          </w:p>
        </w:tc>
        <w:tc>
          <w:tcPr>
            <w:tcW w:w="8440" w:type="dxa"/>
            <w:noWrap w:val="0"/>
            <w:vAlign w:val="top"/>
          </w:tcPr>
          <w:p w14:paraId="2D749502">
            <w:pPr>
              <w:numPr>
                <w:ilvl w:val="0"/>
                <w:numId w:val="0"/>
              </w:numPr>
              <w:adjustRightInd w:val="0"/>
              <w:snapToGrid w:val="0"/>
              <w:spacing w:line="360" w:lineRule="auto"/>
              <w:rPr>
                <w:rFonts w:hint="eastAsia" w:ascii="Times New Roman" w:hAnsi="Times New Roman" w:eastAsia="宋体" w:cs="Times New Roman"/>
                <w:b/>
                <w:bCs w:val="0"/>
                <w:color w:val="auto"/>
                <w:spacing w:val="0"/>
                <w:sz w:val="24"/>
                <w:szCs w:val="24"/>
                <w:lang w:val="en-US" w:eastAsia="zh-CN"/>
              </w:rPr>
            </w:pPr>
            <w:r>
              <w:rPr>
                <w:rFonts w:hint="eastAsia" w:ascii="Times New Roman" w:hAnsi="Times New Roman" w:eastAsia="宋体" w:cs="Times New Roman"/>
                <w:b/>
                <w:bCs w:val="0"/>
                <w:spacing w:val="0"/>
                <w:sz w:val="24"/>
                <w:szCs w:val="24"/>
                <w:lang w:val="en-US" w:eastAsia="zh-CN"/>
              </w:rPr>
              <w:t>3.</w:t>
            </w:r>
            <w:r>
              <w:rPr>
                <w:rFonts w:hint="eastAsia" w:ascii="Times New Roman" w:hAnsi="Times New Roman" w:eastAsia="宋体" w:cs="Times New Roman"/>
                <w:b/>
                <w:bCs w:val="0"/>
                <w:color w:val="auto"/>
                <w:spacing w:val="0"/>
                <w:sz w:val="24"/>
                <w:szCs w:val="24"/>
                <w:lang w:val="en-US" w:eastAsia="zh-CN"/>
              </w:rPr>
              <w:t>2</w:t>
            </w:r>
            <w:r>
              <w:rPr>
                <w:rFonts w:hint="eastAsia" w:cs="Times New Roman"/>
                <w:b/>
                <w:bCs w:val="0"/>
                <w:color w:val="auto"/>
                <w:spacing w:val="0"/>
                <w:sz w:val="24"/>
                <w:szCs w:val="24"/>
                <w:lang w:val="en-US" w:eastAsia="zh-CN"/>
              </w:rPr>
              <w:t>噪声预测</w:t>
            </w:r>
          </w:p>
          <w:p w14:paraId="265F1AF9">
            <w:pPr>
              <w:pStyle w:val="2"/>
              <w:keepNext w:val="0"/>
              <w:keepLines w:val="0"/>
              <w:pageBreakBefore w:val="0"/>
              <w:kinsoku/>
              <w:wordWrap/>
              <w:overflowPunct/>
              <w:topLinePunct w:val="0"/>
              <w:autoSpaceDE/>
              <w:autoSpaceDN/>
              <w:bidi w:val="0"/>
              <w:spacing w:before="0" w:after="0" w:line="360" w:lineRule="auto"/>
              <w:ind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（1）预测模式</w:t>
            </w:r>
          </w:p>
          <w:p w14:paraId="1688AAEC">
            <w:pPr>
              <w:pStyle w:val="2"/>
              <w:keepNext w:val="0"/>
              <w:keepLines w:val="0"/>
              <w:pageBreakBefore w:val="0"/>
              <w:kinsoku/>
              <w:wordWrap/>
              <w:overflowPunct/>
              <w:topLinePunct w:val="0"/>
              <w:autoSpaceDE/>
              <w:autoSpaceDN/>
              <w:bidi w:val="0"/>
              <w:spacing w:before="0" w:after="0" w:line="360" w:lineRule="auto"/>
              <w:ind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根据《环境影响评价技术导则 声环境》（HJ2.4-2021）的规定选取预测模式，应用过程中将根据具体情况做必要简化，计算过程如下：</w:t>
            </w:r>
          </w:p>
          <w:p w14:paraId="1EF79698">
            <w:pPr>
              <w:keepNext w:val="0"/>
              <w:keepLines w:val="0"/>
              <w:pageBreakBefore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a.室外点声源预测模式</w:t>
            </w:r>
            <w:r>
              <w:rPr>
                <w:rFonts w:hint="default" w:ascii="Times New Roman" w:hAnsi="Times New Roman" w:eastAsia="宋体" w:cs="Times New Roman"/>
                <w:color w:val="auto"/>
                <w:sz w:val="24"/>
                <w:szCs w:val="24"/>
                <w:highlight w:val="none"/>
              </w:rPr>
              <w:tab/>
            </w:r>
          </w:p>
          <w:p w14:paraId="7DC5AC03">
            <w:pPr>
              <w:keepNext w:val="0"/>
              <w:keepLines w:val="0"/>
              <w:pageBreakBefore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某个噪声源在预测点的声压级为：</w:t>
            </w:r>
          </w:p>
          <w:p w14:paraId="06288944">
            <w:pPr>
              <w:keepNext w:val="0"/>
              <w:keepLines w:val="0"/>
              <w:pageBreakBefore w:val="0"/>
              <w:kinsoku/>
              <w:wordWrap/>
              <w:overflowPunct/>
              <w:topLinePunct w:val="0"/>
              <w:autoSpaceDE/>
              <w:autoSpaceDN/>
              <w:bidi w:val="0"/>
              <w:adjustRightInd/>
              <w:snapToGrid/>
              <w:spacing w:line="360" w:lineRule="auto"/>
              <w:ind w:right="0" w:firstLine="480" w:firstLineChars="20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drawing>
                <wp:inline distT="0" distB="0" distL="114300" distR="114300">
                  <wp:extent cx="2019300" cy="241300"/>
                  <wp:effectExtent l="0" t="0" r="0" b="5080"/>
                  <wp:docPr id="9" name="图片 41" descr="C:\Users\ADMINI~1\AppData\Local\Temp\ksohtml668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1" descr="C:\Users\ADMINI~1\AppData\Local\Temp\ksohtml6680\wps1.png"/>
                          <pic:cNvPicPr>
                            <a:picLocks noChangeAspect="1"/>
                          </pic:cNvPicPr>
                        </pic:nvPicPr>
                        <pic:blipFill>
                          <a:blip r:embed="rId15"/>
                          <a:stretch>
                            <a:fillRect/>
                          </a:stretch>
                        </pic:blipFill>
                        <pic:spPr>
                          <a:xfrm>
                            <a:off x="0" y="0"/>
                            <a:ext cx="2019300" cy="241300"/>
                          </a:xfrm>
                          <a:prstGeom prst="rect">
                            <a:avLst/>
                          </a:prstGeom>
                          <a:noFill/>
                          <a:ln>
                            <a:noFill/>
                          </a:ln>
                        </pic:spPr>
                      </pic:pic>
                    </a:graphicData>
                  </a:graphic>
                </wp:inline>
              </w:drawing>
            </w:r>
          </w:p>
          <w:p w14:paraId="25E2B74B">
            <w:pPr>
              <w:keepNext w:val="0"/>
              <w:keepLines w:val="0"/>
              <w:pageBreakBefore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w:t>
            </w:r>
            <w:r>
              <w:rPr>
                <w:rFonts w:hint="default" w:ascii="Times New Roman" w:hAnsi="Times New Roman" w:eastAsia="宋体" w:cs="Times New Roman"/>
                <w:color w:val="auto"/>
                <w:sz w:val="24"/>
                <w:szCs w:val="24"/>
                <w:highlight w:val="none"/>
              </w:rPr>
              <w:drawing>
                <wp:inline distT="0" distB="0" distL="114300" distR="114300">
                  <wp:extent cx="380365" cy="241300"/>
                  <wp:effectExtent l="0" t="0" r="635" b="5080"/>
                  <wp:docPr id="10" name="图片 42" descr="C:\Users\ADMINI~1\AppData\Local\Temp\ksohtml668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2" descr="C:\Users\ADMINI~1\AppData\Local\Temp\ksohtml6680\wps2.png"/>
                          <pic:cNvPicPr>
                            <a:picLocks noChangeAspect="1"/>
                          </pic:cNvPicPr>
                        </pic:nvPicPr>
                        <pic:blipFill>
                          <a:blip r:embed="rId16"/>
                          <a:stretch>
                            <a:fillRect/>
                          </a:stretch>
                        </pic:blipFill>
                        <pic:spPr>
                          <a:xfrm>
                            <a:off x="0" y="0"/>
                            <a:ext cx="380365" cy="241300"/>
                          </a:xfrm>
                          <a:prstGeom prst="rect">
                            <a:avLst/>
                          </a:prstGeom>
                          <a:noFill/>
                          <a:ln>
                            <a:noFill/>
                          </a:ln>
                        </pic:spPr>
                      </pic:pic>
                    </a:graphicData>
                  </a:graphic>
                </wp:inline>
              </w:drawing>
            </w:r>
            <w:r>
              <w:rPr>
                <w:rFonts w:hint="default" w:ascii="Times New Roman" w:hAnsi="Times New Roman" w:eastAsia="宋体" w:cs="Times New Roman"/>
                <w:color w:val="auto"/>
                <w:sz w:val="24"/>
                <w:szCs w:val="24"/>
                <w:highlight w:val="none"/>
              </w:rPr>
              <w:t>—噪声源在预测点的声压级，dB(A)；</w:t>
            </w:r>
          </w:p>
          <w:p w14:paraId="7AB9652C">
            <w:pPr>
              <w:keepNext w:val="0"/>
              <w:keepLines w:val="0"/>
              <w:pageBreakBefore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drawing>
                <wp:inline distT="0" distB="0" distL="114300" distR="114300">
                  <wp:extent cx="417195" cy="241300"/>
                  <wp:effectExtent l="0" t="0" r="1905" b="5080"/>
                  <wp:docPr id="11" name="图片 43" descr="C:\Users\ADMINI~1\AppData\Local\Temp\ksohtml6680\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3" descr="C:\Users\ADMINI~1\AppData\Local\Temp\ksohtml6680\wps3.png"/>
                          <pic:cNvPicPr>
                            <a:picLocks noChangeAspect="1"/>
                          </pic:cNvPicPr>
                        </pic:nvPicPr>
                        <pic:blipFill>
                          <a:blip r:embed="rId17"/>
                          <a:stretch>
                            <a:fillRect/>
                          </a:stretch>
                        </pic:blipFill>
                        <pic:spPr>
                          <a:xfrm>
                            <a:off x="0" y="0"/>
                            <a:ext cx="417195" cy="241300"/>
                          </a:xfrm>
                          <a:prstGeom prst="rect">
                            <a:avLst/>
                          </a:prstGeom>
                          <a:noFill/>
                          <a:ln>
                            <a:noFill/>
                          </a:ln>
                        </pic:spPr>
                      </pic:pic>
                    </a:graphicData>
                  </a:graphic>
                </wp:inline>
              </w:drawing>
            </w:r>
            <w:r>
              <w:rPr>
                <w:rFonts w:hint="default" w:ascii="Times New Roman" w:hAnsi="Times New Roman" w:eastAsia="宋体" w:cs="Times New Roman"/>
                <w:color w:val="auto"/>
                <w:sz w:val="24"/>
                <w:szCs w:val="24"/>
                <w:highlight w:val="none"/>
              </w:rPr>
              <w:t>－参考位置</w:t>
            </w:r>
            <w:r>
              <w:rPr>
                <w:rFonts w:hint="default" w:ascii="Times New Roman" w:hAnsi="Times New Roman" w:eastAsia="宋体" w:cs="Times New Roman"/>
                <w:color w:val="auto"/>
                <w:sz w:val="24"/>
                <w:szCs w:val="24"/>
                <w:highlight w:val="none"/>
              </w:rPr>
              <w:drawing>
                <wp:inline distT="0" distB="0" distL="114300" distR="114300">
                  <wp:extent cx="153670" cy="226695"/>
                  <wp:effectExtent l="0" t="0" r="17780" b="1270"/>
                  <wp:docPr id="12" name="图片 44" descr="C:\Users\ADMINI~1\AppData\Local\Temp\ksohtml6680\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4" descr="C:\Users\ADMINI~1\AppData\Local\Temp\ksohtml6680\wps4.png"/>
                          <pic:cNvPicPr>
                            <a:picLocks noChangeAspect="1"/>
                          </pic:cNvPicPr>
                        </pic:nvPicPr>
                        <pic:blipFill>
                          <a:blip r:embed="rId18"/>
                          <a:stretch>
                            <a:fillRect/>
                          </a:stretch>
                        </pic:blipFill>
                        <pic:spPr>
                          <a:xfrm>
                            <a:off x="0" y="0"/>
                            <a:ext cx="153670" cy="226695"/>
                          </a:xfrm>
                          <a:prstGeom prst="rect">
                            <a:avLst/>
                          </a:prstGeom>
                          <a:noFill/>
                          <a:ln>
                            <a:noFill/>
                          </a:ln>
                        </pic:spPr>
                      </pic:pic>
                    </a:graphicData>
                  </a:graphic>
                </wp:inline>
              </w:drawing>
            </w:r>
            <w:r>
              <w:rPr>
                <w:rFonts w:hint="default" w:ascii="Times New Roman" w:hAnsi="Times New Roman" w:eastAsia="宋体" w:cs="Times New Roman"/>
                <w:color w:val="auto"/>
                <w:sz w:val="24"/>
                <w:szCs w:val="24"/>
                <w:highlight w:val="none"/>
              </w:rPr>
              <w:t>处的声压级，dB(A)；</w:t>
            </w:r>
          </w:p>
          <w:p w14:paraId="4CA0D0B4">
            <w:pPr>
              <w:keepNext w:val="0"/>
              <w:keepLines w:val="0"/>
              <w:pageBreakBefore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drawing>
                <wp:inline distT="0" distB="0" distL="114300" distR="114300">
                  <wp:extent cx="153670" cy="226695"/>
                  <wp:effectExtent l="0" t="0" r="17780" b="1270"/>
                  <wp:docPr id="13" name="图片 45" descr="C:\Users\ADMINI~1\AppData\Local\Temp\ksohtml6680\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5" descr="C:\Users\ADMINI~1\AppData\Local\Temp\ksohtml6680\wps5.png"/>
                          <pic:cNvPicPr>
                            <a:picLocks noChangeAspect="1"/>
                          </pic:cNvPicPr>
                        </pic:nvPicPr>
                        <pic:blipFill>
                          <a:blip r:embed="rId18"/>
                          <a:stretch>
                            <a:fillRect/>
                          </a:stretch>
                        </pic:blipFill>
                        <pic:spPr>
                          <a:xfrm>
                            <a:off x="0" y="0"/>
                            <a:ext cx="153670" cy="226695"/>
                          </a:xfrm>
                          <a:prstGeom prst="rect">
                            <a:avLst/>
                          </a:prstGeom>
                          <a:noFill/>
                          <a:ln>
                            <a:noFill/>
                          </a:ln>
                        </pic:spPr>
                      </pic:pic>
                    </a:graphicData>
                  </a:graphic>
                </wp:inline>
              </w:drawing>
            </w:r>
            <w:r>
              <w:rPr>
                <w:rFonts w:hint="default" w:ascii="Times New Roman" w:hAnsi="Times New Roman" w:eastAsia="宋体" w:cs="Times New Roman"/>
                <w:color w:val="auto"/>
                <w:sz w:val="24"/>
                <w:szCs w:val="24"/>
                <w:highlight w:val="none"/>
              </w:rPr>
              <w:t>－参考位置距声源中心的位置，m；</w:t>
            </w:r>
          </w:p>
          <w:p w14:paraId="3DD1B4BA">
            <w:pPr>
              <w:keepNext w:val="0"/>
              <w:keepLines w:val="0"/>
              <w:pageBreakBefore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drawing>
                <wp:inline distT="0" distB="0" distL="114300" distR="114300">
                  <wp:extent cx="116840" cy="124460"/>
                  <wp:effectExtent l="0" t="0" r="16510" b="7620"/>
                  <wp:docPr id="14" name="图片 46" descr="C:\Users\ADMINI~1\AppData\Local\Temp\ksohtml6680\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6" descr="C:\Users\ADMINI~1\AppData\Local\Temp\ksohtml6680\wps6.png"/>
                          <pic:cNvPicPr>
                            <a:picLocks noChangeAspect="1"/>
                          </pic:cNvPicPr>
                        </pic:nvPicPr>
                        <pic:blipFill>
                          <a:blip r:embed="rId19"/>
                          <a:stretch>
                            <a:fillRect/>
                          </a:stretch>
                        </pic:blipFill>
                        <pic:spPr>
                          <a:xfrm>
                            <a:off x="0" y="0"/>
                            <a:ext cx="116840" cy="124460"/>
                          </a:xfrm>
                          <a:prstGeom prst="rect">
                            <a:avLst/>
                          </a:prstGeom>
                          <a:noFill/>
                          <a:ln>
                            <a:noFill/>
                          </a:ln>
                        </pic:spPr>
                      </pic:pic>
                    </a:graphicData>
                  </a:graphic>
                </wp:inline>
              </w:drawing>
            </w:r>
            <w:r>
              <w:rPr>
                <w:rFonts w:hint="default" w:ascii="Times New Roman" w:hAnsi="Times New Roman" w:eastAsia="宋体" w:cs="Times New Roman"/>
                <w:color w:val="auto"/>
                <w:sz w:val="24"/>
                <w:szCs w:val="24"/>
                <w:highlight w:val="none"/>
              </w:rPr>
              <w:t>－声源中心至预测点的距离，m；</w:t>
            </w:r>
          </w:p>
          <w:p w14:paraId="79D22813">
            <w:pPr>
              <w:keepNext w:val="0"/>
              <w:keepLines w:val="0"/>
              <w:pageBreakBefore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drawing>
                <wp:inline distT="0" distB="0" distL="114300" distR="114300">
                  <wp:extent cx="226695" cy="160655"/>
                  <wp:effectExtent l="0" t="0" r="1905" b="12065"/>
                  <wp:docPr id="15" name="图片 47" descr="C:\Users\ADMINI~1\AppData\Local\Temp\ksohtml6680\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7" descr="C:\Users\ADMINI~1\AppData\Local\Temp\ksohtml6680\wps7.png"/>
                          <pic:cNvPicPr>
                            <a:picLocks noChangeAspect="1"/>
                          </pic:cNvPicPr>
                        </pic:nvPicPr>
                        <pic:blipFill>
                          <a:blip r:embed="rId20"/>
                          <a:stretch>
                            <a:fillRect/>
                          </a:stretch>
                        </pic:blipFill>
                        <pic:spPr>
                          <a:xfrm>
                            <a:off x="0" y="0"/>
                            <a:ext cx="226695" cy="160655"/>
                          </a:xfrm>
                          <a:prstGeom prst="rect">
                            <a:avLst/>
                          </a:prstGeom>
                          <a:noFill/>
                          <a:ln>
                            <a:noFill/>
                          </a:ln>
                        </pic:spPr>
                      </pic:pic>
                    </a:graphicData>
                  </a:graphic>
                </wp:inline>
              </w:drawing>
            </w:r>
            <w:r>
              <w:rPr>
                <w:rFonts w:hint="default" w:ascii="Times New Roman" w:hAnsi="Times New Roman" w:eastAsia="宋体" w:cs="Times New Roman"/>
                <w:color w:val="auto"/>
                <w:sz w:val="24"/>
                <w:szCs w:val="24"/>
                <w:highlight w:val="none"/>
              </w:rPr>
              <w:t>－各种因素引起的声衰减量（如声屏障，遮挡物，空气吸收，地面吸收等引起的声衰减。</w:t>
            </w:r>
          </w:p>
          <w:p w14:paraId="3BBAFDE3">
            <w:pPr>
              <w:keepNext w:val="0"/>
              <w:keepLines w:val="0"/>
              <w:pageBreakBefore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b.室内声源</w:t>
            </w:r>
          </w:p>
          <w:p w14:paraId="5D6DFC8F">
            <w:pPr>
              <w:keepNext w:val="0"/>
              <w:keepLines w:val="0"/>
              <w:pageBreakBefore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①所有室内声源在围护结构处产生的i倍频带叠加声压级：</w:t>
            </w:r>
          </w:p>
          <w:p w14:paraId="545874B7">
            <w:pPr>
              <w:keepNext w:val="0"/>
              <w:keepLines w:val="0"/>
              <w:pageBreakBefore w:val="0"/>
              <w:kinsoku/>
              <w:wordWrap/>
              <w:overflowPunct/>
              <w:topLinePunct w:val="0"/>
              <w:autoSpaceDE/>
              <w:autoSpaceDN/>
              <w:bidi w:val="0"/>
              <w:adjustRightInd/>
              <w:snapToGrid/>
              <w:spacing w:line="360" w:lineRule="auto"/>
              <w:ind w:right="0" w:firstLine="480" w:firstLineChars="20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drawing>
                <wp:inline distT="0" distB="0" distL="114300" distR="114300">
                  <wp:extent cx="2715260" cy="770890"/>
                  <wp:effectExtent l="0" t="0" r="8890" b="1016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21"/>
                          <a:stretch>
                            <a:fillRect/>
                          </a:stretch>
                        </pic:blipFill>
                        <pic:spPr>
                          <a:xfrm>
                            <a:off x="0" y="0"/>
                            <a:ext cx="2715260" cy="770890"/>
                          </a:xfrm>
                          <a:prstGeom prst="rect">
                            <a:avLst/>
                          </a:prstGeom>
                          <a:noFill/>
                          <a:ln>
                            <a:noFill/>
                          </a:ln>
                        </pic:spPr>
                      </pic:pic>
                    </a:graphicData>
                  </a:graphic>
                </wp:inline>
              </w:drawing>
            </w:r>
          </w:p>
          <w:p w14:paraId="02B2E9AC">
            <w:pPr>
              <w:keepNext w:val="0"/>
              <w:keepLines w:val="0"/>
              <w:pageBreakBefore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式中：Lp</w:t>
            </w:r>
            <w:r>
              <w:rPr>
                <w:rFonts w:hint="default" w:ascii="Times New Roman" w:hAnsi="Times New Roman" w:eastAsia="宋体" w:cs="Times New Roman"/>
                <w:color w:val="auto"/>
                <w:sz w:val="24"/>
                <w:szCs w:val="24"/>
                <w:highlight w:val="none"/>
                <w:vertAlign w:val="subscript"/>
              </w:rPr>
              <w:t>1i</w:t>
            </w:r>
            <w:r>
              <w:rPr>
                <w:rFonts w:hint="default" w:ascii="Times New Roman" w:hAnsi="Times New Roman" w:eastAsia="宋体" w:cs="Times New Roman"/>
                <w:color w:val="auto"/>
                <w:sz w:val="24"/>
                <w:szCs w:val="24"/>
                <w:highlight w:val="none"/>
              </w:rPr>
              <w:t>(T)－靠近围护结构处室内N个声源i倍频带的叠加声压级，dB；</w:t>
            </w:r>
          </w:p>
          <w:p w14:paraId="0C5189A7">
            <w:pPr>
              <w:keepNext w:val="0"/>
              <w:keepLines w:val="0"/>
              <w:pageBreakBefore w:val="0"/>
              <w:kinsoku/>
              <w:wordWrap/>
              <w:overflowPunct/>
              <w:topLinePunct w:val="0"/>
              <w:autoSpaceDE/>
              <w:autoSpaceDN/>
              <w:bidi w:val="0"/>
              <w:adjustRightInd/>
              <w:snapToGrid/>
              <w:spacing w:line="360" w:lineRule="auto"/>
              <w:ind w:right="0"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Lp</w:t>
            </w:r>
            <w:r>
              <w:rPr>
                <w:rFonts w:hint="default" w:ascii="Times New Roman" w:hAnsi="Times New Roman" w:eastAsia="宋体" w:cs="Times New Roman"/>
                <w:color w:val="auto"/>
                <w:sz w:val="24"/>
                <w:szCs w:val="24"/>
                <w:highlight w:val="none"/>
                <w:vertAlign w:val="subscript"/>
              </w:rPr>
              <w:t>1ij</w:t>
            </w:r>
            <w:r>
              <w:rPr>
                <w:rFonts w:hint="default" w:ascii="Times New Roman" w:hAnsi="Times New Roman" w:eastAsia="宋体" w:cs="Times New Roman"/>
                <w:color w:val="auto"/>
                <w:sz w:val="24"/>
                <w:szCs w:val="24"/>
                <w:highlight w:val="none"/>
              </w:rPr>
              <w:t>－室内j声源i倍频带的声压级，dB；</w:t>
            </w:r>
          </w:p>
          <w:p w14:paraId="136247D8">
            <w:pPr>
              <w:keepNext w:val="0"/>
              <w:keepLines w:val="0"/>
              <w:pageBreakBefore w:val="0"/>
              <w:kinsoku/>
              <w:wordWrap/>
              <w:overflowPunct/>
              <w:topLinePunct w:val="0"/>
              <w:autoSpaceDE/>
              <w:autoSpaceDN/>
              <w:bidi w:val="0"/>
              <w:adjustRightInd/>
              <w:snapToGrid/>
              <w:spacing w:line="360" w:lineRule="auto"/>
              <w:ind w:right="0"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N－室内声源总数。</w:t>
            </w:r>
          </w:p>
          <w:p w14:paraId="667A2E00">
            <w:pPr>
              <w:keepNext w:val="0"/>
              <w:keepLines w:val="0"/>
              <w:pageBreakBefore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②靠近室外围护结构处的声压级计算公式：</w:t>
            </w:r>
          </w:p>
          <w:p w14:paraId="15F881E9">
            <w:pPr>
              <w:keepNext w:val="0"/>
              <w:keepLines w:val="0"/>
              <w:pageBreakBefore w:val="0"/>
              <w:kinsoku/>
              <w:wordWrap/>
              <w:overflowPunct/>
              <w:topLinePunct w:val="0"/>
              <w:autoSpaceDE/>
              <w:autoSpaceDN/>
              <w:bidi w:val="0"/>
              <w:adjustRightInd/>
              <w:snapToGrid/>
              <w:spacing w:line="360" w:lineRule="auto"/>
              <w:ind w:right="0" w:firstLine="480" w:firstLineChars="20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drawing>
                <wp:inline distT="0" distB="0" distL="114300" distR="114300">
                  <wp:extent cx="2034540" cy="408940"/>
                  <wp:effectExtent l="0" t="0" r="3810" b="1016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2"/>
                          <a:stretch>
                            <a:fillRect/>
                          </a:stretch>
                        </pic:blipFill>
                        <pic:spPr>
                          <a:xfrm>
                            <a:off x="0" y="0"/>
                            <a:ext cx="2034540" cy="408940"/>
                          </a:xfrm>
                          <a:prstGeom prst="rect">
                            <a:avLst/>
                          </a:prstGeom>
                          <a:noFill/>
                          <a:ln>
                            <a:noFill/>
                          </a:ln>
                        </pic:spPr>
                      </pic:pic>
                    </a:graphicData>
                  </a:graphic>
                </wp:inline>
              </w:drawing>
            </w:r>
          </w:p>
          <w:p w14:paraId="7EB45535">
            <w:pPr>
              <w:keepNext w:val="0"/>
              <w:keepLines w:val="0"/>
              <w:pageBreakBefore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式中：Lp</w:t>
            </w:r>
            <w:r>
              <w:rPr>
                <w:rFonts w:hint="default" w:ascii="Times New Roman" w:hAnsi="Times New Roman" w:eastAsia="宋体" w:cs="Times New Roman"/>
                <w:color w:val="auto"/>
                <w:sz w:val="24"/>
                <w:szCs w:val="24"/>
                <w:highlight w:val="none"/>
                <w:vertAlign w:val="subscript"/>
              </w:rPr>
              <w:t>2i</w:t>
            </w:r>
            <w:r>
              <w:rPr>
                <w:rFonts w:hint="default" w:ascii="Times New Roman" w:hAnsi="Times New Roman" w:eastAsia="宋体" w:cs="Times New Roman"/>
                <w:color w:val="auto"/>
                <w:sz w:val="24"/>
                <w:szCs w:val="24"/>
                <w:highlight w:val="none"/>
              </w:rPr>
              <w:t>(T)－靠近围护结构处室外N个声源i倍频带的叠加声压级，dB；</w:t>
            </w:r>
          </w:p>
          <w:p w14:paraId="6C7C91DD">
            <w:pPr>
              <w:keepNext w:val="0"/>
              <w:keepLines w:val="0"/>
              <w:pageBreakBefore w:val="0"/>
              <w:kinsoku/>
              <w:wordWrap/>
              <w:overflowPunct/>
              <w:topLinePunct w:val="0"/>
              <w:autoSpaceDE/>
              <w:autoSpaceDN/>
              <w:bidi w:val="0"/>
              <w:adjustRightInd/>
              <w:snapToGrid/>
              <w:spacing w:line="360" w:lineRule="auto"/>
              <w:ind w:right="0"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rPr>
              <w:t>p1i</w:t>
            </w:r>
            <w:r>
              <w:rPr>
                <w:rFonts w:hint="default" w:ascii="Times New Roman" w:hAnsi="Times New Roman" w:eastAsia="宋体" w:cs="Times New Roman"/>
                <w:color w:val="auto"/>
                <w:sz w:val="24"/>
                <w:szCs w:val="24"/>
                <w:highlight w:val="none"/>
              </w:rPr>
              <w:t>(T)－靠近围护结构处室内N个声源i倍频带的叠加声压级，dB；</w:t>
            </w:r>
          </w:p>
          <w:p w14:paraId="394B5804">
            <w:pPr>
              <w:keepNext w:val="0"/>
              <w:keepLines w:val="0"/>
              <w:pageBreakBefore w:val="0"/>
              <w:kinsoku/>
              <w:wordWrap/>
              <w:overflowPunct/>
              <w:topLinePunct w:val="0"/>
              <w:autoSpaceDE/>
              <w:autoSpaceDN/>
              <w:bidi w:val="0"/>
              <w:adjustRightInd/>
              <w:snapToGrid/>
              <w:spacing w:line="360" w:lineRule="auto"/>
              <w:ind w:right="0"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TL－围护结构i倍频带的隔声量，dB</w:t>
            </w:r>
          </w:p>
          <w:p w14:paraId="4F44105F">
            <w:pPr>
              <w:keepNext w:val="0"/>
              <w:keepLines w:val="0"/>
              <w:pageBreakBefore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rPr>
              <w:t>预测点噪声贡献值：</w:t>
            </w:r>
          </w:p>
          <w:p w14:paraId="643608B4">
            <w:pPr>
              <w:keepNext w:val="0"/>
              <w:keepLines w:val="0"/>
              <w:pageBreakBefore w:val="0"/>
              <w:kinsoku/>
              <w:wordWrap/>
              <w:overflowPunct/>
              <w:topLinePunct w:val="0"/>
              <w:autoSpaceDE/>
              <w:autoSpaceDN/>
              <w:bidi w:val="0"/>
              <w:spacing w:line="360" w:lineRule="auto"/>
              <w:ind w:right="0" w:firstLine="480" w:firstLineChars="20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drawing>
                <wp:inline distT="0" distB="0" distL="114300" distR="114300">
                  <wp:extent cx="3076575" cy="704850"/>
                  <wp:effectExtent l="0" t="0" r="9525"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23"/>
                          <a:stretch>
                            <a:fillRect/>
                          </a:stretch>
                        </pic:blipFill>
                        <pic:spPr>
                          <a:xfrm>
                            <a:off x="0" y="0"/>
                            <a:ext cx="3076575" cy="704850"/>
                          </a:xfrm>
                          <a:prstGeom prst="rect">
                            <a:avLst/>
                          </a:prstGeom>
                          <a:noFill/>
                          <a:ln>
                            <a:noFill/>
                          </a:ln>
                        </pic:spPr>
                      </pic:pic>
                    </a:graphicData>
                  </a:graphic>
                </wp:inline>
              </w:drawing>
            </w:r>
          </w:p>
          <w:p w14:paraId="66CF53B5">
            <w:pPr>
              <w:keepNext w:val="0"/>
              <w:keepLines w:val="0"/>
              <w:pageBreakBefore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式中：L</w:t>
            </w:r>
            <w:r>
              <w:rPr>
                <w:rFonts w:hint="default" w:ascii="Times New Roman" w:hAnsi="Times New Roman" w:eastAsia="宋体" w:cs="Times New Roman"/>
                <w:color w:val="auto"/>
                <w:sz w:val="24"/>
                <w:szCs w:val="24"/>
                <w:highlight w:val="none"/>
                <w:vertAlign w:val="subscript"/>
              </w:rPr>
              <w:t>eqg</w:t>
            </w:r>
            <w:r>
              <w:rPr>
                <w:rFonts w:hint="default" w:ascii="Times New Roman" w:hAnsi="Times New Roman" w:eastAsia="宋体" w:cs="Times New Roman"/>
                <w:color w:val="auto"/>
                <w:sz w:val="24"/>
                <w:szCs w:val="24"/>
                <w:highlight w:val="none"/>
              </w:rPr>
              <w:t>－项目声源在预测点产生的噪声贡献值，dB；</w:t>
            </w:r>
          </w:p>
          <w:p w14:paraId="1A5AD9E8">
            <w:pPr>
              <w:keepNext w:val="0"/>
              <w:keepLines w:val="0"/>
              <w:pageBreakBefore w:val="0"/>
              <w:kinsoku/>
              <w:wordWrap/>
              <w:overflowPunct/>
              <w:topLinePunct w:val="0"/>
              <w:autoSpaceDE/>
              <w:autoSpaceDN/>
              <w:bidi w:val="0"/>
              <w:adjustRightInd/>
              <w:snapToGrid/>
              <w:spacing w:line="360" w:lineRule="auto"/>
              <w:ind w:right="0"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T－用于计算等效声级的时间，s；</w:t>
            </w:r>
          </w:p>
          <w:p w14:paraId="20D29EF8">
            <w:pPr>
              <w:keepNext w:val="0"/>
              <w:keepLines w:val="0"/>
              <w:pageBreakBefore w:val="0"/>
              <w:kinsoku/>
              <w:wordWrap/>
              <w:overflowPunct/>
              <w:topLinePunct w:val="0"/>
              <w:autoSpaceDE/>
              <w:autoSpaceDN/>
              <w:bidi w:val="0"/>
              <w:adjustRightInd/>
              <w:snapToGrid/>
              <w:spacing w:line="360" w:lineRule="auto"/>
              <w:ind w:right="0"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N－室外声源个数；</w:t>
            </w:r>
          </w:p>
          <w:p w14:paraId="63A69811">
            <w:pPr>
              <w:keepNext w:val="0"/>
              <w:keepLines w:val="0"/>
              <w:pageBreakBefore w:val="0"/>
              <w:kinsoku/>
              <w:wordWrap/>
              <w:overflowPunct/>
              <w:topLinePunct w:val="0"/>
              <w:autoSpaceDE/>
              <w:autoSpaceDN/>
              <w:bidi w:val="0"/>
              <w:adjustRightInd/>
              <w:snapToGrid/>
              <w:spacing w:line="360" w:lineRule="auto"/>
              <w:ind w:right="0"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t</w:t>
            </w:r>
            <w:r>
              <w:rPr>
                <w:rFonts w:hint="default" w:ascii="Times New Roman" w:hAnsi="Times New Roman" w:eastAsia="宋体" w:cs="Times New Roman"/>
                <w:color w:val="auto"/>
                <w:sz w:val="24"/>
                <w:szCs w:val="24"/>
                <w:highlight w:val="none"/>
                <w:vertAlign w:val="subscript"/>
              </w:rPr>
              <w:t>i</w:t>
            </w:r>
            <w:r>
              <w:rPr>
                <w:rFonts w:hint="default" w:ascii="Times New Roman" w:hAnsi="Times New Roman" w:eastAsia="宋体" w:cs="Times New Roman"/>
                <w:color w:val="auto"/>
                <w:sz w:val="24"/>
                <w:szCs w:val="24"/>
                <w:highlight w:val="none"/>
              </w:rPr>
              <w:t>－在T时间内i声源的工作时间，s；</w:t>
            </w:r>
          </w:p>
          <w:p w14:paraId="1EF936ED">
            <w:pPr>
              <w:keepNext w:val="0"/>
              <w:keepLines w:val="0"/>
              <w:pageBreakBefore w:val="0"/>
              <w:kinsoku/>
              <w:wordWrap/>
              <w:overflowPunct/>
              <w:topLinePunct w:val="0"/>
              <w:autoSpaceDE/>
              <w:autoSpaceDN/>
              <w:bidi w:val="0"/>
              <w:adjustRightInd/>
              <w:snapToGrid/>
              <w:spacing w:line="360" w:lineRule="auto"/>
              <w:ind w:right="0"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M－等效室外声源个数；</w:t>
            </w:r>
          </w:p>
          <w:p w14:paraId="4E6D333F">
            <w:pPr>
              <w:keepNext w:val="0"/>
              <w:keepLines w:val="0"/>
              <w:pageBreakBefore w:val="0"/>
              <w:kinsoku/>
              <w:wordWrap/>
              <w:overflowPunct/>
              <w:topLinePunct w:val="0"/>
              <w:autoSpaceDE/>
              <w:autoSpaceDN/>
              <w:bidi w:val="0"/>
              <w:adjustRightInd/>
              <w:snapToGrid/>
              <w:spacing w:line="360" w:lineRule="auto"/>
              <w:ind w:right="0"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t</w:t>
            </w:r>
            <w:r>
              <w:rPr>
                <w:rFonts w:hint="default" w:ascii="Times New Roman" w:hAnsi="Times New Roman" w:eastAsia="宋体" w:cs="Times New Roman"/>
                <w:color w:val="auto"/>
                <w:sz w:val="24"/>
                <w:szCs w:val="24"/>
                <w:highlight w:val="none"/>
                <w:vertAlign w:val="subscript"/>
              </w:rPr>
              <w:t>j</w:t>
            </w:r>
            <w:r>
              <w:rPr>
                <w:rFonts w:hint="default" w:ascii="Times New Roman" w:hAnsi="Times New Roman" w:eastAsia="宋体" w:cs="Times New Roman"/>
                <w:color w:val="auto"/>
                <w:sz w:val="24"/>
                <w:szCs w:val="24"/>
                <w:highlight w:val="none"/>
              </w:rPr>
              <w:t>－在T时间内j声源的工作时间，s。</w:t>
            </w:r>
          </w:p>
          <w:p w14:paraId="43E22B46">
            <w:pPr>
              <w:pStyle w:val="2"/>
              <w:keepNext w:val="0"/>
              <w:keepLines w:val="0"/>
              <w:pageBreakBefore w:val="0"/>
              <w:kinsoku/>
              <w:wordWrap/>
              <w:overflowPunct/>
              <w:topLinePunct w:val="0"/>
              <w:autoSpaceDE/>
              <w:autoSpaceDN/>
              <w:bidi w:val="0"/>
              <w:spacing w:before="0" w:after="0" w:line="360" w:lineRule="auto"/>
              <w:ind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（2）预测结果</w:t>
            </w:r>
          </w:p>
          <w:p w14:paraId="61786E47">
            <w:pPr>
              <w:keepNext w:val="0"/>
              <w:keepLines w:val="0"/>
              <w:pageBreakBefore w:val="0"/>
              <w:kinsoku/>
              <w:wordWrap/>
              <w:overflowPunct/>
              <w:topLinePunct w:val="0"/>
              <w:autoSpaceDE/>
              <w:autoSpaceDN/>
              <w:bidi w:val="0"/>
              <w:adjustRightInd w:val="0"/>
              <w:snapToGrid w:val="0"/>
              <w:spacing w:line="360" w:lineRule="auto"/>
              <w:ind w:right="0" w:firstLine="480" w:firstLineChars="200"/>
              <w:textAlignment w:val="auto"/>
              <w:rPr>
                <w:color w:val="auto"/>
                <w:kern w:val="0"/>
                <w:sz w:val="24"/>
                <w:szCs w:val="20"/>
                <w:lang w:val="zh-CN"/>
              </w:rPr>
            </w:pPr>
            <w:r>
              <w:rPr>
                <w:rFonts w:hint="default" w:ascii="Times New Roman" w:hAnsi="Times New Roman" w:eastAsia="宋体" w:cs="Times New Roman"/>
                <w:color w:val="auto"/>
                <w:sz w:val="24"/>
                <w:szCs w:val="24"/>
                <w:highlight w:val="none"/>
              </w:rPr>
              <w:t>本次噪声预测按照《环境影响评价技术导则 声环境》（HJ2.4-2021）进行，预测设备噪声到厂界的排放情况，并判断是否达标，预测结果见</w:t>
            </w:r>
            <w:r>
              <w:rPr>
                <w:rFonts w:hint="default" w:ascii="Times New Roman" w:hAnsi="Times New Roman" w:eastAsia="宋体" w:cs="Times New Roman"/>
                <w:color w:val="auto"/>
                <w:sz w:val="24"/>
                <w:szCs w:val="24"/>
                <w:highlight w:val="none"/>
                <w:lang w:val="en-US" w:eastAsia="zh-CN"/>
              </w:rPr>
              <w:t>下表</w:t>
            </w:r>
            <w:r>
              <w:rPr>
                <w:rFonts w:hint="default" w:ascii="Times New Roman" w:hAnsi="Times New Roman" w:eastAsia="宋体" w:cs="Times New Roman"/>
                <w:color w:val="auto"/>
                <w:kern w:val="0"/>
                <w:sz w:val="24"/>
                <w:szCs w:val="24"/>
                <w:lang w:val="zh-CN"/>
              </w:rPr>
              <w:t>。</w:t>
            </w:r>
          </w:p>
          <w:p w14:paraId="14377C6C">
            <w:pPr>
              <w:pStyle w:val="71"/>
              <w:adjustRightInd/>
              <w:spacing w:line="240" w:lineRule="auto"/>
              <w:ind w:left="0" w:right="0" w:firstLine="0"/>
              <w:jc w:val="center"/>
              <w:rPr>
                <w:b/>
                <w:color w:val="auto"/>
                <w:szCs w:val="24"/>
              </w:rPr>
            </w:pPr>
            <w:r>
              <w:rPr>
                <w:b/>
                <w:color w:val="auto"/>
                <w:szCs w:val="24"/>
              </w:rPr>
              <w:t>表4-</w:t>
            </w:r>
            <w:r>
              <w:rPr>
                <w:rFonts w:hint="eastAsia"/>
                <w:b/>
                <w:color w:val="auto"/>
                <w:szCs w:val="24"/>
                <w:lang w:val="en-US" w:eastAsia="zh-CN"/>
              </w:rPr>
              <w:t>11</w:t>
            </w:r>
            <w:r>
              <w:rPr>
                <w:rFonts w:hint="eastAsia"/>
                <w:b/>
                <w:color w:val="auto"/>
                <w:szCs w:val="24"/>
              </w:rPr>
              <w:t xml:space="preserve">  </w:t>
            </w:r>
            <w:r>
              <w:rPr>
                <w:b/>
                <w:color w:val="auto"/>
                <w:szCs w:val="24"/>
              </w:rPr>
              <w:t xml:space="preserve"> </w:t>
            </w:r>
            <w:r>
              <w:rPr>
                <w:rFonts w:hint="eastAsia"/>
                <w:b/>
                <w:color w:val="auto"/>
                <w:szCs w:val="24"/>
              </w:rPr>
              <w:t>厂界</w:t>
            </w:r>
            <w:r>
              <w:rPr>
                <w:b/>
                <w:color w:val="auto"/>
                <w:szCs w:val="24"/>
              </w:rPr>
              <w:t>噪声预测结果一览表     单位：dB(A)</w:t>
            </w:r>
          </w:p>
          <w:tbl>
            <w:tblPr>
              <w:tblStyle w:val="26"/>
              <w:tblW w:w="493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87"/>
              <w:gridCol w:w="1936"/>
              <w:gridCol w:w="1878"/>
              <w:gridCol w:w="1800"/>
              <w:gridCol w:w="1223"/>
            </w:tblGrid>
            <w:tr w14:paraId="4EEA36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983" w:type="pct"/>
                  <w:gridSpan w:val="2"/>
                  <w:vMerge w:val="restart"/>
                  <w:tcBorders>
                    <w:tl2br w:val="nil"/>
                    <w:tr2bl w:val="nil"/>
                  </w:tcBorders>
                  <w:noWrap w:val="0"/>
                  <w:vAlign w:val="center"/>
                </w:tcPr>
                <w:p w14:paraId="72DC20CC">
                  <w:pPr>
                    <w:jc w:val="center"/>
                    <w:rPr>
                      <w:b/>
                      <w:bCs/>
                      <w:color w:val="auto"/>
                      <w:szCs w:val="21"/>
                    </w:rPr>
                  </w:pPr>
                  <w:r>
                    <w:rPr>
                      <w:b/>
                      <w:bCs/>
                      <w:color w:val="auto"/>
                      <w:szCs w:val="21"/>
                    </w:rPr>
                    <w:t>预测点位置</w:t>
                  </w:r>
                </w:p>
              </w:tc>
              <w:tc>
                <w:tcPr>
                  <w:tcW w:w="1155" w:type="pct"/>
                  <w:tcBorders>
                    <w:tl2br w:val="nil"/>
                    <w:tr2bl w:val="nil"/>
                  </w:tcBorders>
                  <w:noWrap w:val="0"/>
                  <w:vAlign w:val="center"/>
                </w:tcPr>
                <w:p w14:paraId="5AB5743B">
                  <w:pPr>
                    <w:jc w:val="center"/>
                    <w:rPr>
                      <w:b/>
                      <w:bCs/>
                      <w:color w:val="auto"/>
                      <w:szCs w:val="21"/>
                    </w:rPr>
                  </w:pPr>
                  <w:r>
                    <w:rPr>
                      <w:b/>
                      <w:bCs/>
                      <w:color w:val="auto"/>
                      <w:szCs w:val="21"/>
                    </w:rPr>
                    <w:t>昼间</w:t>
                  </w:r>
                </w:p>
              </w:tc>
              <w:tc>
                <w:tcPr>
                  <w:tcW w:w="1107" w:type="pct"/>
                  <w:vMerge w:val="restart"/>
                  <w:tcBorders>
                    <w:tl2br w:val="nil"/>
                    <w:tr2bl w:val="nil"/>
                  </w:tcBorders>
                  <w:noWrap w:val="0"/>
                  <w:vAlign w:val="center"/>
                </w:tcPr>
                <w:p w14:paraId="108BC44B">
                  <w:pPr>
                    <w:jc w:val="center"/>
                    <w:rPr>
                      <w:b/>
                      <w:bCs/>
                      <w:color w:val="auto"/>
                      <w:szCs w:val="21"/>
                    </w:rPr>
                  </w:pPr>
                  <w:r>
                    <w:rPr>
                      <w:rFonts w:hint="eastAsia"/>
                      <w:b/>
                      <w:bCs/>
                      <w:color w:val="auto"/>
                      <w:szCs w:val="21"/>
                    </w:rPr>
                    <w:t>昼间</w:t>
                  </w:r>
                  <w:r>
                    <w:rPr>
                      <w:b/>
                      <w:bCs/>
                      <w:color w:val="auto"/>
                      <w:szCs w:val="21"/>
                    </w:rPr>
                    <w:t>标准限值</w:t>
                  </w:r>
                </w:p>
              </w:tc>
              <w:tc>
                <w:tcPr>
                  <w:tcW w:w="752" w:type="pct"/>
                  <w:vMerge w:val="restart"/>
                  <w:tcBorders>
                    <w:tl2br w:val="nil"/>
                    <w:tr2bl w:val="nil"/>
                  </w:tcBorders>
                  <w:noWrap w:val="0"/>
                  <w:vAlign w:val="center"/>
                </w:tcPr>
                <w:p w14:paraId="4CDC7CA1">
                  <w:pPr>
                    <w:jc w:val="center"/>
                    <w:rPr>
                      <w:b/>
                      <w:bCs/>
                      <w:color w:val="auto"/>
                      <w:szCs w:val="21"/>
                    </w:rPr>
                  </w:pPr>
                  <w:r>
                    <w:rPr>
                      <w:b/>
                      <w:bCs/>
                      <w:color w:val="auto"/>
                      <w:szCs w:val="21"/>
                    </w:rPr>
                    <w:t>达标情况</w:t>
                  </w:r>
                </w:p>
              </w:tc>
            </w:tr>
            <w:tr w14:paraId="5B95AC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983" w:type="pct"/>
                  <w:gridSpan w:val="2"/>
                  <w:vMerge w:val="continue"/>
                  <w:tcBorders>
                    <w:tl2br w:val="nil"/>
                    <w:tr2bl w:val="nil"/>
                  </w:tcBorders>
                  <w:noWrap w:val="0"/>
                  <w:vAlign w:val="center"/>
                </w:tcPr>
                <w:p w14:paraId="56B1E822">
                  <w:pPr>
                    <w:jc w:val="center"/>
                    <w:rPr>
                      <w:color w:val="auto"/>
                    </w:rPr>
                  </w:pPr>
                </w:p>
              </w:tc>
              <w:tc>
                <w:tcPr>
                  <w:tcW w:w="1155" w:type="pct"/>
                  <w:tcBorders>
                    <w:tl2br w:val="nil"/>
                    <w:tr2bl w:val="nil"/>
                  </w:tcBorders>
                  <w:noWrap w:val="0"/>
                  <w:vAlign w:val="center"/>
                </w:tcPr>
                <w:p w14:paraId="14D93A48">
                  <w:pPr>
                    <w:jc w:val="center"/>
                    <w:rPr>
                      <w:color w:val="auto"/>
                      <w:szCs w:val="21"/>
                    </w:rPr>
                  </w:pPr>
                  <w:r>
                    <w:rPr>
                      <w:b/>
                      <w:bCs/>
                      <w:color w:val="auto"/>
                      <w:szCs w:val="21"/>
                    </w:rPr>
                    <w:t>贡献值</w:t>
                  </w:r>
                </w:p>
              </w:tc>
              <w:tc>
                <w:tcPr>
                  <w:tcW w:w="1107" w:type="pct"/>
                  <w:vMerge w:val="continue"/>
                  <w:tcBorders>
                    <w:tl2br w:val="nil"/>
                    <w:tr2bl w:val="nil"/>
                  </w:tcBorders>
                  <w:noWrap w:val="0"/>
                  <w:vAlign w:val="center"/>
                </w:tcPr>
                <w:p w14:paraId="05A04BD8">
                  <w:pPr>
                    <w:jc w:val="center"/>
                    <w:rPr>
                      <w:b/>
                      <w:bCs/>
                      <w:color w:val="auto"/>
                      <w:szCs w:val="21"/>
                    </w:rPr>
                  </w:pPr>
                </w:p>
              </w:tc>
              <w:tc>
                <w:tcPr>
                  <w:tcW w:w="752" w:type="pct"/>
                  <w:vMerge w:val="continue"/>
                  <w:tcBorders>
                    <w:tl2br w:val="nil"/>
                    <w:tr2bl w:val="nil"/>
                  </w:tcBorders>
                  <w:noWrap w:val="0"/>
                  <w:vAlign w:val="center"/>
                </w:tcPr>
                <w:p w14:paraId="1363F0FB">
                  <w:pPr>
                    <w:jc w:val="center"/>
                    <w:rPr>
                      <w:b/>
                      <w:bCs/>
                      <w:color w:val="auto"/>
                      <w:szCs w:val="21"/>
                    </w:rPr>
                  </w:pPr>
                </w:p>
              </w:tc>
            </w:tr>
            <w:tr w14:paraId="015E65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92" w:type="pct"/>
                  <w:vMerge w:val="restart"/>
                  <w:tcBorders>
                    <w:tl2br w:val="nil"/>
                    <w:tr2bl w:val="nil"/>
                  </w:tcBorders>
                  <w:noWrap w:val="0"/>
                  <w:vAlign w:val="center"/>
                </w:tcPr>
                <w:p w14:paraId="2915E0AA">
                  <w:pPr>
                    <w:jc w:val="center"/>
                    <w:rPr>
                      <w:bCs/>
                      <w:color w:val="auto"/>
                      <w:szCs w:val="21"/>
                    </w:rPr>
                  </w:pPr>
                  <w:r>
                    <w:rPr>
                      <w:bCs/>
                      <w:color w:val="auto"/>
                      <w:szCs w:val="21"/>
                    </w:rPr>
                    <w:t>厂界</w:t>
                  </w:r>
                </w:p>
              </w:tc>
              <w:tc>
                <w:tcPr>
                  <w:tcW w:w="1191" w:type="pct"/>
                  <w:tcBorders>
                    <w:tl2br w:val="nil"/>
                    <w:tr2bl w:val="nil"/>
                  </w:tcBorders>
                  <w:noWrap w:val="0"/>
                  <w:vAlign w:val="center"/>
                </w:tcPr>
                <w:p w14:paraId="0F9EAF33">
                  <w:pPr>
                    <w:pStyle w:val="8"/>
                    <w:jc w:val="center"/>
                    <w:rPr>
                      <w:bCs/>
                      <w:color w:val="auto"/>
                      <w:sz w:val="21"/>
                      <w:szCs w:val="21"/>
                    </w:rPr>
                  </w:pPr>
                  <w:r>
                    <w:rPr>
                      <w:rFonts w:hint="eastAsia"/>
                      <w:color w:val="auto"/>
                      <w:sz w:val="21"/>
                      <w:szCs w:val="21"/>
                    </w:rPr>
                    <w:t>厂界东侧</w:t>
                  </w:r>
                </w:p>
              </w:tc>
              <w:tc>
                <w:tcPr>
                  <w:tcW w:w="1155" w:type="pct"/>
                  <w:tcBorders>
                    <w:tl2br w:val="nil"/>
                    <w:tr2bl w:val="nil"/>
                  </w:tcBorders>
                  <w:noWrap w:val="0"/>
                  <w:vAlign w:val="center"/>
                </w:tcPr>
                <w:p w14:paraId="66E2E96A">
                  <w:pPr>
                    <w:autoSpaceDE w:val="0"/>
                    <w:autoSpaceDN w:val="0"/>
                    <w:adjustRightInd w:val="0"/>
                    <w:jc w:val="center"/>
                    <w:rPr>
                      <w:rFonts w:hint="default" w:eastAsia="宋体"/>
                      <w:bCs/>
                      <w:color w:val="auto"/>
                      <w:szCs w:val="21"/>
                      <w:lang w:val="en-US" w:eastAsia="zh-CN"/>
                    </w:rPr>
                  </w:pPr>
                  <w:r>
                    <w:rPr>
                      <w:rFonts w:hint="eastAsia"/>
                      <w:bCs/>
                      <w:color w:val="auto"/>
                      <w:szCs w:val="21"/>
                      <w:lang w:val="en-US" w:eastAsia="zh-CN"/>
                    </w:rPr>
                    <w:t>56.03</w:t>
                  </w:r>
                </w:p>
              </w:tc>
              <w:tc>
                <w:tcPr>
                  <w:tcW w:w="1107" w:type="pct"/>
                  <w:tcBorders>
                    <w:tl2br w:val="nil"/>
                    <w:tr2bl w:val="nil"/>
                  </w:tcBorders>
                  <w:noWrap w:val="0"/>
                  <w:vAlign w:val="center"/>
                </w:tcPr>
                <w:p w14:paraId="07C3DEE8">
                  <w:pPr>
                    <w:jc w:val="center"/>
                    <w:rPr>
                      <w:rFonts w:hint="default" w:eastAsia="宋体"/>
                      <w:bCs/>
                      <w:color w:val="auto"/>
                      <w:szCs w:val="21"/>
                      <w:lang w:val="en-US" w:eastAsia="zh-CN"/>
                    </w:rPr>
                  </w:pPr>
                  <w:r>
                    <w:rPr>
                      <w:rFonts w:hint="eastAsia"/>
                      <w:bCs/>
                      <w:color w:val="auto"/>
                      <w:szCs w:val="21"/>
                      <w:lang w:val="en-US" w:eastAsia="zh-CN"/>
                    </w:rPr>
                    <w:t>65</w:t>
                  </w:r>
                </w:p>
              </w:tc>
              <w:tc>
                <w:tcPr>
                  <w:tcW w:w="752" w:type="pct"/>
                  <w:vMerge w:val="restart"/>
                  <w:tcBorders>
                    <w:tl2br w:val="nil"/>
                    <w:tr2bl w:val="nil"/>
                  </w:tcBorders>
                  <w:noWrap w:val="0"/>
                  <w:vAlign w:val="center"/>
                </w:tcPr>
                <w:p w14:paraId="31754420">
                  <w:pPr>
                    <w:jc w:val="center"/>
                    <w:rPr>
                      <w:bCs/>
                      <w:color w:val="auto"/>
                      <w:szCs w:val="21"/>
                    </w:rPr>
                  </w:pPr>
                  <w:r>
                    <w:rPr>
                      <w:bCs/>
                      <w:color w:val="auto"/>
                      <w:szCs w:val="21"/>
                    </w:rPr>
                    <w:t>达标</w:t>
                  </w:r>
                </w:p>
              </w:tc>
            </w:tr>
            <w:tr w14:paraId="043196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92" w:type="pct"/>
                  <w:vMerge w:val="continue"/>
                  <w:tcBorders>
                    <w:tl2br w:val="nil"/>
                    <w:tr2bl w:val="nil"/>
                  </w:tcBorders>
                  <w:noWrap w:val="0"/>
                  <w:vAlign w:val="center"/>
                </w:tcPr>
                <w:p w14:paraId="15E42B6E">
                  <w:pPr>
                    <w:jc w:val="center"/>
                    <w:rPr>
                      <w:bCs/>
                      <w:color w:val="auto"/>
                      <w:szCs w:val="21"/>
                    </w:rPr>
                  </w:pPr>
                </w:p>
              </w:tc>
              <w:tc>
                <w:tcPr>
                  <w:tcW w:w="1191" w:type="pct"/>
                  <w:tcBorders>
                    <w:tl2br w:val="nil"/>
                    <w:tr2bl w:val="nil"/>
                  </w:tcBorders>
                  <w:noWrap w:val="0"/>
                  <w:vAlign w:val="center"/>
                </w:tcPr>
                <w:p w14:paraId="64C2722C">
                  <w:pPr>
                    <w:jc w:val="center"/>
                    <w:rPr>
                      <w:bCs/>
                      <w:color w:val="auto"/>
                      <w:szCs w:val="21"/>
                    </w:rPr>
                  </w:pPr>
                  <w:r>
                    <w:rPr>
                      <w:color w:val="auto"/>
                      <w:szCs w:val="21"/>
                    </w:rPr>
                    <w:t>厂界</w:t>
                  </w:r>
                  <w:r>
                    <w:rPr>
                      <w:rFonts w:hint="eastAsia"/>
                      <w:color w:val="auto"/>
                      <w:szCs w:val="21"/>
                    </w:rPr>
                    <w:t>南</w:t>
                  </w:r>
                  <w:r>
                    <w:rPr>
                      <w:color w:val="auto"/>
                      <w:szCs w:val="21"/>
                    </w:rPr>
                    <w:t>侧</w:t>
                  </w:r>
                </w:p>
              </w:tc>
              <w:tc>
                <w:tcPr>
                  <w:tcW w:w="1155" w:type="pct"/>
                  <w:tcBorders>
                    <w:tl2br w:val="nil"/>
                    <w:tr2bl w:val="nil"/>
                  </w:tcBorders>
                  <w:noWrap w:val="0"/>
                  <w:vAlign w:val="center"/>
                </w:tcPr>
                <w:p w14:paraId="3CD1CE8B">
                  <w:pPr>
                    <w:autoSpaceDE w:val="0"/>
                    <w:autoSpaceDN w:val="0"/>
                    <w:adjustRightInd w:val="0"/>
                    <w:jc w:val="center"/>
                    <w:rPr>
                      <w:rFonts w:hint="default" w:eastAsia="宋体"/>
                      <w:bCs/>
                      <w:color w:val="auto"/>
                      <w:szCs w:val="21"/>
                      <w:lang w:val="en-US" w:eastAsia="zh-CN"/>
                    </w:rPr>
                  </w:pPr>
                  <w:r>
                    <w:rPr>
                      <w:rFonts w:hint="eastAsia"/>
                      <w:bCs/>
                      <w:color w:val="auto"/>
                      <w:szCs w:val="21"/>
                      <w:lang w:val="en-US" w:eastAsia="zh-CN"/>
                    </w:rPr>
                    <w:t>61.55</w:t>
                  </w:r>
                </w:p>
              </w:tc>
              <w:tc>
                <w:tcPr>
                  <w:tcW w:w="1107" w:type="pct"/>
                  <w:tcBorders>
                    <w:tl2br w:val="nil"/>
                    <w:tr2bl w:val="nil"/>
                  </w:tcBorders>
                  <w:noWrap w:val="0"/>
                  <w:vAlign w:val="center"/>
                </w:tcPr>
                <w:p w14:paraId="5E5349D3">
                  <w:pPr>
                    <w:jc w:val="center"/>
                    <w:rPr>
                      <w:rFonts w:hint="default" w:eastAsia="宋体"/>
                      <w:bCs/>
                      <w:color w:val="auto"/>
                      <w:szCs w:val="21"/>
                      <w:lang w:val="en-US" w:eastAsia="zh-CN"/>
                    </w:rPr>
                  </w:pPr>
                  <w:r>
                    <w:rPr>
                      <w:rFonts w:hint="eastAsia"/>
                      <w:bCs/>
                      <w:color w:val="auto"/>
                      <w:szCs w:val="21"/>
                      <w:lang w:val="en-US" w:eastAsia="zh-CN"/>
                    </w:rPr>
                    <w:t>65</w:t>
                  </w:r>
                </w:p>
              </w:tc>
              <w:tc>
                <w:tcPr>
                  <w:tcW w:w="752" w:type="pct"/>
                  <w:vMerge w:val="continue"/>
                  <w:tcBorders>
                    <w:tl2br w:val="nil"/>
                    <w:tr2bl w:val="nil"/>
                  </w:tcBorders>
                  <w:noWrap w:val="0"/>
                  <w:vAlign w:val="center"/>
                </w:tcPr>
                <w:p w14:paraId="5F090782">
                  <w:pPr>
                    <w:jc w:val="center"/>
                    <w:rPr>
                      <w:bCs/>
                      <w:color w:val="auto"/>
                      <w:szCs w:val="21"/>
                    </w:rPr>
                  </w:pPr>
                </w:p>
              </w:tc>
            </w:tr>
            <w:tr w14:paraId="3521B3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92" w:type="pct"/>
                  <w:vMerge w:val="continue"/>
                  <w:tcBorders>
                    <w:tl2br w:val="nil"/>
                    <w:tr2bl w:val="nil"/>
                  </w:tcBorders>
                  <w:noWrap w:val="0"/>
                  <w:vAlign w:val="center"/>
                </w:tcPr>
                <w:p w14:paraId="6A579655">
                  <w:pPr>
                    <w:jc w:val="center"/>
                    <w:rPr>
                      <w:bCs/>
                      <w:color w:val="auto"/>
                      <w:szCs w:val="21"/>
                    </w:rPr>
                  </w:pPr>
                </w:p>
              </w:tc>
              <w:tc>
                <w:tcPr>
                  <w:tcW w:w="1191" w:type="pct"/>
                  <w:tcBorders>
                    <w:tl2br w:val="nil"/>
                    <w:tr2bl w:val="nil"/>
                  </w:tcBorders>
                  <w:noWrap w:val="0"/>
                  <w:vAlign w:val="center"/>
                </w:tcPr>
                <w:p w14:paraId="0CB37AAA">
                  <w:pPr>
                    <w:jc w:val="center"/>
                    <w:rPr>
                      <w:bCs/>
                      <w:color w:val="auto"/>
                      <w:szCs w:val="21"/>
                    </w:rPr>
                  </w:pPr>
                  <w:r>
                    <w:rPr>
                      <w:rFonts w:hint="eastAsia"/>
                      <w:color w:val="auto"/>
                      <w:szCs w:val="21"/>
                    </w:rPr>
                    <w:t>厂界西侧</w:t>
                  </w:r>
                </w:p>
              </w:tc>
              <w:tc>
                <w:tcPr>
                  <w:tcW w:w="1155" w:type="pct"/>
                  <w:tcBorders>
                    <w:tl2br w:val="nil"/>
                    <w:tr2bl w:val="nil"/>
                  </w:tcBorders>
                  <w:noWrap w:val="0"/>
                  <w:vAlign w:val="center"/>
                </w:tcPr>
                <w:p w14:paraId="4392B4F6">
                  <w:pPr>
                    <w:autoSpaceDE w:val="0"/>
                    <w:autoSpaceDN w:val="0"/>
                    <w:adjustRightInd w:val="0"/>
                    <w:jc w:val="center"/>
                    <w:rPr>
                      <w:rFonts w:hint="default" w:eastAsia="宋体"/>
                      <w:bCs/>
                      <w:color w:val="auto"/>
                      <w:szCs w:val="21"/>
                      <w:lang w:val="en-US" w:eastAsia="zh-CN"/>
                    </w:rPr>
                  </w:pPr>
                  <w:r>
                    <w:rPr>
                      <w:rFonts w:hint="eastAsia"/>
                      <w:bCs/>
                      <w:color w:val="auto"/>
                      <w:szCs w:val="21"/>
                      <w:lang w:val="en-US" w:eastAsia="zh-CN"/>
                    </w:rPr>
                    <w:t>55.50</w:t>
                  </w:r>
                </w:p>
              </w:tc>
              <w:tc>
                <w:tcPr>
                  <w:tcW w:w="1107" w:type="pct"/>
                  <w:tcBorders>
                    <w:tl2br w:val="nil"/>
                    <w:tr2bl w:val="nil"/>
                  </w:tcBorders>
                  <w:noWrap w:val="0"/>
                  <w:vAlign w:val="center"/>
                </w:tcPr>
                <w:p w14:paraId="30A99924">
                  <w:pPr>
                    <w:jc w:val="center"/>
                    <w:rPr>
                      <w:rFonts w:hint="default" w:eastAsia="宋体"/>
                      <w:bCs/>
                      <w:color w:val="auto"/>
                      <w:szCs w:val="21"/>
                      <w:lang w:val="en-US" w:eastAsia="zh-CN"/>
                    </w:rPr>
                  </w:pPr>
                  <w:r>
                    <w:rPr>
                      <w:rFonts w:hint="eastAsia"/>
                      <w:bCs/>
                      <w:color w:val="auto"/>
                      <w:szCs w:val="21"/>
                      <w:lang w:val="en-US" w:eastAsia="zh-CN"/>
                    </w:rPr>
                    <w:t>65</w:t>
                  </w:r>
                </w:p>
              </w:tc>
              <w:tc>
                <w:tcPr>
                  <w:tcW w:w="752" w:type="pct"/>
                  <w:vMerge w:val="continue"/>
                  <w:tcBorders>
                    <w:tl2br w:val="nil"/>
                    <w:tr2bl w:val="nil"/>
                  </w:tcBorders>
                  <w:noWrap w:val="0"/>
                  <w:vAlign w:val="center"/>
                </w:tcPr>
                <w:p w14:paraId="1452721D">
                  <w:pPr>
                    <w:jc w:val="center"/>
                    <w:rPr>
                      <w:bCs/>
                      <w:color w:val="auto"/>
                      <w:szCs w:val="21"/>
                    </w:rPr>
                  </w:pPr>
                </w:p>
              </w:tc>
            </w:tr>
            <w:tr w14:paraId="0E532A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92" w:type="pct"/>
                  <w:vMerge w:val="continue"/>
                  <w:tcBorders>
                    <w:tl2br w:val="nil"/>
                    <w:tr2bl w:val="nil"/>
                  </w:tcBorders>
                  <w:noWrap w:val="0"/>
                  <w:vAlign w:val="center"/>
                </w:tcPr>
                <w:p w14:paraId="23F46EF3">
                  <w:pPr>
                    <w:jc w:val="center"/>
                    <w:rPr>
                      <w:bCs/>
                      <w:color w:val="auto"/>
                      <w:szCs w:val="21"/>
                    </w:rPr>
                  </w:pPr>
                </w:p>
              </w:tc>
              <w:tc>
                <w:tcPr>
                  <w:tcW w:w="1191" w:type="pct"/>
                  <w:tcBorders>
                    <w:tl2br w:val="nil"/>
                    <w:tr2bl w:val="nil"/>
                  </w:tcBorders>
                  <w:noWrap w:val="0"/>
                  <w:vAlign w:val="center"/>
                </w:tcPr>
                <w:p w14:paraId="2895B86C">
                  <w:pPr>
                    <w:jc w:val="center"/>
                    <w:rPr>
                      <w:bCs/>
                      <w:color w:val="auto"/>
                      <w:szCs w:val="21"/>
                    </w:rPr>
                  </w:pPr>
                  <w:r>
                    <w:rPr>
                      <w:rFonts w:hint="eastAsia"/>
                      <w:color w:val="auto"/>
                      <w:szCs w:val="21"/>
                    </w:rPr>
                    <w:t>厂界北侧</w:t>
                  </w:r>
                </w:p>
              </w:tc>
              <w:tc>
                <w:tcPr>
                  <w:tcW w:w="1155" w:type="pct"/>
                  <w:tcBorders>
                    <w:tl2br w:val="nil"/>
                    <w:tr2bl w:val="nil"/>
                  </w:tcBorders>
                  <w:noWrap w:val="0"/>
                  <w:vAlign w:val="center"/>
                </w:tcPr>
                <w:p w14:paraId="21E0B47F">
                  <w:pPr>
                    <w:autoSpaceDE w:val="0"/>
                    <w:autoSpaceDN w:val="0"/>
                    <w:adjustRightInd w:val="0"/>
                    <w:jc w:val="center"/>
                    <w:rPr>
                      <w:rFonts w:hint="default" w:eastAsia="宋体"/>
                      <w:bCs/>
                      <w:color w:val="auto"/>
                      <w:szCs w:val="21"/>
                      <w:lang w:val="en-US" w:eastAsia="zh-CN"/>
                    </w:rPr>
                  </w:pPr>
                  <w:r>
                    <w:rPr>
                      <w:rFonts w:hint="eastAsia"/>
                      <w:bCs/>
                      <w:color w:val="auto"/>
                      <w:szCs w:val="21"/>
                      <w:lang w:val="en-US" w:eastAsia="zh-CN"/>
                    </w:rPr>
                    <w:t>59.34</w:t>
                  </w:r>
                </w:p>
              </w:tc>
              <w:tc>
                <w:tcPr>
                  <w:tcW w:w="1107" w:type="pct"/>
                  <w:tcBorders>
                    <w:tl2br w:val="nil"/>
                    <w:tr2bl w:val="nil"/>
                  </w:tcBorders>
                  <w:noWrap w:val="0"/>
                  <w:vAlign w:val="center"/>
                </w:tcPr>
                <w:p w14:paraId="05DAE3A0">
                  <w:pPr>
                    <w:jc w:val="center"/>
                    <w:rPr>
                      <w:rFonts w:hint="default" w:eastAsia="宋体"/>
                      <w:bCs/>
                      <w:color w:val="auto"/>
                      <w:szCs w:val="21"/>
                      <w:lang w:val="en-US" w:eastAsia="zh-CN"/>
                    </w:rPr>
                  </w:pPr>
                  <w:r>
                    <w:rPr>
                      <w:rFonts w:hint="eastAsia"/>
                      <w:bCs/>
                      <w:color w:val="auto"/>
                      <w:szCs w:val="21"/>
                      <w:lang w:val="en-US" w:eastAsia="zh-CN"/>
                    </w:rPr>
                    <w:t>65</w:t>
                  </w:r>
                </w:p>
              </w:tc>
              <w:tc>
                <w:tcPr>
                  <w:tcW w:w="752" w:type="pct"/>
                  <w:vMerge w:val="continue"/>
                  <w:tcBorders>
                    <w:tl2br w:val="nil"/>
                    <w:tr2bl w:val="nil"/>
                  </w:tcBorders>
                  <w:noWrap w:val="0"/>
                  <w:vAlign w:val="center"/>
                </w:tcPr>
                <w:p w14:paraId="56E829E5">
                  <w:pPr>
                    <w:jc w:val="center"/>
                    <w:rPr>
                      <w:bCs/>
                      <w:color w:val="auto"/>
                      <w:szCs w:val="21"/>
                    </w:rPr>
                  </w:pPr>
                </w:p>
              </w:tc>
            </w:tr>
          </w:tbl>
          <w:p w14:paraId="4F3AC642">
            <w:pPr>
              <w:autoSpaceDE w:val="0"/>
              <w:autoSpaceDN w:val="0"/>
              <w:adjustRightInd w:val="0"/>
              <w:spacing w:line="360" w:lineRule="auto"/>
              <w:ind w:firstLine="480" w:firstLineChars="200"/>
              <w:rPr>
                <w:color w:val="auto"/>
                <w:sz w:val="24"/>
              </w:rPr>
            </w:pPr>
            <w:r>
              <w:rPr>
                <w:rFonts w:hint="eastAsia"/>
                <w:color w:val="auto"/>
                <w:sz w:val="24"/>
              </w:rPr>
              <w:t>根据预测结果可知，项目运营期间，项目厂界四周噪声预测值达到《工业企业厂界环境噪声排放标准》（GB12348-2008）</w:t>
            </w:r>
            <w:r>
              <w:rPr>
                <w:rFonts w:hint="eastAsia"/>
                <w:color w:val="auto"/>
                <w:sz w:val="24"/>
                <w:lang w:val="en-US" w:eastAsia="zh-CN"/>
              </w:rPr>
              <w:t>3</w:t>
            </w:r>
            <w:r>
              <w:rPr>
                <w:rFonts w:hint="eastAsia"/>
                <w:color w:val="auto"/>
                <w:sz w:val="24"/>
              </w:rPr>
              <w:t>类标准要求。为了进一步降低噪声污染，建设单位拟采取以下防治措施：</w:t>
            </w:r>
          </w:p>
          <w:p w14:paraId="13B26BC7">
            <w:pPr>
              <w:autoSpaceDE w:val="0"/>
              <w:autoSpaceDN w:val="0"/>
              <w:adjustRightInd w:val="0"/>
              <w:spacing w:line="360" w:lineRule="auto"/>
              <w:ind w:firstLine="480" w:firstLineChars="200"/>
              <w:rPr>
                <w:color w:val="auto"/>
                <w:sz w:val="24"/>
              </w:rPr>
            </w:pPr>
            <w:r>
              <w:rPr>
                <w:rFonts w:hint="eastAsia"/>
                <w:color w:val="auto"/>
                <w:sz w:val="24"/>
              </w:rPr>
              <w:t>①选用低噪声的设备和机械。</w:t>
            </w:r>
          </w:p>
          <w:p w14:paraId="584D20D2">
            <w:pPr>
              <w:autoSpaceDE w:val="0"/>
              <w:autoSpaceDN w:val="0"/>
              <w:adjustRightInd w:val="0"/>
              <w:spacing w:line="360" w:lineRule="auto"/>
              <w:ind w:firstLine="480" w:firstLineChars="200"/>
              <w:rPr>
                <w:rFonts w:hint="eastAsia" w:eastAsia="宋体"/>
                <w:color w:val="auto"/>
                <w:sz w:val="24"/>
                <w:lang w:val="en-US" w:eastAsia="zh-CN"/>
              </w:rPr>
            </w:pPr>
            <w:r>
              <w:rPr>
                <w:rFonts w:hint="eastAsia"/>
                <w:color w:val="auto"/>
                <w:sz w:val="24"/>
              </w:rPr>
              <w:t>②</w:t>
            </w:r>
            <w:r>
              <w:rPr>
                <w:rFonts w:hint="eastAsia"/>
                <w:color w:val="auto"/>
                <w:sz w:val="24"/>
                <w:lang w:val="en-US" w:eastAsia="zh-CN"/>
              </w:rPr>
              <w:t>生产</w:t>
            </w:r>
            <w:r>
              <w:rPr>
                <w:rFonts w:hint="eastAsia"/>
                <w:color w:val="auto"/>
                <w:sz w:val="24"/>
                <w:highlight w:val="none"/>
              </w:rPr>
              <w:t>设备</w:t>
            </w:r>
            <w:r>
              <w:rPr>
                <w:rFonts w:hint="eastAsia"/>
                <w:color w:val="auto"/>
                <w:sz w:val="24"/>
              </w:rPr>
              <w:t>安装减振垫，按时检查、维修，防止</w:t>
            </w:r>
            <w:r>
              <w:rPr>
                <w:rFonts w:hint="eastAsia"/>
                <w:color w:val="auto"/>
                <w:sz w:val="24"/>
                <w:lang w:val="en-US" w:eastAsia="zh-CN"/>
              </w:rPr>
              <w:t>生产</w:t>
            </w:r>
            <w:r>
              <w:rPr>
                <w:rFonts w:hint="eastAsia"/>
                <w:color w:val="auto"/>
                <w:sz w:val="24"/>
              </w:rPr>
              <w:t>设备带病运行造成机械噪声值增加。</w:t>
            </w:r>
            <w:r>
              <w:rPr>
                <w:rFonts w:hint="eastAsia"/>
                <w:color w:val="auto"/>
                <w:sz w:val="24"/>
                <w:lang w:val="en-US" w:eastAsia="zh-CN"/>
              </w:rPr>
              <w:t>风机选</w:t>
            </w:r>
            <w:r>
              <w:rPr>
                <w:rFonts w:hint="eastAsia"/>
                <w:color w:val="auto"/>
                <w:sz w:val="24"/>
                <w:szCs w:val="24"/>
                <w:lang w:val="en-US" w:eastAsia="zh-CN"/>
              </w:rPr>
              <w:t>用</w:t>
            </w:r>
            <w:r>
              <w:rPr>
                <w:rFonts w:hint="eastAsia"/>
                <w:color w:val="auto"/>
                <w:sz w:val="24"/>
                <w:szCs w:val="24"/>
              </w:rPr>
              <w:t>低噪声设备、隔声罩、</w:t>
            </w:r>
            <w:r>
              <w:rPr>
                <w:color w:val="auto"/>
                <w:sz w:val="24"/>
                <w:szCs w:val="24"/>
              </w:rPr>
              <w:t>基础</w:t>
            </w:r>
            <w:r>
              <w:rPr>
                <w:rFonts w:hint="eastAsia"/>
                <w:color w:val="auto"/>
                <w:sz w:val="24"/>
                <w:szCs w:val="24"/>
              </w:rPr>
              <w:t>减振</w:t>
            </w:r>
            <w:r>
              <w:rPr>
                <w:rFonts w:hint="eastAsia"/>
                <w:color w:val="auto"/>
                <w:sz w:val="24"/>
                <w:szCs w:val="24"/>
                <w:lang w:eastAsia="zh-CN"/>
              </w:rPr>
              <w:t>。</w:t>
            </w:r>
          </w:p>
          <w:p w14:paraId="0131B8AB">
            <w:pPr>
              <w:autoSpaceDE w:val="0"/>
              <w:autoSpaceDN w:val="0"/>
              <w:adjustRightInd w:val="0"/>
              <w:spacing w:line="360" w:lineRule="auto"/>
              <w:ind w:firstLine="480" w:firstLineChars="200"/>
              <w:rPr>
                <w:color w:val="auto"/>
                <w:sz w:val="24"/>
              </w:rPr>
            </w:pPr>
            <w:r>
              <w:rPr>
                <w:rFonts w:hint="eastAsia"/>
                <w:color w:val="auto"/>
                <w:sz w:val="24"/>
              </w:rPr>
              <w:t>③所有生产设备合理布置，设备均置于室内，采取隔声、减振措施。在采取上述降噪措施后，项目噪声对周围环境产生的影响较小。</w:t>
            </w:r>
          </w:p>
          <w:p w14:paraId="0D25DC29">
            <w:pPr>
              <w:numPr>
                <w:ilvl w:val="0"/>
                <w:numId w:val="0"/>
              </w:numPr>
              <w:adjustRightInd w:val="0"/>
              <w:snapToGrid w:val="0"/>
              <w:spacing w:line="360" w:lineRule="auto"/>
              <w:rPr>
                <w:rFonts w:hint="eastAsia" w:ascii="Times New Roman" w:hAnsi="Times New Roman" w:eastAsia="宋体" w:cs="Times New Roman"/>
                <w:b/>
                <w:bCs w:val="0"/>
                <w:spacing w:val="0"/>
                <w:sz w:val="24"/>
                <w:szCs w:val="24"/>
                <w:lang w:val="en-US" w:eastAsia="zh-CN"/>
              </w:rPr>
            </w:pPr>
            <w:r>
              <w:rPr>
                <w:rFonts w:hint="eastAsia" w:ascii="Times New Roman" w:hAnsi="Times New Roman" w:eastAsia="宋体" w:cs="Times New Roman"/>
                <w:b/>
                <w:bCs w:val="0"/>
                <w:spacing w:val="0"/>
                <w:sz w:val="24"/>
                <w:szCs w:val="24"/>
                <w:lang w:val="en-US" w:eastAsia="zh-CN"/>
              </w:rPr>
              <w:t>3.3噪声监测要求</w:t>
            </w:r>
          </w:p>
          <w:p w14:paraId="56450ECE">
            <w:pPr>
              <w:spacing w:line="360" w:lineRule="auto"/>
              <w:ind w:firstLine="495"/>
              <w:rPr>
                <w:color w:val="auto"/>
              </w:rPr>
            </w:pPr>
            <w:r>
              <w:rPr>
                <w:color w:val="auto"/>
                <w:sz w:val="24"/>
              </w:rPr>
              <w:t>本项目运营期噪声监测计划见下表。</w:t>
            </w:r>
          </w:p>
          <w:p w14:paraId="4AF5C2DA">
            <w:pPr>
              <w:ind w:firstLine="482" w:firstLineChars="200"/>
              <w:jc w:val="center"/>
              <w:rPr>
                <w:b/>
                <w:color w:val="auto"/>
                <w:sz w:val="24"/>
              </w:rPr>
            </w:pPr>
            <w:r>
              <w:rPr>
                <w:b/>
                <w:color w:val="auto"/>
                <w:sz w:val="24"/>
              </w:rPr>
              <w:t>表4</w:t>
            </w:r>
            <w:r>
              <w:rPr>
                <w:rFonts w:hint="eastAsia"/>
                <w:b/>
                <w:color w:val="auto"/>
                <w:sz w:val="24"/>
              </w:rPr>
              <w:t>-</w:t>
            </w:r>
            <w:r>
              <w:rPr>
                <w:rFonts w:hint="eastAsia"/>
                <w:b/>
                <w:color w:val="auto"/>
                <w:sz w:val="24"/>
                <w:lang w:val="en-US" w:eastAsia="zh-CN"/>
              </w:rPr>
              <w:t>12</w:t>
            </w:r>
            <w:r>
              <w:rPr>
                <w:b/>
                <w:color w:val="auto"/>
                <w:sz w:val="24"/>
              </w:rPr>
              <w:t xml:space="preserve">  项目环境监测计划</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709"/>
              <w:gridCol w:w="2874"/>
              <w:gridCol w:w="2208"/>
              <w:gridCol w:w="1430"/>
            </w:tblGrid>
            <w:tr w14:paraId="584DFD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1039" w:type="pct"/>
                  <w:tcBorders>
                    <w:tl2br w:val="nil"/>
                    <w:tr2bl w:val="nil"/>
                  </w:tcBorders>
                  <w:noWrap w:val="0"/>
                  <w:vAlign w:val="center"/>
                </w:tcPr>
                <w:p w14:paraId="238C72E9">
                  <w:pPr>
                    <w:pStyle w:val="10"/>
                    <w:tabs>
                      <w:tab w:val="left" w:pos="451"/>
                      <w:tab w:val="center" w:pos="1013"/>
                    </w:tabs>
                    <w:adjustRightInd w:val="0"/>
                    <w:snapToGrid w:val="0"/>
                    <w:spacing w:after="0"/>
                    <w:ind w:left="0" w:leftChars="0"/>
                    <w:jc w:val="center"/>
                    <w:rPr>
                      <w:b/>
                      <w:bCs w:val="0"/>
                      <w:color w:val="auto"/>
                      <w:sz w:val="21"/>
                      <w:szCs w:val="21"/>
                    </w:rPr>
                  </w:pPr>
                  <w:r>
                    <w:rPr>
                      <w:b/>
                      <w:bCs w:val="0"/>
                      <w:color w:val="auto"/>
                      <w:sz w:val="21"/>
                      <w:szCs w:val="21"/>
                    </w:rPr>
                    <w:t>监测项目</w:t>
                  </w:r>
                </w:p>
              </w:tc>
              <w:tc>
                <w:tcPr>
                  <w:tcW w:w="1747" w:type="pct"/>
                  <w:tcBorders>
                    <w:tl2br w:val="nil"/>
                    <w:tr2bl w:val="nil"/>
                  </w:tcBorders>
                  <w:noWrap w:val="0"/>
                  <w:vAlign w:val="center"/>
                </w:tcPr>
                <w:p w14:paraId="68D2C7A3">
                  <w:pPr>
                    <w:pStyle w:val="10"/>
                    <w:adjustRightInd w:val="0"/>
                    <w:snapToGrid w:val="0"/>
                    <w:spacing w:after="0"/>
                    <w:ind w:left="0" w:leftChars="0"/>
                    <w:jc w:val="center"/>
                    <w:rPr>
                      <w:b/>
                      <w:bCs w:val="0"/>
                      <w:color w:val="auto"/>
                      <w:sz w:val="21"/>
                      <w:szCs w:val="21"/>
                    </w:rPr>
                  </w:pPr>
                  <w:r>
                    <w:rPr>
                      <w:b/>
                      <w:bCs w:val="0"/>
                      <w:color w:val="auto"/>
                      <w:sz w:val="21"/>
                      <w:szCs w:val="21"/>
                    </w:rPr>
                    <w:t>监测点位</w:t>
                  </w:r>
                </w:p>
              </w:tc>
              <w:tc>
                <w:tcPr>
                  <w:tcW w:w="1342" w:type="pct"/>
                  <w:tcBorders>
                    <w:tl2br w:val="nil"/>
                    <w:tr2bl w:val="nil"/>
                  </w:tcBorders>
                  <w:noWrap w:val="0"/>
                  <w:vAlign w:val="center"/>
                </w:tcPr>
                <w:p w14:paraId="52FED518">
                  <w:pPr>
                    <w:pStyle w:val="10"/>
                    <w:adjustRightInd w:val="0"/>
                    <w:snapToGrid w:val="0"/>
                    <w:spacing w:after="0"/>
                    <w:ind w:left="0" w:leftChars="0"/>
                    <w:jc w:val="center"/>
                    <w:rPr>
                      <w:b/>
                      <w:bCs w:val="0"/>
                      <w:color w:val="auto"/>
                      <w:sz w:val="21"/>
                      <w:szCs w:val="21"/>
                    </w:rPr>
                  </w:pPr>
                  <w:r>
                    <w:rPr>
                      <w:b/>
                      <w:bCs w:val="0"/>
                      <w:color w:val="auto"/>
                      <w:sz w:val="21"/>
                      <w:szCs w:val="21"/>
                    </w:rPr>
                    <w:t>监测因子</w:t>
                  </w:r>
                </w:p>
              </w:tc>
              <w:tc>
                <w:tcPr>
                  <w:tcW w:w="869" w:type="pct"/>
                  <w:tcBorders>
                    <w:tl2br w:val="nil"/>
                    <w:tr2bl w:val="nil"/>
                  </w:tcBorders>
                  <w:noWrap w:val="0"/>
                  <w:vAlign w:val="center"/>
                </w:tcPr>
                <w:p w14:paraId="31CF3A7A">
                  <w:pPr>
                    <w:pStyle w:val="10"/>
                    <w:adjustRightInd w:val="0"/>
                    <w:snapToGrid w:val="0"/>
                    <w:spacing w:after="0"/>
                    <w:ind w:left="0" w:leftChars="0"/>
                    <w:jc w:val="center"/>
                    <w:rPr>
                      <w:b/>
                      <w:bCs w:val="0"/>
                      <w:color w:val="auto"/>
                      <w:sz w:val="21"/>
                      <w:szCs w:val="21"/>
                    </w:rPr>
                  </w:pPr>
                  <w:r>
                    <w:rPr>
                      <w:b/>
                      <w:bCs w:val="0"/>
                      <w:color w:val="auto"/>
                      <w:sz w:val="21"/>
                      <w:szCs w:val="21"/>
                    </w:rPr>
                    <w:t>监测频率</w:t>
                  </w:r>
                </w:p>
              </w:tc>
            </w:tr>
            <w:tr w14:paraId="68EACA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1039" w:type="pct"/>
                  <w:tcBorders>
                    <w:tl2br w:val="nil"/>
                    <w:tr2bl w:val="nil"/>
                  </w:tcBorders>
                  <w:noWrap w:val="0"/>
                  <w:vAlign w:val="center"/>
                </w:tcPr>
                <w:p w14:paraId="4C8A121D">
                  <w:pPr>
                    <w:pStyle w:val="10"/>
                    <w:adjustRightInd w:val="0"/>
                    <w:snapToGrid w:val="0"/>
                    <w:spacing w:after="0"/>
                    <w:ind w:left="0" w:leftChars="0"/>
                    <w:jc w:val="center"/>
                    <w:rPr>
                      <w:color w:val="auto"/>
                      <w:sz w:val="21"/>
                      <w:szCs w:val="21"/>
                    </w:rPr>
                  </w:pPr>
                  <w:r>
                    <w:rPr>
                      <w:color w:val="auto"/>
                      <w:sz w:val="21"/>
                      <w:szCs w:val="21"/>
                    </w:rPr>
                    <w:t>噪声</w:t>
                  </w:r>
                </w:p>
              </w:tc>
              <w:tc>
                <w:tcPr>
                  <w:tcW w:w="1747" w:type="pct"/>
                  <w:tcBorders>
                    <w:tl2br w:val="nil"/>
                    <w:tr2bl w:val="nil"/>
                  </w:tcBorders>
                  <w:noWrap w:val="0"/>
                  <w:vAlign w:val="center"/>
                </w:tcPr>
                <w:p w14:paraId="0B091DDC">
                  <w:pPr>
                    <w:pStyle w:val="10"/>
                    <w:adjustRightInd w:val="0"/>
                    <w:snapToGrid w:val="0"/>
                    <w:spacing w:after="0"/>
                    <w:ind w:left="0" w:leftChars="0"/>
                    <w:jc w:val="center"/>
                    <w:rPr>
                      <w:rFonts w:hint="eastAsia" w:eastAsia="宋体"/>
                      <w:color w:val="auto"/>
                      <w:sz w:val="21"/>
                      <w:szCs w:val="21"/>
                      <w:lang w:eastAsia="zh-CN"/>
                    </w:rPr>
                  </w:pPr>
                  <w:r>
                    <w:rPr>
                      <w:rFonts w:hint="eastAsia"/>
                      <w:color w:val="auto"/>
                      <w:sz w:val="21"/>
                      <w:szCs w:val="21"/>
                    </w:rPr>
                    <w:t>项目</w:t>
                  </w:r>
                  <w:r>
                    <w:rPr>
                      <w:rFonts w:hint="eastAsia"/>
                      <w:color w:val="auto"/>
                      <w:sz w:val="21"/>
                      <w:szCs w:val="21"/>
                      <w:lang w:val="en-US" w:eastAsia="zh-CN"/>
                    </w:rPr>
                    <w:t>四周</w:t>
                  </w:r>
                </w:p>
              </w:tc>
              <w:tc>
                <w:tcPr>
                  <w:tcW w:w="1342" w:type="pct"/>
                  <w:tcBorders>
                    <w:tl2br w:val="nil"/>
                    <w:tr2bl w:val="nil"/>
                  </w:tcBorders>
                  <w:noWrap w:val="0"/>
                  <w:vAlign w:val="center"/>
                </w:tcPr>
                <w:p w14:paraId="2D99CFDB">
                  <w:pPr>
                    <w:pStyle w:val="10"/>
                    <w:adjustRightInd w:val="0"/>
                    <w:snapToGrid w:val="0"/>
                    <w:spacing w:after="0"/>
                    <w:ind w:left="0" w:leftChars="0"/>
                    <w:jc w:val="center"/>
                    <w:rPr>
                      <w:color w:val="auto"/>
                      <w:sz w:val="21"/>
                      <w:szCs w:val="21"/>
                    </w:rPr>
                  </w:pPr>
                  <w:r>
                    <w:rPr>
                      <w:color w:val="auto"/>
                      <w:sz w:val="21"/>
                      <w:szCs w:val="21"/>
                    </w:rPr>
                    <w:t>等效A声级dB（A）</w:t>
                  </w:r>
                </w:p>
              </w:tc>
              <w:tc>
                <w:tcPr>
                  <w:tcW w:w="869" w:type="pct"/>
                  <w:tcBorders>
                    <w:tl2br w:val="nil"/>
                    <w:tr2bl w:val="nil"/>
                  </w:tcBorders>
                  <w:noWrap w:val="0"/>
                  <w:vAlign w:val="center"/>
                </w:tcPr>
                <w:p w14:paraId="5D6EE318">
                  <w:pPr>
                    <w:pStyle w:val="10"/>
                    <w:adjustRightInd w:val="0"/>
                    <w:snapToGrid w:val="0"/>
                    <w:spacing w:after="0"/>
                    <w:ind w:left="0" w:leftChars="0"/>
                    <w:jc w:val="center"/>
                    <w:rPr>
                      <w:color w:val="auto"/>
                      <w:sz w:val="21"/>
                      <w:szCs w:val="21"/>
                    </w:rPr>
                  </w:pPr>
                  <w:r>
                    <w:rPr>
                      <w:color w:val="auto"/>
                      <w:sz w:val="21"/>
                      <w:szCs w:val="21"/>
                    </w:rPr>
                    <w:t>1次/</w:t>
                  </w:r>
                  <w:r>
                    <w:rPr>
                      <w:rFonts w:hint="eastAsia"/>
                      <w:color w:val="auto"/>
                      <w:sz w:val="21"/>
                      <w:szCs w:val="21"/>
                    </w:rPr>
                    <w:t>季度</w:t>
                  </w:r>
                </w:p>
              </w:tc>
            </w:tr>
          </w:tbl>
          <w:p w14:paraId="740E8334">
            <w:pPr>
              <w:numPr>
                <w:ilvl w:val="0"/>
                <w:numId w:val="0"/>
              </w:numPr>
              <w:adjustRightInd w:val="0"/>
              <w:snapToGrid w:val="0"/>
              <w:spacing w:line="360" w:lineRule="auto"/>
              <w:rPr>
                <w:rFonts w:hint="default" w:ascii="Times New Roman" w:hAnsi="Times New Roman" w:cs="Times New Roman"/>
                <w:b/>
                <w:bCs w:val="0"/>
                <w:spacing w:val="0"/>
                <w:sz w:val="24"/>
                <w:szCs w:val="24"/>
                <w:lang w:val="en-US" w:eastAsia="zh-CN"/>
              </w:rPr>
            </w:pPr>
            <w:r>
              <w:rPr>
                <w:rFonts w:hint="default" w:ascii="Times New Roman" w:hAnsi="Times New Roman" w:cs="Times New Roman"/>
                <w:b/>
                <w:bCs w:val="0"/>
                <w:spacing w:val="0"/>
                <w:sz w:val="24"/>
                <w:szCs w:val="24"/>
                <w:lang w:val="en-US" w:eastAsia="zh-CN"/>
              </w:rPr>
              <w:t>4、固体废物</w:t>
            </w:r>
          </w:p>
          <w:p w14:paraId="1CAB5D3E">
            <w:pPr>
              <w:numPr>
                <w:ilvl w:val="0"/>
                <w:numId w:val="0"/>
              </w:numPr>
              <w:adjustRightInd w:val="0"/>
              <w:snapToGrid w:val="0"/>
              <w:spacing w:line="360" w:lineRule="auto"/>
              <w:rPr>
                <w:rFonts w:hint="default" w:ascii="Times New Roman" w:hAnsi="Times New Roman" w:cs="Times New Roman"/>
                <w:b/>
                <w:bCs w:val="0"/>
                <w:spacing w:val="0"/>
                <w:sz w:val="24"/>
                <w:szCs w:val="24"/>
                <w:lang w:val="en-US" w:eastAsia="zh-CN"/>
              </w:rPr>
            </w:pPr>
            <w:r>
              <w:rPr>
                <w:rFonts w:hint="default" w:ascii="Times New Roman" w:hAnsi="Times New Roman" w:cs="Times New Roman"/>
                <w:b/>
                <w:bCs w:val="0"/>
                <w:spacing w:val="0"/>
                <w:sz w:val="24"/>
                <w:szCs w:val="24"/>
                <w:lang w:val="en-US" w:eastAsia="zh-CN"/>
              </w:rPr>
              <w:t>4.1固体废物产生情况</w:t>
            </w:r>
          </w:p>
          <w:p w14:paraId="5228519B">
            <w:pPr>
              <w:spacing w:line="360" w:lineRule="auto"/>
              <w:ind w:firstLine="480" w:firstLineChars="200"/>
              <w:rPr>
                <w:rFonts w:hint="default" w:ascii="Times New Roman" w:hAnsi="Times New Roman" w:cs="Times New Roman"/>
                <w:color w:val="000000"/>
                <w:sz w:val="24"/>
                <w:highlight w:val="none"/>
                <w:lang w:val="en-US" w:eastAsia="zh-CN"/>
              </w:rPr>
            </w:pPr>
            <w:r>
              <w:rPr>
                <w:rFonts w:hint="default" w:ascii="Times New Roman" w:hAnsi="Times New Roman" w:cs="Times New Roman"/>
                <w:b w:val="0"/>
                <w:bCs/>
                <w:spacing w:val="0"/>
                <w:sz w:val="24"/>
                <w:szCs w:val="24"/>
                <w:lang w:val="en-US" w:eastAsia="zh-CN"/>
              </w:rPr>
              <w:t>本项目</w:t>
            </w:r>
            <w:r>
              <w:rPr>
                <w:rFonts w:hint="default" w:ascii="Times New Roman" w:hAnsi="Times New Roman" w:cs="Times New Roman"/>
                <w:color w:val="000000"/>
                <w:sz w:val="24"/>
                <w:highlight w:val="none"/>
              </w:rPr>
              <w:t>运营期产生的固体废物主要有生活垃圾、</w:t>
            </w:r>
            <w:r>
              <w:rPr>
                <w:rFonts w:hint="eastAsia" w:ascii="Times New Roman" w:hAnsi="Times New Roman" w:cs="Times New Roman"/>
                <w:color w:val="000000"/>
                <w:sz w:val="24"/>
                <w:highlight w:val="none"/>
                <w:lang w:val="en-US" w:eastAsia="zh-CN"/>
              </w:rPr>
              <w:t>废</w:t>
            </w:r>
            <w:r>
              <w:rPr>
                <w:rFonts w:hint="default" w:ascii="Times New Roman" w:hAnsi="Times New Roman" w:cs="Times New Roman"/>
                <w:color w:val="000000"/>
                <w:sz w:val="24"/>
                <w:highlight w:val="none"/>
                <w:lang w:val="en-US" w:eastAsia="zh-CN"/>
              </w:rPr>
              <w:t>边角料</w:t>
            </w:r>
            <w:r>
              <w:rPr>
                <w:rFonts w:hint="eastAsia" w:ascii="Times New Roman" w:hAnsi="Times New Roman" w:cs="Times New Roman"/>
                <w:color w:val="000000"/>
                <w:sz w:val="24"/>
                <w:highlight w:val="none"/>
                <w:lang w:val="en-US" w:eastAsia="zh-CN"/>
              </w:rPr>
              <w:t>、</w:t>
            </w:r>
            <w:r>
              <w:rPr>
                <w:rFonts w:hint="default" w:ascii="Times New Roman" w:hAnsi="Times New Roman" w:eastAsia="宋体" w:cs="Times New Roman"/>
                <w:bCs/>
                <w:color w:val="000000"/>
                <w:kern w:val="0"/>
                <w:sz w:val="24"/>
                <w:szCs w:val="20"/>
                <w:lang w:val="en-US" w:eastAsia="zh-CN"/>
              </w:rPr>
              <w:t>废包装</w:t>
            </w:r>
            <w:r>
              <w:rPr>
                <w:rFonts w:hint="eastAsia" w:ascii="Times New Roman" w:hAnsi="Times New Roman" w:eastAsia="宋体" w:cs="Times New Roman"/>
                <w:bCs/>
                <w:color w:val="000000"/>
                <w:kern w:val="0"/>
                <w:sz w:val="24"/>
                <w:szCs w:val="20"/>
                <w:lang w:val="en-US" w:eastAsia="zh-CN"/>
              </w:rPr>
              <w:t>材料、不合格品、废反渗透膜、</w:t>
            </w:r>
            <w:r>
              <w:rPr>
                <w:rFonts w:hint="eastAsia"/>
                <w:color w:val="auto"/>
                <w:sz w:val="24"/>
                <w:lang w:val="en-US" w:eastAsia="zh-CN"/>
              </w:rPr>
              <w:t>实</w:t>
            </w:r>
            <w:r>
              <w:rPr>
                <w:rFonts w:hint="eastAsia"/>
                <w:color w:val="auto"/>
                <w:sz w:val="24"/>
              </w:rPr>
              <w:t>验废液</w:t>
            </w:r>
            <w:r>
              <w:rPr>
                <w:rFonts w:hint="eastAsia"/>
                <w:color w:val="auto"/>
                <w:sz w:val="24"/>
                <w:lang w:eastAsia="zh-CN"/>
              </w:rPr>
              <w:t>、</w:t>
            </w:r>
            <w:r>
              <w:rPr>
                <w:rFonts w:hint="eastAsia" w:ascii="Times New Roman" w:hAnsi="Times New Roman" w:eastAsia="宋体" w:cs="Times New Roman"/>
                <w:color w:val="000000"/>
                <w:sz w:val="24"/>
                <w:lang w:val="en-US" w:eastAsia="zh-CN"/>
              </w:rPr>
              <w:t>废试剂瓶、</w:t>
            </w:r>
            <w:r>
              <w:rPr>
                <w:rFonts w:hint="default" w:ascii="Times New Roman" w:hAnsi="Times New Roman" w:cs="Times New Roman"/>
                <w:color w:val="000000"/>
                <w:sz w:val="24"/>
              </w:rPr>
              <w:t>废活性炭</w:t>
            </w:r>
            <w:r>
              <w:rPr>
                <w:rFonts w:hint="default" w:ascii="Times New Roman" w:hAnsi="Times New Roman" w:cs="Times New Roman"/>
                <w:color w:val="000000"/>
                <w:sz w:val="24"/>
                <w:highlight w:val="none"/>
              </w:rPr>
              <w:t>等</w:t>
            </w:r>
            <w:r>
              <w:rPr>
                <w:rFonts w:hint="default" w:ascii="Times New Roman" w:hAnsi="Times New Roman" w:cs="Times New Roman"/>
                <w:color w:val="000000"/>
                <w:sz w:val="24"/>
                <w:highlight w:val="none"/>
                <w:lang w:eastAsia="zh-CN"/>
              </w:rPr>
              <w:t>。</w:t>
            </w:r>
            <w:r>
              <w:rPr>
                <w:rFonts w:hint="default" w:ascii="Times New Roman" w:hAnsi="Times New Roman" w:cs="Times New Roman"/>
                <w:color w:val="000000"/>
                <w:sz w:val="24"/>
                <w:highlight w:val="none"/>
              </w:rPr>
              <w:t>按污染特性可分为</w:t>
            </w:r>
            <w:r>
              <w:rPr>
                <w:rFonts w:hint="default" w:ascii="Times New Roman" w:hAnsi="Times New Roman" w:cs="Times New Roman"/>
                <w:color w:val="000000"/>
                <w:sz w:val="24"/>
                <w:highlight w:val="none"/>
                <w:lang w:val="en-US" w:eastAsia="zh-CN"/>
              </w:rPr>
              <w:t>生活垃圾、一般工业固体废物和危险废物。</w:t>
            </w:r>
          </w:p>
          <w:p w14:paraId="3CAAC0C6">
            <w:pPr>
              <w:numPr>
                <w:ilvl w:val="0"/>
                <w:numId w:val="11"/>
              </w:numPr>
              <w:spacing w:line="360" w:lineRule="auto"/>
              <w:ind w:firstLine="480" w:firstLineChars="200"/>
              <w:rPr>
                <w:rFonts w:hint="default" w:ascii="Times New Roman" w:hAnsi="Times New Roman" w:cs="Times New Roman"/>
                <w:color w:val="000000"/>
                <w:sz w:val="24"/>
                <w:highlight w:val="none"/>
                <w:lang w:val="en-US" w:eastAsia="zh-CN"/>
              </w:rPr>
            </w:pPr>
            <w:r>
              <w:rPr>
                <w:rFonts w:hint="default" w:ascii="Times New Roman" w:hAnsi="Times New Roman" w:cs="Times New Roman"/>
                <w:color w:val="000000"/>
                <w:sz w:val="24"/>
                <w:highlight w:val="none"/>
                <w:lang w:val="en-US" w:eastAsia="zh-CN"/>
              </w:rPr>
              <w:t>生活垃圾</w:t>
            </w:r>
          </w:p>
          <w:p w14:paraId="77B01334">
            <w:pPr>
              <w:spacing w:line="360" w:lineRule="auto"/>
              <w:ind w:firstLine="480" w:firstLineChars="200"/>
              <w:rPr>
                <w:rFonts w:hint="default" w:ascii="Times New Roman" w:hAnsi="Times New Roman" w:cs="Times New Roman"/>
                <w:color w:val="000000"/>
                <w:sz w:val="24"/>
                <w:highlight w:val="none"/>
                <w:lang w:val="en-US" w:eastAsia="zh-CN"/>
              </w:rPr>
            </w:pPr>
            <w:r>
              <w:rPr>
                <w:rFonts w:hint="default" w:ascii="Times New Roman" w:hAnsi="Times New Roman" w:cs="Times New Roman"/>
                <w:color w:val="000000"/>
                <w:sz w:val="24"/>
                <w:highlight w:val="none"/>
              </w:rPr>
              <w:t>生活垃圾主要</w:t>
            </w:r>
            <w:r>
              <w:rPr>
                <w:rFonts w:hint="default" w:ascii="Times New Roman" w:hAnsi="Times New Roman" w:cs="Times New Roman"/>
                <w:color w:val="000000"/>
                <w:sz w:val="24"/>
                <w:highlight w:val="none"/>
                <w:lang w:val="en-US" w:eastAsia="zh-CN"/>
              </w:rPr>
              <w:t>为</w:t>
            </w:r>
            <w:r>
              <w:rPr>
                <w:rFonts w:hint="default" w:ascii="Times New Roman" w:hAnsi="Times New Roman" w:cs="Times New Roman"/>
                <w:color w:val="000000"/>
                <w:sz w:val="24"/>
                <w:highlight w:val="none"/>
              </w:rPr>
              <w:t>职工日常办公生活产生的，按每人0.5kg/d计，本项目职工人数为</w:t>
            </w:r>
            <w:r>
              <w:rPr>
                <w:rFonts w:hint="default" w:ascii="Times New Roman" w:hAnsi="Times New Roman" w:cs="Times New Roman"/>
                <w:color w:val="000000"/>
                <w:sz w:val="24"/>
                <w:highlight w:val="none"/>
                <w:lang w:val="en-US" w:eastAsia="zh-CN"/>
              </w:rPr>
              <w:t>10</w:t>
            </w:r>
            <w:r>
              <w:rPr>
                <w:rFonts w:hint="default" w:ascii="Times New Roman" w:hAnsi="Times New Roman" w:cs="Times New Roman"/>
                <w:color w:val="000000"/>
                <w:sz w:val="24"/>
                <w:highlight w:val="none"/>
              </w:rPr>
              <w:t>人，则垃圾日产量为</w:t>
            </w:r>
            <w:r>
              <w:rPr>
                <w:rFonts w:hint="default" w:ascii="Times New Roman" w:hAnsi="Times New Roman" w:cs="Times New Roman"/>
                <w:color w:val="000000"/>
                <w:sz w:val="24"/>
                <w:highlight w:val="none"/>
                <w:lang w:val="en-US" w:eastAsia="zh-CN"/>
              </w:rPr>
              <w:t>5.0</w:t>
            </w:r>
            <w:r>
              <w:rPr>
                <w:rFonts w:hint="default" w:ascii="Times New Roman" w:hAnsi="Times New Roman" w:cs="Times New Roman"/>
                <w:color w:val="000000"/>
                <w:sz w:val="24"/>
                <w:highlight w:val="none"/>
              </w:rPr>
              <w:t>kg/d，年工作天数为</w:t>
            </w:r>
            <w:r>
              <w:rPr>
                <w:rFonts w:hint="eastAsia" w:ascii="Times New Roman" w:hAnsi="Times New Roman" w:cs="Times New Roman"/>
                <w:color w:val="000000"/>
                <w:sz w:val="24"/>
                <w:highlight w:val="none"/>
                <w:lang w:val="en-US" w:eastAsia="zh-CN"/>
              </w:rPr>
              <w:t>250</w:t>
            </w:r>
            <w:r>
              <w:rPr>
                <w:rFonts w:hint="default" w:ascii="Times New Roman" w:hAnsi="Times New Roman" w:cs="Times New Roman"/>
                <w:color w:val="000000"/>
                <w:sz w:val="24"/>
                <w:highlight w:val="none"/>
              </w:rPr>
              <w:t>天，生活垃圾年产量约为</w:t>
            </w:r>
            <w:r>
              <w:rPr>
                <w:rFonts w:hint="eastAsia" w:ascii="Times New Roman" w:hAnsi="Times New Roman" w:cs="Times New Roman"/>
                <w:color w:val="000000"/>
                <w:sz w:val="24"/>
                <w:highlight w:val="none"/>
                <w:lang w:val="en-US" w:eastAsia="zh-CN"/>
              </w:rPr>
              <w:t>1.25</w:t>
            </w:r>
            <w:r>
              <w:rPr>
                <w:rFonts w:hint="default" w:ascii="Times New Roman" w:hAnsi="Times New Roman" w:cs="Times New Roman"/>
                <w:color w:val="000000"/>
                <w:sz w:val="24"/>
                <w:highlight w:val="none"/>
              </w:rPr>
              <w:t>t/a。</w:t>
            </w:r>
            <w:r>
              <w:rPr>
                <w:rFonts w:hint="default" w:ascii="Times New Roman" w:hAnsi="Times New Roman" w:cs="Times New Roman"/>
                <w:color w:val="000000"/>
                <w:sz w:val="24"/>
                <w:szCs w:val="24"/>
                <w:highlight w:val="none"/>
                <w:lang w:bidi="ar"/>
              </w:rPr>
              <w:t>设</w:t>
            </w:r>
            <w:r>
              <w:rPr>
                <w:rFonts w:hint="default" w:ascii="Times New Roman" w:hAnsi="Times New Roman" w:cs="Times New Roman"/>
                <w:color w:val="000000"/>
                <w:sz w:val="24"/>
                <w:szCs w:val="24"/>
                <w:highlight w:val="none"/>
                <w:lang w:val="en-US" w:eastAsia="zh-CN" w:bidi="ar"/>
              </w:rPr>
              <w:t>分类</w:t>
            </w:r>
            <w:r>
              <w:rPr>
                <w:rFonts w:hint="default" w:ascii="Times New Roman" w:hAnsi="Times New Roman" w:cs="Times New Roman"/>
                <w:color w:val="000000"/>
                <w:sz w:val="24"/>
                <w:szCs w:val="24"/>
                <w:highlight w:val="none"/>
                <w:lang w:bidi="ar"/>
              </w:rPr>
              <w:t>垃圾收集桶，项目生活垃圾经收集后由环卫部门定期集中清运。</w:t>
            </w:r>
          </w:p>
          <w:p w14:paraId="0D638650">
            <w:pPr>
              <w:numPr>
                <w:ilvl w:val="0"/>
                <w:numId w:val="11"/>
              </w:numPr>
              <w:spacing w:line="360" w:lineRule="auto"/>
              <w:ind w:firstLine="480" w:firstLineChars="200"/>
              <w:rPr>
                <w:rFonts w:hint="default" w:ascii="Times New Roman" w:hAnsi="Times New Roman" w:cs="Times New Roman"/>
                <w:color w:val="000000"/>
                <w:sz w:val="24"/>
                <w:highlight w:val="none"/>
                <w:lang w:val="en-US" w:eastAsia="zh-CN"/>
              </w:rPr>
            </w:pPr>
            <w:r>
              <w:rPr>
                <w:rFonts w:hint="default" w:ascii="Times New Roman" w:hAnsi="Times New Roman" w:cs="Times New Roman"/>
                <w:color w:val="000000"/>
                <w:sz w:val="24"/>
                <w:highlight w:val="none"/>
                <w:lang w:val="en-US" w:eastAsia="zh-CN"/>
              </w:rPr>
              <w:t>一般工业固体废物</w:t>
            </w:r>
          </w:p>
          <w:p w14:paraId="1F97D787">
            <w:pPr>
              <w:spacing w:line="360" w:lineRule="auto"/>
              <w:ind w:firstLine="480" w:firstLineChars="200"/>
              <w:contextualSpacing/>
              <w:rPr>
                <w:rFonts w:hint="default" w:ascii="Times New Roman" w:hAnsi="Times New Roman" w:eastAsia="宋体" w:cs="Times New Roman"/>
                <w:bCs/>
                <w:color w:val="000000"/>
                <w:kern w:val="0"/>
                <w:sz w:val="24"/>
                <w:szCs w:val="20"/>
                <w:lang w:val="en-US" w:eastAsia="zh-CN"/>
              </w:rPr>
            </w:pPr>
            <w:r>
              <w:rPr>
                <w:rFonts w:hint="default" w:ascii="Times New Roman" w:hAnsi="Times New Roman" w:eastAsia="宋体" w:cs="Times New Roman"/>
                <w:bCs/>
                <w:color w:val="000000"/>
                <w:kern w:val="0"/>
                <w:sz w:val="24"/>
                <w:szCs w:val="20"/>
                <w:lang w:val="en-US" w:eastAsia="zh-CN"/>
              </w:rPr>
              <w:t>1）废边角料</w:t>
            </w:r>
          </w:p>
          <w:p w14:paraId="5E145A4C">
            <w:pPr>
              <w:spacing w:line="360" w:lineRule="auto"/>
              <w:ind w:firstLine="480" w:firstLineChars="200"/>
              <w:contextualSpacing/>
              <w:rPr>
                <w:rFonts w:hint="default" w:ascii="Times New Roman" w:hAnsi="Times New Roman" w:eastAsia="宋体" w:cs="Times New Roman"/>
                <w:bCs/>
                <w:color w:val="000000"/>
                <w:kern w:val="0"/>
                <w:sz w:val="24"/>
                <w:szCs w:val="20"/>
                <w:lang w:val="en-US" w:eastAsia="zh-CN"/>
              </w:rPr>
            </w:pPr>
            <w:r>
              <w:rPr>
                <w:rFonts w:hint="default" w:ascii="Times New Roman" w:hAnsi="Times New Roman" w:eastAsia="宋体" w:cs="Times New Roman"/>
                <w:bCs/>
                <w:color w:val="000000"/>
                <w:kern w:val="0"/>
                <w:sz w:val="24"/>
                <w:szCs w:val="20"/>
                <w:lang w:val="en-US" w:eastAsia="zh-CN"/>
              </w:rPr>
              <w:t>在</w:t>
            </w:r>
            <w:r>
              <w:rPr>
                <w:rFonts w:hint="eastAsia" w:ascii="Times New Roman" w:hAnsi="Times New Roman" w:eastAsia="宋体" w:cs="Times New Roman"/>
                <w:bCs/>
                <w:color w:val="000000"/>
                <w:kern w:val="0"/>
                <w:sz w:val="24"/>
                <w:szCs w:val="20"/>
                <w:lang w:val="en-US" w:eastAsia="zh-CN"/>
              </w:rPr>
              <w:t>分切</w:t>
            </w:r>
            <w:r>
              <w:rPr>
                <w:rFonts w:hint="default" w:ascii="Times New Roman" w:hAnsi="Times New Roman" w:eastAsia="宋体" w:cs="Times New Roman"/>
                <w:bCs/>
                <w:color w:val="000000"/>
                <w:kern w:val="0"/>
                <w:sz w:val="24"/>
                <w:szCs w:val="20"/>
                <w:lang w:val="en-US" w:eastAsia="zh-CN"/>
              </w:rPr>
              <w:t>工序会产生废边角料主要是废膜</w:t>
            </w:r>
            <w:r>
              <w:rPr>
                <w:rFonts w:hint="eastAsia" w:ascii="Times New Roman" w:hAnsi="Times New Roman" w:eastAsia="宋体" w:cs="Times New Roman"/>
                <w:bCs/>
                <w:color w:val="000000"/>
                <w:kern w:val="0"/>
                <w:sz w:val="24"/>
                <w:szCs w:val="20"/>
                <w:lang w:val="en-US" w:eastAsia="zh-CN"/>
              </w:rPr>
              <w:t>、废气体扩散层、废胶带</w:t>
            </w:r>
            <w:r>
              <w:rPr>
                <w:rFonts w:hint="default" w:ascii="Times New Roman" w:hAnsi="Times New Roman" w:eastAsia="宋体" w:cs="Times New Roman"/>
                <w:bCs/>
                <w:color w:val="000000"/>
                <w:kern w:val="0"/>
                <w:sz w:val="24"/>
                <w:szCs w:val="20"/>
                <w:lang w:val="en-US" w:eastAsia="zh-CN"/>
              </w:rPr>
              <w:t>等。根据建设单位提供的资料，废边角料产生量约为</w:t>
            </w:r>
            <w:r>
              <w:rPr>
                <w:rFonts w:hint="eastAsia" w:ascii="Times New Roman" w:hAnsi="Times New Roman" w:eastAsia="宋体" w:cs="Times New Roman"/>
                <w:bCs/>
                <w:color w:val="000000"/>
                <w:kern w:val="0"/>
                <w:sz w:val="24"/>
                <w:szCs w:val="20"/>
                <w:lang w:val="en-US" w:eastAsia="zh-CN"/>
              </w:rPr>
              <w:t>0.3</w:t>
            </w:r>
            <w:r>
              <w:rPr>
                <w:rFonts w:hint="default" w:ascii="Times New Roman" w:hAnsi="Times New Roman" w:eastAsia="宋体" w:cs="Times New Roman"/>
                <w:bCs/>
                <w:color w:val="000000"/>
                <w:kern w:val="0"/>
                <w:sz w:val="24"/>
                <w:szCs w:val="20"/>
                <w:lang w:val="en-US" w:eastAsia="zh-CN"/>
              </w:rPr>
              <w:t>t/a。属一般工业固体废物，集中收集后外售综合利用。</w:t>
            </w:r>
          </w:p>
          <w:p w14:paraId="65A451FF">
            <w:pPr>
              <w:spacing w:line="360" w:lineRule="auto"/>
              <w:ind w:firstLine="480" w:firstLineChars="200"/>
              <w:contextualSpacing/>
              <w:rPr>
                <w:rFonts w:hint="default" w:ascii="Times New Roman" w:hAnsi="Times New Roman" w:eastAsia="宋体" w:cs="Times New Roman"/>
                <w:bCs/>
                <w:color w:val="000000"/>
                <w:kern w:val="0"/>
                <w:sz w:val="24"/>
                <w:szCs w:val="20"/>
                <w:lang w:val="en-US" w:eastAsia="zh-CN"/>
              </w:rPr>
            </w:pPr>
            <w:r>
              <w:rPr>
                <w:rFonts w:hint="default" w:ascii="Times New Roman" w:hAnsi="Times New Roman" w:eastAsia="宋体" w:cs="Times New Roman"/>
                <w:bCs/>
                <w:color w:val="000000"/>
                <w:kern w:val="0"/>
                <w:sz w:val="24"/>
                <w:szCs w:val="20"/>
                <w:lang w:val="en-US" w:eastAsia="zh-CN"/>
              </w:rPr>
              <w:t>2）废包装</w:t>
            </w:r>
            <w:r>
              <w:rPr>
                <w:rFonts w:hint="eastAsia" w:ascii="Times New Roman" w:hAnsi="Times New Roman" w:eastAsia="宋体" w:cs="Times New Roman"/>
                <w:bCs/>
                <w:color w:val="000000"/>
                <w:kern w:val="0"/>
                <w:sz w:val="24"/>
                <w:szCs w:val="20"/>
                <w:lang w:val="en-US" w:eastAsia="zh-CN"/>
              </w:rPr>
              <w:t>材料、不合格品</w:t>
            </w:r>
          </w:p>
          <w:p w14:paraId="74255E2E">
            <w:pPr>
              <w:spacing w:line="360" w:lineRule="auto"/>
              <w:ind w:firstLine="480" w:firstLineChars="200"/>
              <w:contextualSpacing/>
              <w:rPr>
                <w:rFonts w:hint="default" w:ascii="Times New Roman" w:hAnsi="Times New Roman" w:eastAsia="宋体" w:cs="Times New Roman"/>
                <w:bCs/>
                <w:color w:val="auto"/>
                <w:kern w:val="0"/>
                <w:sz w:val="24"/>
                <w:szCs w:val="20"/>
                <w:lang w:val="en-US" w:eastAsia="zh-CN"/>
              </w:rPr>
            </w:pPr>
            <w:r>
              <w:rPr>
                <w:rFonts w:hint="default" w:ascii="Times New Roman" w:hAnsi="Times New Roman" w:eastAsia="宋体" w:cs="Times New Roman"/>
                <w:bCs/>
                <w:color w:val="auto"/>
                <w:kern w:val="0"/>
                <w:sz w:val="24"/>
                <w:szCs w:val="20"/>
                <w:lang w:val="en-US" w:eastAsia="zh-CN"/>
              </w:rPr>
              <w:t>在</w:t>
            </w:r>
            <w:r>
              <w:rPr>
                <w:rFonts w:hint="eastAsia" w:ascii="Times New Roman" w:hAnsi="Times New Roman" w:eastAsia="宋体" w:cs="Times New Roman"/>
                <w:bCs/>
                <w:color w:val="auto"/>
                <w:kern w:val="0"/>
                <w:sz w:val="24"/>
                <w:szCs w:val="20"/>
                <w:lang w:val="en-US" w:eastAsia="zh-CN"/>
              </w:rPr>
              <w:t>检测与</w:t>
            </w:r>
            <w:r>
              <w:rPr>
                <w:rFonts w:hint="default" w:ascii="Times New Roman" w:hAnsi="Times New Roman" w:eastAsia="宋体" w:cs="Times New Roman"/>
                <w:bCs/>
                <w:color w:val="auto"/>
                <w:kern w:val="0"/>
                <w:sz w:val="24"/>
                <w:szCs w:val="20"/>
                <w:lang w:val="en-US" w:eastAsia="zh-CN"/>
              </w:rPr>
              <w:t>包装工序中，会产生废包装材料</w:t>
            </w:r>
            <w:r>
              <w:rPr>
                <w:rFonts w:hint="eastAsia" w:ascii="Times New Roman" w:hAnsi="Times New Roman" w:eastAsia="宋体" w:cs="Times New Roman"/>
                <w:bCs/>
                <w:color w:val="auto"/>
                <w:kern w:val="0"/>
                <w:sz w:val="24"/>
                <w:szCs w:val="20"/>
                <w:lang w:val="en-US" w:eastAsia="zh-CN"/>
              </w:rPr>
              <w:t>和不合格品</w:t>
            </w:r>
            <w:r>
              <w:rPr>
                <w:rFonts w:hint="default" w:ascii="Times New Roman" w:hAnsi="Times New Roman" w:eastAsia="宋体" w:cs="Times New Roman"/>
                <w:bCs/>
                <w:color w:val="auto"/>
                <w:kern w:val="0"/>
                <w:sz w:val="24"/>
                <w:szCs w:val="20"/>
                <w:lang w:val="en-US" w:eastAsia="zh-CN"/>
              </w:rPr>
              <w:t>，根据建设单位提供的资料，产生量</w:t>
            </w:r>
            <w:r>
              <w:rPr>
                <w:rFonts w:hint="eastAsia" w:ascii="Times New Roman" w:hAnsi="Times New Roman" w:eastAsia="宋体" w:cs="Times New Roman"/>
                <w:bCs/>
                <w:color w:val="auto"/>
                <w:kern w:val="0"/>
                <w:sz w:val="24"/>
                <w:szCs w:val="20"/>
                <w:lang w:val="en-US" w:eastAsia="zh-CN"/>
              </w:rPr>
              <w:t>共计</w:t>
            </w:r>
            <w:r>
              <w:rPr>
                <w:rFonts w:hint="default" w:ascii="Times New Roman" w:hAnsi="Times New Roman" w:eastAsia="宋体" w:cs="Times New Roman"/>
                <w:bCs/>
                <w:color w:val="auto"/>
                <w:kern w:val="0"/>
                <w:sz w:val="24"/>
                <w:szCs w:val="20"/>
                <w:lang w:val="en-US" w:eastAsia="zh-CN"/>
              </w:rPr>
              <w:t>约为0.05t/a。属一般工业固体废物，集中收集后外售综合利用。</w:t>
            </w:r>
          </w:p>
          <w:p w14:paraId="7949FCE1">
            <w:pPr>
              <w:spacing w:line="360" w:lineRule="auto"/>
              <w:ind w:firstLine="480" w:firstLineChars="200"/>
              <w:contextualSpacing/>
              <w:rPr>
                <w:rFonts w:hint="default" w:ascii="Times New Roman" w:hAnsi="Times New Roman" w:eastAsia="宋体" w:cs="Times New Roman"/>
                <w:bCs/>
                <w:color w:val="auto"/>
                <w:kern w:val="0"/>
                <w:sz w:val="24"/>
                <w:szCs w:val="20"/>
                <w:lang w:val="en-US" w:eastAsia="zh-CN"/>
              </w:rPr>
            </w:pPr>
            <w:r>
              <w:rPr>
                <w:rFonts w:hint="default" w:ascii="Times New Roman" w:hAnsi="Times New Roman" w:eastAsia="宋体" w:cs="Times New Roman"/>
                <w:bCs/>
                <w:color w:val="auto"/>
                <w:kern w:val="0"/>
                <w:sz w:val="24"/>
                <w:szCs w:val="20"/>
                <w:lang w:val="en-US" w:eastAsia="zh-CN"/>
              </w:rPr>
              <w:t>3）废</w:t>
            </w:r>
            <w:r>
              <w:rPr>
                <w:rFonts w:hint="eastAsia" w:ascii="Times New Roman" w:hAnsi="Times New Roman" w:eastAsia="宋体" w:cs="Times New Roman"/>
                <w:bCs/>
                <w:color w:val="auto"/>
                <w:kern w:val="0"/>
                <w:sz w:val="24"/>
                <w:szCs w:val="20"/>
                <w:lang w:val="en-US" w:eastAsia="zh-CN"/>
              </w:rPr>
              <w:t>反渗透膜</w:t>
            </w:r>
          </w:p>
          <w:p w14:paraId="71CCF5D3">
            <w:pPr>
              <w:spacing w:line="360" w:lineRule="auto"/>
              <w:ind w:firstLine="480" w:firstLineChars="200"/>
              <w:contextualSpacing/>
              <w:rPr>
                <w:rFonts w:hint="default" w:ascii="Times New Roman" w:hAnsi="Times New Roman" w:cs="Times New Roman"/>
                <w:color w:val="auto"/>
                <w:sz w:val="24"/>
                <w:highlight w:val="none"/>
                <w:lang w:val="en-US" w:eastAsia="zh-CN"/>
              </w:rPr>
            </w:pPr>
            <w:r>
              <w:rPr>
                <w:rFonts w:hint="default" w:ascii="Times New Roman" w:hAnsi="Times New Roman" w:eastAsia="宋体" w:cs="Times New Roman"/>
                <w:bCs/>
                <w:color w:val="auto"/>
                <w:kern w:val="0"/>
                <w:sz w:val="24"/>
                <w:szCs w:val="20"/>
                <w:lang w:val="en-US" w:eastAsia="zh-CN"/>
              </w:rPr>
              <w:t>纯水设备采用RO反渗透系统，其原理是用足够的压力使溶液中的溶剂通过反渗透膜（一种半透膜）而分离出来，当设备出水变小或出水水质变差时需更换反渗透膜，一般情况下膜1-2年更换一次，且更换时需委托专业人员进行更换，反渗透膜组件约1kg，本次评价按1年更换一次计算，则废</w:t>
            </w:r>
            <w:r>
              <w:rPr>
                <w:rFonts w:hint="eastAsia" w:ascii="Times New Roman" w:hAnsi="Times New Roman" w:eastAsia="宋体" w:cs="Times New Roman"/>
                <w:bCs/>
                <w:color w:val="auto"/>
                <w:kern w:val="0"/>
                <w:sz w:val="24"/>
                <w:szCs w:val="20"/>
                <w:lang w:val="en-US" w:eastAsia="zh-CN"/>
              </w:rPr>
              <w:t>反渗透</w:t>
            </w:r>
            <w:r>
              <w:rPr>
                <w:rFonts w:hint="default" w:ascii="Times New Roman" w:hAnsi="Times New Roman" w:eastAsia="宋体" w:cs="Times New Roman"/>
                <w:bCs/>
                <w:color w:val="auto"/>
                <w:kern w:val="0"/>
                <w:sz w:val="24"/>
                <w:szCs w:val="20"/>
                <w:lang w:val="en-US" w:eastAsia="zh-CN"/>
              </w:rPr>
              <w:t>膜产生量为0.001t/a，属于一般工业固体废物，交供应商回收利用。</w:t>
            </w:r>
          </w:p>
          <w:p w14:paraId="2A607B0E">
            <w:pPr>
              <w:numPr>
                <w:ilvl w:val="0"/>
                <w:numId w:val="11"/>
              </w:num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highlight w:val="none"/>
                <w:lang w:val="en-US" w:eastAsia="zh-CN"/>
              </w:rPr>
              <w:t>危险废物</w:t>
            </w:r>
          </w:p>
          <w:p w14:paraId="7993A4D0">
            <w:pPr>
              <w:adjustRightInd w:val="0"/>
              <w:snapToGrid w:val="0"/>
              <w:spacing w:line="360" w:lineRule="auto"/>
              <w:ind w:firstLine="480" w:firstLineChars="200"/>
              <w:jc w:val="left"/>
              <w:rPr>
                <w:color w:val="auto"/>
                <w:sz w:val="24"/>
              </w:rPr>
            </w:pPr>
            <w:r>
              <w:rPr>
                <w:rFonts w:hint="eastAsia" w:ascii="Times New Roman" w:hAnsi="Times New Roman" w:cs="Times New Roman"/>
                <w:color w:val="000000"/>
                <w:sz w:val="24"/>
                <w:lang w:val="en-US" w:eastAsia="zh-CN"/>
              </w:rPr>
              <w:t>1）</w:t>
            </w:r>
            <w:r>
              <w:rPr>
                <w:rFonts w:hint="eastAsia"/>
                <w:color w:val="auto"/>
                <w:sz w:val="24"/>
                <w:lang w:val="en-US" w:eastAsia="zh-CN"/>
              </w:rPr>
              <w:t>实</w:t>
            </w:r>
            <w:r>
              <w:rPr>
                <w:rFonts w:hint="eastAsia"/>
                <w:color w:val="auto"/>
                <w:sz w:val="24"/>
              </w:rPr>
              <w:t>验废液</w:t>
            </w:r>
          </w:p>
          <w:p w14:paraId="1A9FDC71">
            <w:pPr>
              <w:adjustRightInd w:val="0"/>
              <w:snapToGrid w:val="0"/>
              <w:spacing w:line="360" w:lineRule="auto"/>
              <w:ind w:firstLine="480" w:firstLineChars="200"/>
              <w:jc w:val="left"/>
              <w:rPr>
                <w:rFonts w:hint="eastAsia" w:ascii="Times New Roman" w:hAnsi="Times New Roman" w:eastAsia="宋体" w:cs="Times New Roman"/>
                <w:color w:val="000000"/>
                <w:sz w:val="24"/>
                <w:lang w:val="en-US" w:eastAsia="zh-CN"/>
              </w:rPr>
            </w:pPr>
            <w:r>
              <w:rPr>
                <w:rFonts w:hAnsi="宋体"/>
                <w:color w:val="auto"/>
                <w:sz w:val="24"/>
              </w:rPr>
              <w:t>本项目运行过程中会产生</w:t>
            </w:r>
            <w:r>
              <w:rPr>
                <w:rFonts w:hint="eastAsia" w:hAnsi="宋体"/>
                <w:color w:val="auto"/>
                <w:sz w:val="24"/>
                <w:lang w:val="en-US" w:eastAsia="zh-CN"/>
              </w:rPr>
              <w:t>实</w:t>
            </w:r>
            <w:r>
              <w:rPr>
                <w:rFonts w:hint="eastAsia" w:hAnsi="宋体"/>
                <w:color w:val="auto"/>
                <w:sz w:val="24"/>
              </w:rPr>
              <w:t>验</w:t>
            </w:r>
            <w:r>
              <w:rPr>
                <w:rFonts w:hAnsi="宋体"/>
                <w:color w:val="auto"/>
                <w:sz w:val="24"/>
              </w:rPr>
              <w:t>废液</w:t>
            </w:r>
            <w:r>
              <w:rPr>
                <w:rFonts w:hint="eastAsia" w:hAnsi="宋体"/>
                <w:color w:val="auto"/>
                <w:sz w:val="24"/>
              </w:rPr>
              <w:t>（含实验器皿前两次清洗废液）。</w:t>
            </w:r>
            <w:r>
              <w:rPr>
                <w:rFonts w:hint="eastAsia" w:hAnsi="宋体"/>
                <w:color w:val="auto"/>
                <w:sz w:val="24"/>
                <w:lang w:val="en-US" w:eastAsia="zh-CN"/>
              </w:rPr>
              <w:t>实</w:t>
            </w:r>
            <w:r>
              <w:rPr>
                <w:rFonts w:hint="eastAsia" w:hAnsi="宋体"/>
                <w:color w:val="auto"/>
                <w:sz w:val="24"/>
              </w:rPr>
              <w:t>验</w:t>
            </w:r>
            <w:r>
              <w:rPr>
                <w:rFonts w:hAnsi="宋体"/>
                <w:color w:val="auto"/>
                <w:sz w:val="24"/>
              </w:rPr>
              <w:t>废液中含有</w:t>
            </w:r>
            <w:r>
              <w:rPr>
                <w:rFonts w:hint="eastAsia"/>
                <w:sz w:val="24"/>
                <w:lang w:val="en-US" w:eastAsia="zh-CN"/>
              </w:rPr>
              <w:t>无机废液、钯盐、醇</w:t>
            </w:r>
            <w:r>
              <w:rPr>
                <w:rFonts w:hAnsi="宋体"/>
                <w:color w:val="auto"/>
                <w:sz w:val="24"/>
              </w:rPr>
              <w:t>等物质，根据《国家危险废物名录》（</w:t>
            </w:r>
            <w:r>
              <w:rPr>
                <w:color w:val="auto"/>
                <w:sz w:val="24"/>
              </w:rPr>
              <w:t>202</w:t>
            </w:r>
            <w:r>
              <w:rPr>
                <w:rFonts w:hint="eastAsia"/>
                <w:color w:val="auto"/>
                <w:sz w:val="24"/>
              </w:rPr>
              <w:t>5</w:t>
            </w:r>
            <w:r>
              <w:rPr>
                <w:rFonts w:hAnsi="宋体"/>
                <w:color w:val="auto"/>
                <w:sz w:val="24"/>
              </w:rPr>
              <w:t>年版）中规定，</w:t>
            </w:r>
            <w:r>
              <w:rPr>
                <w:rFonts w:hint="eastAsia" w:hAnsi="宋体"/>
                <w:color w:val="auto"/>
                <w:sz w:val="24"/>
                <w:lang w:val="en-US" w:eastAsia="zh-CN"/>
              </w:rPr>
              <w:t>实</w:t>
            </w:r>
            <w:r>
              <w:rPr>
                <w:rFonts w:hint="eastAsia" w:hAnsi="宋体"/>
                <w:color w:val="auto"/>
                <w:sz w:val="24"/>
              </w:rPr>
              <w:t>验</w:t>
            </w:r>
            <w:r>
              <w:rPr>
                <w:rFonts w:hAnsi="宋体"/>
                <w:color w:val="auto"/>
                <w:sz w:val="24"/>
              </w:rPr>
              <w:t>废液应属于危险废物，废物类别为</w:t>
            </w:r>
            <w:r>
              <w:rPr>
                <w:rFonts w:hint="eastAsia"/>
                <w:color w:val="auto"/>
                <w:sz w:val="24"/>
              </w:rPr>
              <w:t>“</w:t>
            </w:r>
            <w:r>
              <w:rPr>
                <w:color w:val="auto"/>
                <w:sz w:val="24"/>
              </w:rPr>
              <w:t>HW49 900-047-49</w:t>
            </w:r>
            <w:r>
              <w:rPr>
                <w:rFonts w:hint="eastAsia"/>
                <w:color w:val="auto"/>
                <w:sz w:val="24"/>
              </w:rPr>
              <w:t>”</w:t>
            </w:r>
            <w:r>
              <w:rPr>
                <w:rFonts w:hAnsi="宋体"/>
                <w:color w:val="auto"/>
                <w:sz w:val="24"/>
              </w:rPr>
              <w:t>，建设单位应将其委托有资质单位进行处理。</w:t>
            </w:r>
            <w:r>
              <w:rPr>
                <w:rFonts w:hint="eastAsia" w:hAnsi="宋体"/>
                <w:color w:val="auto"/>
                <w:sz w:val="24"/>
              </w:rPr>
              <w:t>根据核算，企业预估</w:t>
            </w:r>
            <w:r>
              <w:rPr>
                <w:rFonts w:hint="eastAsia" w:hAnsi="宋体"/>
                <w:color w:val="auto"/>
                <w:sz w:val="24"/>
                <w:lang w:val="en-US" w:eastAsia="zh-CN"/>
              </w:rPr>
              <w:t>实验</w:t>
            </w:r>
            <w:r>
              <w:rPr>
                <w:rFonts w:hint="eastAsia" w:hAnsi="宋体"/>
                <w:color w:val="auto"/>
                <w:sz w:val="24"/>
              </w:rPr>
              <w:t>废液产生量</w:t>
            </w:r>
            <w:r>
              <w:rPr>
                <w:rFonts w:hint="eastAsia" w:ascii="Times New Roman" w:hAnsi="Times New Roman" w:eastAsia="宋体" w:cs="Times New Roman"/>
                <w:color w:val="000000"/>
                <w:sz w:val="24"/>
                <w:lang w:val="en-US" w:eastAsia="zh-CN"/>
              </w:rPr>
              <w:t>为</w:t>
            </w:r>
            <w:r>
              <w:rPr>
                <w:rFonts w:hint="eastAsia" w:cs="Times New Roman"/>
                <w:color w:val="000000"/>
                <w:sz w:val="24"/>
                <w:lang w:val="en-US" w:eastAsia="zh-CN"/>
              </w:rPr>
              <w:t>4.59</w:t>
            </w:r>
            <w:r>
              <w:rPr>
                <w:rFonts w:hint="eastAsia" w:ascii="Times New Roman" w:hAnsi="Times New Roman" w:eastAsia="宋体" w:cs="Times New Roman"/>
                <w:color w:val="000000"/>
                <w:sz w:val="24"/>
                <w:lang w:val="en-US" w:eastAsia="zh-CN"/>
              </w:rPr>
              <w:t>t/a。</w:t>
            </w:r>
          </w:p>
          <w:p w14:paraId="70D140A4">
            <w:pPr>
              <w:adjustRightInd w:val="0"/>
              <w:snapToGrid w:val="0"/>
              <w:spacing w:line="360" w:lineRule="auto"/>
              <w:ind w:firstLine="480" w:firstLineChars="200"/>
              <w:jc w:val="left"/>
              <w:rPr>
                <w:rFonts w:hint="eastAsia"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2）废试剂瓶</w:t>
            </w:r>
          </w:p>
          <w:p w14:paraId="3B8AA8BA">
            <w:pPr>
              <w:adjustRightInd w:val="0"/>
              <w:snapToGrid w:val="0"/>
              <w:spacing w:line="360" w:lineRule="auto"/>
              <w:ind w:firstLine="480" w:firstLineChars="200"/>
              <w:jc w:val="left"/>
              <w:rPr>
                <w:rFonts w:hint="eastAsia"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实验室运行过程中产生的废弃试剂瓶会沾染有机溶剂、钯盐、醇等物质，根据《国家危险废物名录》（2025年版）中规定，废试剂瓶应属于危险废物，废物类别为“HW49 900-047-49”，建设单位应将其委托有资质单位进行处理。</w:t>
            </w:r>
            <w:r>
              <w:rPr>
                <w:rFonts w:hint="default" w:ascii="Times New Roman" w:hAnsi="Times New Roman" w:eastAsia="宋体" w:cs="Times New Roman"/>
                <w:bCs/>
                <w:color w:val="000000"/>
                <w:kern w:val="0"/>
                <w:sz w:val="24"/>
                <w:szCs w:val="20"/>
                <w:lang w:val="en-US" w:eastAsia="zh-CN"/>
              </w:rPr>
              <w:t>根据建设单位提供的资料，</w:t>
            </w:r>
            <w:r>
              <w:rPr>
                <w:rFonts w:hint="eastAsia" w:ascii="Times New Roman" w:hAnsi="Times New Roman" w:eastAsia="宋体" w:cs="Times New Roman"/>
                <w:color w:val="000000"/>
                <w:sz w:val="24"/>
                <w:lang w:val="en-US" w:eastAsia="zh-CN"/>
              </w:rPr>
              <w:t>废试剂瓶的产生量约为0.02t/a。</w:t>
            </w:r>
          </w:p>
          <w:p w14:paraId="5DFE6920">
            <w:pPr>
              <w:numPr>
                <w:ilvl w:val="0"/>
                <w:numId w:val="12"/>
              </w:numPr>
              <w:spacing w:line="360" w:lineRule="auto"/>
              <w:ind w:firstLine="480" w:firstLineChars="200"/>
              <w:rPr>
                <w:rFonts w:hint="default" w:ascii="Times New Roman" w:hAnsi="Times New Roman" w:eastAsia="宋体" w:cs="Times New Roman"/>
                <w:color w:val="000000"/>
                <w:kern w:val="0"/>
                <w:sz w:val="24"/>
                <w:szCs w:val="22"/>
              </w:rPr>
            </w:pPr>
            <w:r>
              <w:rPr>
                <w:rFonts w:hint="default" w:ascii="Times New Roman" w:hAnsi="Times New Roman" w:cs="Times New Roman"/>
                <w:color w:val="000000"/>
                <w:sz w:val="24"/>
              </w:rPr>
              <w:t>废活性炭：</w:t>
            </w:r>
            <w:r>
              <w:rPr>
                <w:rFonts w:hint="default" w:ascii="Times New Roman" w:hAnsi="Times New Roman" w:eastAsia="宋体" w:cs="Times New Roman"/>
                <w:color w:val="000000"/>
                <w:kern w:val="0"/>
                <w:sz w:val="24"/>
                <w:szCs w:val="22"/>
                <w:lang w:val="en-US" w:eastAsia="zh-CN"/>
              </w:rPr>
              <w:t>根据建设单位提供资料，项目运营过程中会产生废活性炭，</w:t>
            </w:r>
            <w:r>
              <w:rPr>
                <w:rFonts w:hint="default" w:ascii="Times New Roman" w:hAnsi="Times New Roman" w:eastAsia="宋体" w:cs="Times New Roman"/>
                <w:color w:val="000000"/>
                <w:kern w:val="0"/>
                <w:sz w:val="24"/>
                <w:szCs w:val="24"/>
                <w:highlight w:val="none"/>
              </w:rPr>
              <w:t>根据《现代涂装手册》（化学工业出版社，2010年出版），活性炭对有机废气等各成分的吸附量约为0.25g废气/1g活性炭。根据工程分析，本项目活性炭吸附装置处理非甲烷总烃为</w:t>
            </w:r>
            <w:r>
              <w:rPr>
                <w:rFonts w:hint="eastAsia" w:cs="Times New Roman"/>
                <w:color w:val="000000"/>
                <w:kern w:val="0"/>
                <w:sz w:val="24"/>
                <w:szCs w:val="24"/>
                <w:highlight w:val="none"/>
                <w:lang w:val="en-US" w:eastAsia="zh-CN"/>
              </w:rPr>
              <w:t>1.045</w:t>
            </w:r>
            <w:r>
              <w:rPr>
                <w:rFonts w:hint="default" w:ascii="Times New Roman" w:hAnsi="Times New Roman" w:eastAsia="宋体" w:cs="Times New Roman"/>
                <w:color w:val="000000"/>
                <w:kern w:val="0"/>
                <w:sz w:val="24"/>
                <w:szCs w:val="24"/>
                <w:highlight w:val="none"/>
              </w:rPr>
              <w:t>t/a，则吸附非甲烷总烃理论上所需活性炭为</w:t>
            </w:r>
            <w:r>
              <w:rPr>
                <w:rFonts w:hint="eastAsia" w:cs="Times New Roman"/>
                <w:color w:val="000000"/>
                <w:kern w:val="0"/>
                <w:sz w:val="24"/>
                <w:szCs w:val="24"/>
                <w:highlight w:val="none"/>
                <w:lang w:val="en-US" w:eastAsia="zh-CN"/>
              </w:rPr>
              <w:t>4.18</w:t>
            </w:r>
            <w:r>
              <w:rPr>
                <w:rFonts w:hint="default" w:ascii="Times New Roman" w:hAnsi="Times New Roman" w:eastAsia="宋体" w:cs="Times New Roman"/>
                <w:color w:val="000000"/>
                <w:kern w:val="0"/>
                <w:sz w:val="24"/>
                <w:szCs w:val="24"/>
                <w:highlight w:val="none"/>
              </w:rPr>
              <w:t>t/a，废活性炭产生</w:t>
            </w:r>
            <w:r>
              <w:rPr>
                <w:rFonts w:hint="default" w:ascii="Times New Roman" w:hAnsi="Times New Roman" w:eastAsia="宋体" w:cs="Times New Roman"/>
                <w:color w:val="000000"/>
                <w:kern w:val="0"/>
                <w:sz w:val="24"/>
                <w:szCs w:val="24"/>
                <w:highlight w:val="none"/>
                <w:lang w:val="en-US" w:eastAsia="zh-CN"/>
              </w:rPr>
              <w:t>量为</w:t>
            </w:r>
            <w:r>
              <w:rPr>
                <w:rFonts w:hint="eastAsia" w:cs="Times New Roman"/>
                <w:color w:val="000000"/>
                <w:kern w:val="0"/>
                <w:sz w:val="24"/>
                <w:szCs w:val="24"/>
                <w:highlight w:val="none"/>
                <w:lang w:val="en-US" w:eastAsia="zh-CN"/>
              </w:rPr>
              <w:t>5.225</w:t>
            </w:r>
            <w:r>
              <w:rPr>
                <w:rFonts w:hint="default" w:ascii="Times New Roman" w:hAnsi="Times New Roman" w:eastAsia="宋体" w:cs="Times New Roman"/>
                <w:color w:val="000000"/>
                <w:kern w:val="0"/>
                <w:sz w:val="24"/>
                <w:szCs w:val="24"/>
                <w:highlight w:val="none"/>
              </w:rPr>
              <w:t>t/a</w:t>
            </w:r>
            <w:r>
              <w:rPr>
                <w:rFonts w:hint="default" w:ascii="Times New Roman" w:hAnsi="Times New Roman" w:eastAsia="宋体" w:cs="Times New Roman"/>
                <w:color w:val="000000"/>
                <w:kern w:val="0"/>
                <w:sz w:val="24"/>
                <w:szCs w:val="24"/>
                <w:highlight w:val="none"/>
                <w:lang w:eastAsia="zh-CN"/>
              </w:rPr>
              <w:t>。</w:t>
            </w:r>
            <w:r>
              <w:rPr>
                <w:rFonts w:hint="default" w:ascii="Times New Roman" w:hAnsi="Times New Roman" w:eastAsia="宋体" w:cs="Times New Roman"/>
                <w:color w:val="000000"/>
                <w:sz w:val="24"/>
                <w:highlight w:val="none"/>
              </w:rPr>
              <w:t>根据《国家危险废物名录》（202</w:t>
            </w:r>
            <w:r>
              <w:rPr>
                <w:rFonts w:hint="default" w:ascii="Times New Roman" w:hAnsi="Times New Roman" w:eastAsia="宋体" w:cs="Times New Roman"/>
                <w:color w:val="000000"/>
                <w:sz w:val="24"/>
                <w:highlight w:val="none"/>
                <w:lang w:val="en-US" w:eastAsia="zh-CN"/>
              </w:rPr>
              <w:t>5</w:t>
            </w:r>
            <w:r>
              <w:rPr>
                <w:rFonts w:hint="default" w:ascii="Times New Roman" w:hAnsi="Times New Roman" w:eastAsia="宋体" w:cs="Times New Roman"/>
                <w:color w:val="000000"/>
                <w:sz w:val="24"/>
                <w:highlight w:val="none"/>
              </w:rPr>
              <w:t>年），属于</w:t>
            </w:r>
            <w:r>
              <w:rPr>
                <w:rFonts w:hint="default" w:ascii="Times New Roman" w:hAnsi="Times New Roman" w:eastAsia="宋体" w:cs="Times New Roman"/>
                <w:color w:val="000000"/>
                <w:sz w:val="24"/>
                <w:highlight w:val="none"/>
                <w:lang w:val="en-US" w:eastAsia="zh-CN"/>
              </w:rPr>
              <w:t>危险废物（类别为HW49其他废物，</w:t>
            </w:r>
            <w:r>
              <w:rPr>
                <w:rFonts w:hint="default" w:ascii="Times New Roman" w:hAnsi="Times New Roman" w:cs="Times New Roman"/>
                <w:color w:val="000000"/>
                <w:sz w:val="24"/>
                <w:highlight w:val="none"/>
              </w:rPr>
              <w:t>VOCs治理过程产生的废活性炭</w:t>
            </w:r>
            <w:r>
              <w:rPr>
                <w:rFonts w:hint="default" w:ascii="Times New Roman" w:hAnsi="Times New Roman" w:cs="Times New Roman"/>
                <w:color w:val="000000"/>
                <w:sz w:val="24"/>
                <w:highlight w:val="none"/>
                <w:lang w:eastAsia="zh-CN"/>
              </w:rPr>
              <w:t>，</w:t>
            </w:r>
            <w:r>
              <w:rPr>
                <w:rFonts w:hint="default" w:ascii="Times New Roman" w:hAnsi="Times New Roman" w:cs="Times New Roman"/>
                <w:color w:val="000000"/>
                <w:sz w:val="24"/>
                <w:highlight w:val="none"/>
                <w:lang w:val="en-US" w:eastAsia="zh-CN"/>
              </w:rPr>
              <w:t>代码为</w:t>
            </w:r>
            <w:r>
              <w:rPr>
                <w:rFonts w:hint="default" w:ascii="Times New Roman" w:hAnsi="Times New Roman" w:cs="Times New Roman"/>
                <w:color w:val="000000"/>
                <w:sz w:val="24"/>
                <w:highlight w:val="none"/>
              </w:rPr>
              <w:t>900-0</w:t>
            </w:r>
            <w:r>
              <w:rPr>
                <w:rFonts w:hint="default" w:ascii="Times New Roman" w:hAnsi="Times New Roman" w:eastAsia="宋体" w:cs="Times New Roman"/>
                <w:color w:val="000000"/>
                <w:sz w:val="24"/>
                <w:highlight w:val="none"/>
              </w:rPr>
              <w:t>39</w:t>
            </w:r>
            <w:r>
              <w:rPr>
                <w:rFonts w:hint="default" w:ascii="Times New Roman" w:hAnsi="Times New Roman" w:cs="Times New Roman"/>
                <w:color w:val="000000"/>
                <w:sz w:val="24"/>
                <w:highlight w:val="none"/>
              </w:rPr>
              <w:t>-49</w:t>
            </w:r>
            <w:r>
              <w:rPr>
                <w:rFonts w:hint="default" w:ascii="Times New Roman" w:hAnsi="Times New Roman" w:eastAsia="宋体" w:cs="Times New Roman"/>
                <w:color w:val="000000"/>
                <w:sz w:val="24"/>
                <w:highlight w:val="none"/>
                <w:lang w:val="en-US" w:eastAsia="zh-CN"/>
              </w:rPr>
              <w:t>）</w:t>
            </w:r>
            <w:r>
              <w:rPr>
                <w:rFonts w:hint="default" w:ascii="Times New Roman" w:hAnsi="Times New Roman" w:eastAsia="宋体" w:cs="Times New Roman"/>
                <w:color w:val="000000"/>
                <w:sz w:val="24"/>
                <w:highlight w:val="none"/>
                <w:lang w:eastAsia="zh-CN"/>
              </w:rPr>
              <w:t>。</w:t>
            </w:r>
            <w:r>
              <w:rPr>
                <w:rFonts w:hint="default" w:ascii="Times New Roman" w:hAnsi="Times New Roman" w:eastAsia="宋体" w:cs="Times New Roman"/>
                <w:color w:val="000000"/>
                <w:kern w:val="0"/>
                <w:sz w:val="24"/>
                <w:szCs w:val="22"/>
              </w:rPr>
              <w:t>统一收集后交由有资质单位统一收集处理。</w:t>
            </w:r>
          </w:p>
          <w:p w14:paraId="3D1A5AB0">
            <w:pPr>
              <w:numPr>
                <w:ilvl w:val="0"/>
                <w:numId w:val="0"/>
              </w:numPr>
              <w:spacing w:line="360" w:lineRule="auto"/>
              <w:ind w:firstLine="480" w:firstLineChars="200"/>
              <w:rPr>
                <w:rFonts w:hint="default" w:ascii="Times New Roman" w:hAnsi="Times New Roman" w:cs="Times New Roman"/>
                <w:color w:val="000000"/>
                <w:sz w:val="24"/>
                <w:highlight w:val="none"/>
                <w:lang w:val="en-US" w:eastAsia="zh-CN"/>
              </w:rPr>
            </w:pPr>
            <w:r>
              <w:rPr>
                <w:rFonts w:hint="eastAsia"/>
                <w:color w:val="auto"/>
                <w:sz w:val="24"/>
              </w:rPr>
              <w:t>根据《西安市生态环境局关于加强挥发性有机物活性炭吸附处理设施运行管理工作的通知》（市环发（2022）65号），</w:t>
            </w:r>
            <w:r>
              <w:rPr>
                <w:rFonts w:hint="eastAsia"/>
                <w:color w:val="auto"/>
                <w:sz w:val="24"/>
                <w:lang w:val="en-US" w:eastAsia="zh-CN"/>
              </w:rPr>
              <w:t>采用蜂窝活性炭的</w:t>
            </w:r>
            <w:r>
              <w:rPr>
                <w:rFonts w:hint="eastAsia"/>
                <w:color w:val="auto"/>
                <w:sz w:val="24"/>
              </w:rPr>
              <w:t>碘</w:t>
            </w:r>
            <w:r>
              <w:rPr>
                <w:rFonts w:hint="eastAsia"/>
                <w:color w:val="auto"/>
                <w:sz w:val="24"/>
                <w:lang w:val="en-US" w:eastAsia="zh-CN"/>
              </w:rPr>
              <w:t>吸附</w:t>
            </w:r>
            <w:r>
              <w:rPr>
                <w:rFonts w:hint="eastAsia"/>
                <w:color w:val="auto"/>
                <w:sz w:val="24"/>
              </w:rPr>
              <w:t>值不低于</w:t>
            </w:r>
            <w:r>
              <w:rPr>
                <w:rFonts w:hint="eastAsia"/>
                <w:color w:val="auto"/>
                <w:sz w:val="24"/>
                <w:lang w:val="en-US" w:eastAsia="zh-CN"/>
              </w:rPr>
              <w:t>6</w:t>
            </w:r>
            <w:r>
              <w:rPr>
                <w:rFonts w:hint="eastAsia"/>
                <w:color w:val="auto"/>
                <w:sz w:val="24"/>
              </w:rPr>
              <w:t>00mg/g，并按设计要求足量添加、及时更换。根据文件要求，活性炭原则上更换周期不应超过累计运行500小时或3个月（从严执行），本项目活性炭拟定3个月更换一次，则年更换四次。</w:t>
            </w:r>
          </w:p>
          <w:p w14:paraId="6A7A12FA">
            <w:pPr>
              <w:numPr>
                <w:ilvl w:val="0"/>
                <w:numId w:val="0"/>
              </w:numPr>
              <w:adjustRightInd w:val="0"/>
              <w:snapToGrid w:val="0"/>
              <w:spacing w:line="360" w:lineRule="auto"/>
              <w:ind w:firstLine="480" w:firstLineChars="200"/>
              <w:rPr>
                <w:rFonts w:hint="default" w:ascii="Times New Roman" w:hAnsi="Times New Roman" w:cs="Times New Roman"/>
                <w:b w:val="0"/>
                <w:bCs/>
                <w:spacing w:val="0"/>
                <w:sz w:val="24"/>
                <w:szCs w:val="24"/>
                <w:lang w:val="en-US" w:eastAsia="zh-CN"/>
              </w:rPr>
            </w:pPr>
            <w:r>
              <w:rPr>
                <w:rFonts w:hint="default" w:ascii="Times New Roman" w:hAnsi="Times New Roman" w:cs="Times New Roman"/>
                <w:b w:val="0"/>
                <w:bCs/>
                <w:spacing w:val="0"/>
                <w:sz w:val="24"/>
                <w:szCs w:val="24"/>
                <w:lang w:val="en-US" w:eastAsia="zh-CN"/>
              </w:rPr>
              <w:t>本项目固体废物产生量及利用处置情况见下表。</w:t>
            </w:r>
          </w:p>
          <w:p w14:paraId="5E90D8E0">
            <w:pPr>
              <w:numPr>
                <w:ilvl w:val="0"/>
                <w:numId w:val="0"/>
              </w:numPr>
              <w:adjustRightInd w:val="0"/>
              <w:snapToGrid w:val="0"/>
              <w:spacing w:line="240" w:lineRule="auto"/>
              <w:jc w:val="center"/>
              <w:rPr>
                <w:rFonts w:hint="default" w:ascii="Times New Roman" w:hAnsi="Times New Roman" w:eastAsia="宋体" w:cs="Times New Roman"/>
                <w:b/>
                <w:color w:val="000000"/>
                <w:kern w:val="0"/>
                <w:sz w:val="24"/>
                <w:szCs w:val="24"/>
                <w:lang w:val="en-US" w:eastAsia="zh-CN"/>
              </w:rPr>
            </w:pPr>
            <w:r>
              <w:rPr>
                <w:rFonts w:hint="default" w:ascii="Times New Roman" w:hAnsi="Times New Roman" w:eastAsia="宋体" w:cs="Times New Roman"/>
                <w:b/>
                <w:color w:val="000000"/>
                <w:kern w:val="0"/>
                <w:sz w:val="24"/>
                <w:szCs w:val="24"/>
              </w:rPr>
              <w:t>表</w:t>
            </w:r>
            <w:r>
              <w:rPr>
                <w:rFonts w:hint="default" w:ascii="Times New Roman" w:hAnsi="Times New Roman" w:eastAsia="宋体" w:cs="Times New Roman"/>
                <w:b/>
                <w:color w:val="000000"/>
                <w:kern w:val="0"/>
                <w:sz w:val="24"/>
                <w:szCs w:val="24"/>
                <w:lang w:val="en-US" w:eastAsia="zh-CN"/>
              </w:rPr>
              <w:t>4-1</w:t>
            </w:r>
            <w:r>
              <w:rPr>
                <w:rFonts w:hint="eastAsia" w:ascii="Times New Roman" w:hAnsi="Times New Roman" w:eastAsia="宋体" w:cs="Times New Roman"/>
                <w:b/>
                <w:color w:val="000000"/>
                <w:kern w:val="0"/>
                <w:sz w:val="24"/>
                <w:szCs w:val="24"/>
                <w:lang w:val="en-US" w:eastAsia="zh-CN"/>
              </w:rPr>
              <w:t>3</w:t>
            </w:r>
            <w:r>
              <w:rPr>
                <w:rFonts w:hint="default" w:ascii="Times New Roman" w:hAnsi="Times New Roman" w:eastAsia="宋体" w:cs="Times New Roman"/>
                <w:b/>
                <w:color w:val="000000"/>
                <w:kern w:val="0"/>
                <w:sz w:val="24"/>
                <w:szCs w:val="24"/>
                <w:lang w:val="en-US" w:eastAsia="zh-CN"/>
              </w:rPr>
              <w:t xml:space="preserve">  固体废物产生量及利用处置情况一览表</w:t>
            </w:r>
          </w:p>
          <w:tbl>
            <w:tblPr>
              <w:tblStyle w:val="26"/>
              <w:tblW w:w="499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24"/>
              <w:gridCol w:w="932"/>
              <w:gridCol w:w="644"/>
              <w:gridCol w:w="1267"/>
              <w:gridCol w:w="1027"/>
              <w:gridCol w:w="999"/>
              <w:gridCol w:w="804"/>
              <w:gridCol w:w="717"/>
              <w:gridCol w:w="1397"/>
            </w:tblGrid>
            <w:tr w14:paraId="7C48B7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8" w:type="pct"/>
                  <w:tcBorders>
                    <w:tl2br w:val="nil"/>
                    <w:tr2bl w:val="nil"/>
                  </w:tcBorders>
                  <w:noWrap w:val="0"/>
                  <w:vAlign w:val="center"/>
                </w:tcPr>
                <w:p w14:paraId="562965F9">
                  <w:pPr>
                    <w:pStyle w:val="67"/>
                    <w:ind w:right="34"/>
                    <w:jc w:val="center"/>
                    <w:rPr>
                      <w:rFonts w:ascii="Times New Roman" w:hAnsi="Times New Roman"/>
                      <w:b/>
                      <w:bCs/>
                      <w:color w:val="auto"/>
                      <w:sz w:val="21"/>
                      <w:szCs w:val="21"/>
                    </w:rPr>
                  </w:pPr>
                  <w:r>
                    <w:rPr>
                      <w:rFonts w:ascii="Times New Roman" w:hAnsi="Times New Roman"/>
                      <w:b/>
                      <w:bCs/>
                      <w:color w:val="auto"/>
                      <w:sz w:val="21"/>
                      <w:szCs w:val="21"/>
                    </w:rPr>
                    <w:t>序号</w:t>
                  </w:r>
                </w:p>
              </w:tc>
              <w:tc>
                <w:tcPr>
                  <w:tcW w:w="567" w:type="pct"/>
                  <w:tcBorders>
                    <w:tl2br w:val="nil"/>
                    <w:tr2bl w:val="nil"/>
                  </w:tcBorders>
                  <w:noWrap w:val="0"/>
                  <w:vAlign w:val="center"/>
                </w:tcPr>
                <w:p w14:paraId="5D5A553A">
                  <w:pPr>
                    <w:pStyle w:val="67"/>
                    <w:ind w:left="43" w:right="34"/>
                    <w:jc w:val="center"/>
                    <w:rPr>
                      <w:rFonts w:ascii="Times New Roman" w:hAnsi="Times New Roman"/>
                      <w:b/>
                      <w:bCs/>
                      <w:color w:val="auto"/>
                      <w:sz w:val="21"/>
                      <w:szCs w:val="21"/>
                    </w:rPr>
                  </w:pPr>
                  <w:r>
                    <w:rPr>
                      <w:rFonts w:ascii="Times New Roman" w:hAnsi="Times New Roman"/>
                      <w:b/>
                      <w:bCs/>
                      <w:color w:val="auto"/>
                      <w:sz w:val="21"/>
                      <w:szCs w:val="21"/>
                    </w:rPr>
                    <w:t>固体废物名称</w:t>
                  </w:r>
                </w:p>
              </w:tc>
              <w:tc>
                <w:tcPr>
                  <w:tcW w:w="392" w:type="pct"/>
                  <w:tcBorders>
                    <w:tl2br w:val="nil"/>
                    <w:tr2bl w:val="nil"/>
                  </w:tcBorders>
                  <w:noWrap w:val="0"/>
                  <w:vAlign w:val="center"/>
                </w:tcPr>
                <w:p w14:paraId="1DFA042B">
                  <w:pPr>
                    <w:pStyle w:val="67"/>
                    <w:ind w:left="43" w:right="34"/>
                    <w:jc w:val="center"/>
                    <w:rPr>
                      <w:rFonts w:hint="eastAsia" w:ascii="Times New Roman" w:hAnsi="Times New Roman" w:eastAsia="宋体"/>
                      <w:b/>
                      <w:bCs/>
                      <w:color w:val="auto"/>
                      <w:sz w:val="21"/>
                      <w:szCs w:val="21"/>
                      <w:lang w:eastAsia="zh-CN"/>
                    </w:rPr>
                  </w:pPr>
                  <w:r>
                    <w:rPr>
                      <w:rFonts w:hint="eastAsia" w:ascii="Times New Roman" w:hAnsi="Times New Roman"/>
                      <w:b/>
                      <w:bCs/>
                      <w:color w:val="auto"/>
                      <w:sz w:val="21"/>
                      <w:szCs w:val="21"/>
                      <w:lang w:val="en-US" w:eastAsia="zh-CN"/>
                    </w:rPr>
                    <w:t>属性</w:t>
                  </w:r>
                </w:p>
              </w:tc>
              <w:tc>
                <w:tcPr>
                  <w:tcW w:w="771" w:type="pct"/>
                  <w:tcBorders>
                    <w:tl2br w:val="nil"/>
                    <w:tr2bl w:val="nil"/>
                  </w:tcBorders>
                  <w:noWrap w:val="0"/>
                  <w:vAlign w:val="center"/>
                </w:tcPr>
                <w:p w14:paraId="6344995C">
                  <w:pPr>
                    <w:pStyle w:val="67"/>
                    <w:ind w:left="43" w:right="34"/>
                    <w:jc w:val="center"/>
                    <w:rPr>
                      <w:rFonts w:ascii="Times New Roman" w:hAnsi="Times New Roman"/>
                      <w:b/>
                      <w:bCs/>
                      <w:color w:val="auto"/>
                      <w:sz w:val="21"/>
                      <w:szCs w:val="21"/>
                    </w:rPr>
                  </w:pPr>
                  <w:r>
                    <w:rPr>
                      <w:rFonts w:ascii="Times New Roman" w:hAnsi="Times New Roman"/>
                      <w:b/>
                      <w:bCs/>
                      <w:color w:val="auto"/>
                      <w:sz w:val="21"/>
                      <w:szCs w:val="21"/>
                    </w:rPr>
                    <w:t>代码</w:t>
                  </w:r>
                </w:p>
              </w:tc>
              <w:tc>
                <w:tcPr>
                  <w:tcW w:w="625" w:type="pct"/>
                  <w:tcBorders>
                    <w:tl2br w:val="nil"/>
                    <w:tr2bl w:val="nil"/>
                  </w:tcBorders>
                  <w:noWrap w:val="0"/>
                  <w:vAlign w:val="center"/>
                </w:tcPr>
                <w:p w14:paraId="71AECF5A">
                  <w:pPr>
                    <w:pStyle w:val="67"/>
                    <w:ind w:left="43" w:right="34"/>
                    <w:jc w:val="center"/>
                    <w:rPr>
                      <w:rFonts w:ascii="Times New Roman" w:hAnsi="Times New Roman"/>
                      <w:b/>
                      <w:bCs/>
                      <w:color w:val="auto"/>
                      <w:sz w:val="21"/>
                      <w:szCs w:val="21"/>
                    </w:rPr>
                  </w:pPr>
                  <w:r>
                    <w:rPr>
                      <w:rFonts w:ascii="Times New Roman" w:hAnsi="Times New Roman"/>
                      <w:b/>
                      <w:bCs/>
                      <w:color w:val="auto"/>
                      <w:sz w:val="21"/>
                      <w:szCs w:val="21"/>
                    </w:rPr>
                    <w:t>产生量</w:t>
                  </w:r>
                </w:p>
                <w:p w14:paraId="509BD41D">
                  <w:pPr>
                    <w:pStyle w:val="67"/>
                    <w:ind w:left="43" w:right="34"/>
                    <w:jc w:val="center"/>
                    <w:rPr>
                      <w:rFonts w:ascii="Times New Roman" w:hAnsi="Times New Roman"/>
                      <w:b/>
                      <w:bCs/>
                      <w:color w:val="auto"/>
                      <w:sz w:val="21"/>
                      <w:szCs w:val="21"/>
                    </w:rPr>
                  </w:pPr>
                  <w:r>
                    <w:rPr>
                      <w:rFonts w:ascii="Times New Roman" w:hAnsi="Times New Roman"/>
                      <w:b/>
                      <w:bCs/>
                      <w:color w:val="auto"/>
                      <w:sz w:val="21"/>
                      <w:szCs w:val="21"/>
                    </w:rPr>
                    <w:t>（t/a）</w:t>
                  </w:r>
                </w:p>
              </w:tc>
              <w:tc>
                <w:tcPr>
                  <w:tcW w:w="608" w:type="pct"/>
                  <w:tcBorders>
                    <w:tl2br w:val="nil"/>
                    <w:tr2bl w:val="nil"/>
                  </w:tcBorders>
                  <w:noWrap w:val="0"/>
                  <w:vAlign w:val="center"/>
                </w:tcPr>
                <w:p w14:paraId="2B18AF11">
                  <w:pPr>
                    <w:pStyle w:val="67"/>
                    <w:ind w:right="34"/>
                    <w:jc w:val="center"/>
                    <w:rPr>
                      <w:rFonts w:ascii="Times New Roman" w:hAnsi="Times New Roman"/>
                      <w:b/>
                      <w:bCs/>
                      <w:color w:val="auto"/>
                      <w:sz w:val="21"/>
                      <w:szCs w:val="21"/>
                    </w:rPr>
                  </w:pPr>
                  <w:r>
                    <w:rPr>
                      <w:rFonts w:ascii="Times New Roman" w:hAnsi="Times New Roman"/>
                      <w:b/>
                      <w:bCs/>
                      <w:color w:val="auto"/>
                      <w:sz w:val="21"/>
                      <w:szCs w:val="21"/>
                    </w:rPr>
                    <w:t>生产工序及装置</w:t>
                  </w:r>
                </w:p>
              </w:tc>
              <w:tc>
                <w:tcPr>
                  <w:tcW w:w="489" w:type="pct"/>
                  <w:tcBorders>
                    <w:tl2br w:val="nil"/>
                    <w:tr2bl w:val="nil"/>
                  </w:tcBorders>
                  <w:noWrap w:val="0"/>
                  <w:vAlign w:val="center"/>
                </w:tcPr>
                <w:p w14:paraId="6E3F89DF">
                  <w:pPr>
                    <w:pStyle w:val="67"/>
                    <w:ind w:left="43" w:right="34"/>
                    <w:jc w:val="center"/>
                    <w:rPr>
                      <w:rFonts w:ascii="Times New Roman" w:hAnsi="Times New Roman"/>
                      <w:b/>
                      <w:bCs/>
                      <w:color w:val="auto"/>
                      <w:sz w:val="21"/>
                      <w:szCs w:val="21"/>
                    </w:rPr>
                  </w:pPr>
                  <w:r>
                    <w:rPr>
                      <w:rFonts w:ascii="Times New Roman" w:hAnsi="Times New Roman"/>
                      <w:b/>
                      <w:bCs/>
                      <w:color w:val="auto"/>
                      <w:sz w:val="21"/>
                      <w:szCs w:val="21"/>
                    </w:rPr>
                    <w:t>形态</w:t>
                  </w:r>
                </w:p>
              </w:tc>
              <w:tc>
                <w:tcPr>
                  <w:tcW w:w="436" w:type="pct"/>
                  <w:tcBorders>
                    <w:tl2br w:val="nil"/>
                    <w:tr2bl w:val="nil"/>
                  </w:tcBorders>
                  <w:noWrap w:val="0"/>
                  <w:vAlign w:val="center"/>
                </w:tcPr>
                <w:p w14:paraId="7C365326">
                  <w:pPr>
                    <w:pStyle w:val="67"/>
                    <w:ind w:left="43" w:right="34"/>
                    <w:jc w:val="center"/>
                    <w:rPr>
                      <w:rFonts w:ascii="Times New Roman" w:hAnsi="Times New Roman"/>
                      <w:b/>
                      <w:bCs/>
                      <w:color w:val="auto"/>
                      <w:sz w:val="21"/>
                      <w:szCs w:val="21"/>
                    </w:rPr>
                  </w:pPr>
                  <w:r>
                    <w:rPr>
                      <w:rFonts w:ascii="Times New Roman" w:hAnsi="Times New Roman"/>
                      <w:b/>
                      <w:bCs/>
                      <w:color w:val="auto"/>
                      <w:sz w:val="21"/>
                      <w:szCs w:val="21"/>
                    </w:rPr>
                    <w:t>危险特性</w:t>
                  </w:r>
                </w:p>
              </w:tc>
              <w:tc>
                <w:tcPr>
                  <w:tcW w:w="850" w:type="pct"/>
                  <w:tcBorders>
                    <w:tl2br w:val="nil"/>
                    <w:tr2bl w:val="nil"/>
                  </w:tcBorders>
                  <w:noWrap w:val="0"/>
                  <w:vAlign w:val="center"/>
                </w:tcPr>
                <w:p w14:paraId="71118007">
                  <w:pPr>
                    <w:pStyle w:val="67"/>
                    <w:ind w:left="43" w:right="34"/>
                    <w:jc w:val="center"/>
                    <w:rPr>
                      <w:rFonts w:ascii="Times New Roman" w:hAnsi="Times New Roman"/>
                      <w:b/>
                      <w:bCs/>
                      <w:color w:val="auto"/>
                      <w:sz w:val="21"/>
                      <w:szCs w:val="21"/>
                    </w:rPr>
                  </w:pPr>
                  <w:r>
                    <w:rPr>
                      <w:rFonts w:hint="eastAsia" w:ascii="Times New Roman" w:hAnsi="Times New Roman"/>
                      <w:b/>
                      <w:bCs/>
                      <w:color w:val="auto"/>
                      <w:sz w:val="21"/>
                      <w:szCs w:val="21"/>
                    </w:rPr>
                    <w:t>处置方式</w:t>
                  </w:r>
                </w:p>
              </w:tc>
            </w:tr>
            <w:tr w14:paraId="335250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8" w:type="pct"/>
                  <w:tcBorders>
                    <w:tl2br w:val="nil"/>
                    <w:tr2bl w:val="nil"/>
                  </w:tcBorders>
                  <w:noWrap w:val="0"/>
                  <w:vAlign w:val="center"/>
                </w:tcPr>
                <w:p w14:paraId="6530DB42">
                  <w:pPr>
                    <w:pStyle w:val="67"/>
                    <w:ind w:right="35" w:rightChars="0"/>
                    <w:jc w:val="center"/>
                    <w:rPr>
                      <w:rFonts w:ascii="Times New Roman" w:hAnsi="Times New Roman"/>
                      <w:color w:val="auto"/>
                      <w:kern w:val="0"/>
                      <w:sz w:val="21"/>
                      <w:szCs w:val="21"/>
                      <w:lang w:val="en-US" w:eastAsia="zh-CN" w:bidi="ar-SA"/>
                    </w:rPr>
                  </w:pPr>
                  <w:r>
                    <w:rPr>
                      <w:rFonts w:ascii="Times New Roman" w:hAnsi="Times New Roman"/>
                      <w:color w:val="auto"/>
                      <w:sz w:val="21"/>
                      <w:szCs w:val="21"/>
                    </w:rPr>
                    <w:t>1</w:t>
                  </w:r>
                </w:p>
              </w:tc>
              <w:tc>
                <w:tcPr>
                  <w:tcW w:w="567" w:type="pct"/>
                  <w:tcBorders>
                    <w:tl2br w:val="nil"/>
                    <w:tr2bl w:val="nil"/>
                  </w:tcBorders>
                  <w:noWrap w:val="0"/>
                  <w:vAlign w:val="center"/>
                </w:tcPr>
                <w:p w14:paraId="4BA3D866">
                  <w:pPr>
                    <w:pStyle w:val="67"/>
                    <w:ind w:right="35" w:rightChars="0"/>
                    <w:jc w:val="center"/>
                    <w:rPr>
                      <w:rFonts w:ascii="Times New Roman" w:hAnsi="Times New Roman"/>
                      <w:color w:val="auto"/>
                      <w:kern w:val="0"/>
                      <w:sz w:val="21"/>
                      <w:szCs w:val="21"/>
                      <w:lang w:val="en-US" w:eastAsia="zh-CN" w:bidi="ar-SA"/>
                    </w:rPr>
                  </w:pPr>
                  <w:r>
                    <w:rPr>
                      <w:rFonts w:ascii="Times New Roman" w:hAnsi="Times New Roman"/>
                      <w:color w:val="auto"/>
                      <w:sz w:val="21"/>
                      <w:szCs w:val="21"/>
                    </w:rPr>
                    <w:t>生活垃圾</w:t>
                  </w:r>
                </w:p>
              </w:tc>
              <w:tc>
                <w:tcPr>
                  <w:tcW w:w="392" w:type="pct"/>
                  <w:tcBorders>
                    <w:tl2br w:val="nil"/>
                    <w:tr2bl w:val="nil"/>
                  </w:tcBorders>
                  <w:noWrap w:val="0"/>
                  <w:vAlign w:val="center"/>
                </w:tcPr>
                <w:p w14:paraId="71616652">
                  <w:pPr>
                    <w:pStyle w:val="67"/>
                    <w:ind w:left="43" w:leftChars="0" w:right="35" w:rightChars="0"/>
                    <w:jc w:val="center"/>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sz w:val="21"/>
                      <w:szCs w:val="21"/>
                      <w:lang w:val="en-US" w:eastAsia="zh-CN"/>
                    </w:rPr>
                    <w:t>一般固废</w:t>
                  </w:r>
                </w:p>
              </w:tc>
              <w:tc>
                <w:tcPr>
                  <w:tcW w:w="771" w:type="pct"/>
                  <w:tcBorders>
                    <w:tl2br w:val="nil"/>
                    <w:tr2bl w:val="nil"/>
                  </w:tcBorders>
                  <w:noWrap w:val="0"/>
                  <w:vAlign w:val="center"/>
                </w:tcPr>
                <w:p w14:paraId="36C8B566">
                  <w:pPr>
                    <w:pStyle w:val="67"/>
                    <w:ind w:left="43" w:right="35"/>
                    <w:jc w:val="center"/>
                    <w:rPr>
                      <w:rFonts w:ascii="Times New Roman" w:hAnsi="Times New Roman"/>
                      <w:color w:val="auto"/>
                      <w:sz w:val="21"/>
                      <w:szCs w:val="21"/>
                    </w:rPr>
                  </w:pPr>
                  <w:r>
                    <w:rPr>
                      <w:rFonts w:ascii="Times New Roman" w:hAnsi="Times New Roman"/>
                      <w:color w:val="auto"/>
                      <w:sz w:val="21"/>
                      <w:szCs w:val="21"/>
                    </w:rPr>
                    <w:t>SW64</w:t>
                  </w:r>
                </w:p>
                <w:p w14:paraId="301AC207">
                  <w:pPr>
                    <w:pStyle w:val="67"/>
                    <w:ind w:left="43" w:right="34"/>
                    <w:jc w:val="center"/>
                    <w:rPr>
                      <w:rFonts w:hint="eastAsia" w:ascii="Times New Roman" w:hAnsi="Times New Roman" w:eastAsia="宋体"/>
                      <w:color w:val="auto"/>
                      <w:sz w:val="21"/>
                      <w:szCs w:val="21"/>
                      <w:lang w:eastAsia="zh-CN"/>
                    </w:rPr>
                  </w:pPr>
                  <w:r>
                    <w:rPr>
                      <w:rFonts w:ascii="Times New Roman" w:hAnsi="Times New Roman"/>
                      <w:color w:val="auto"/>
                      <w:sz w:val="21"/>
                      <w:szCs w:val="21"/>
                    </w:rPr>
                    <w:t>900-099-S64</w:t>
                  </w:r>
                </w:p>
              </w:tc>
              <w:tc>
                <w:tcPr>
                  <w:tcW w:w="625" w:type="pct"/>
                  <w:tcBorders>
                    <w:tl2br w:val="nil"/>
                    <w:tr2bl w:val="nil"/>
                  </w:tcBorders>
                  <w:noWrap w:val="0"/>
                  <w:vAlign w:val="center"/>
                </w:tcPr>
                <w:p w14:paraId="34D95C6A">
                  <w:pPr>
                    <w:pStyle w:val="67"/>
                    <w:ind w:left="43" w:right="34"/>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1.25</w:t>
                  </w:r>
                </w:p>
              </w:tc>
              <w:tc>
                <w:tcPr>
                  <w:tcW w:w="608" w:type="pct"/>
                  <w:tcBorders>
                    <w:tl2br w:val="nil"/>
                    <w:tr2bl w:val="nil"/>
                  </w:tcBorders>
                  <w:noWrap w:val="0"/>
                  <w:vAlign w:val="center"/>
                </w:tcPr>
                <w:p w14:paraId="73CFEE22">
                  <w:pPr>
                    <w:pStyle w:val="67"/>
                    <w:ind w:right="35" w:rightChars="0"/>
                    <w:jc w:val="center"/>
                    <w:rPr>
                      <w:rFonts w:ascii="Times New Roman" w:hAnsi="Times New Roman"/>
                      <w:color w:val="auto"/>
                      <w:kern w:val="0"/>
                      <w:sz w:val="21"/>
                      <w:szCs w:val="21"/>
                      <w:lang w:val="en-US" w:eastAsia="zh-CN" w:bidi="ar-SA"/>
                    </w:rPr>
                  </w:pPr>
                  <w:r>
                    <w:rPr>
                      <w:rFonts w:ascii="Times New Roman" w:hAnsi="Times New Roman"/>
                      <w:color w:val="auto"/>
                      <w:sz w:val="21"/>
                      <w:szCs w:val="21"/>
                    </w:rPr>
                    <w:t>职工生活</w:t>
                  </w:r>
                </w:p>
              </w:tc>
              <w:tc>
                <w:tcPr>
                  <w:tcW w:w="489" w:type="pct"/>
                  <w:tcBorders>
                    <w:tl2br w:val="nil"/>
                    <w:tr2bl w:val="nil"/>
                  </w:tcBorders>
                  <w:noWrap w:val="0"/>
                  <w:vAlign w:val="center"/>
                </w:tcPr>
                <w:p w14:paraId="1DA6ECE8">
                  <w:pPr>
                    <w:pStyle w:val="67"/>
                    <w:ind w:left="43" w:leftChars="0" w:right="35" w:rightChars="0"/>
                    <w:jc w:val="center"/>
                    <w:rPr>
                      <w:rFonts w:ascii="Times New Roman" w:hAnsi="Times New Roman"/>
                      <w:color w:val="auto"/>
                      <w:kern w:val="0"/>
                      <w:sz w:val="21"/>
                      <w:szCs w:val="21"/>
                      <w:lang w:val="en-US" w:eastAsia="zh-CN" w:bidi="ar-SA"/>
                    </w:rPr>
                  </w:pPr>
                  <w:r>
                    <w:rPr>
                      <w:rFonts w:ascii="Times New Roman" w:hAnsi="Times New Roman"/>
                      <w:color w:val="auto"/>
                      <w:sz w:val="21"/>
                      <w:szCs w:val="21"/>
                    </w:rPr>
                    <w:t>固态</w:t>
                  </w:r>
                </w:p>
              </w:tc>
              <w:tc>
                <w:tcPr>
                  <w:tcW w:w="436" w:type="pct"/>
                  <w:tcBorders>
                    <w:tl2br w:val="nil"/>
                    <w:tr2bl w:val="nil"/>
                  </w:tcBorders>
                  <w:noWrap w:val="0"/>
                  <w:vAlign w:val="center"/>
                </w:tcPr>
                <w:p w14:paraId="1FE1745E">
                  <w:pPr>
                    <w:pStyle w:val="67"/>
                    <w:ind w:left="43" w:leftChars="0" w:right="35" w:rightChars="0"/>
                    <w:jc w:val="center"/>
                    <w:rPr>
                      <w:rFonts w:ascii="Times New Roman" w:hAnsi="Times New Roman"/>
                      <w:color w:val="auto"/>
                      <w:kern w:val="0"/>
                      <w:sz w:val="21"/>
                      <w:szCs w:val="21"/>
                      <w:lang w:val="en-US" w:eastAsia="zh-CN" w:bidi="ar-SA"/>
                    </w:rPr>
                  </w:pPr>
                  <w:r>
                    <w:rPr>
                      <w:rFonts w:ascii="Times New Roman" w:hAnsi="Times New Roman"/>
                      <w:color w:val="auto"/>
                      <w:sz w:val="21"/>
                      <w:szCs w:val="21"/>
                    </w:rPr>
                    <w:t>/</w:t>
                  </w:r>
                </w:p>
              </w:tc>
              <w:tc>
                <w:tcPr>
                  <w:tcW w:w="850" w:type="pct"/>
                  <w:tcBorders>
                    <w:tl2br w:val="nil"/>
                    <w:tr2bl w:val="nil"/>
                  </w:tcBorders>
                  <w:noWrap w:val="0"/>
                  <w:vAlign w:val="center"/>
                </w:tcPr>
                <w:p w14:paraId="758685F6">
                  <w:pPr>
                    <w:pStyle w:val="67"/>
                    <w:ind w:left="43" w:leftChars="0" w:right="35" w:rightChars="0"/>
                    <w:jc w:val="center"/>
                    <w:rPr>
                      <w:rFonts w:hint="eastAsia" w:ascii="Times New Roman" w:hAnsi="Times New Roman"/>
                      <w:color w:val="auto"/>
                      <w:kern w:val="0"/>
                      <w:sz w:val="21"/>
                      <w:szCs w:val="21"/>
                      <w:lang w:val="en-US" w:eastAsia="zh-CN" w:bidi="ar-SA"/>
                    </w:rPr>
                  </w:pPr>
                  <w:r>
                    <w:rPr>
                      <w:rFonts w:hint="eastAsia" w:ascii="Times New Roman" w:hAnsi="Times New Roman"/>
                      <w:color w:val="auto"/>
                      <w:sz w:val="21"/>
                      <w:szCs w:val="21"/>
                    </w:rPr>
                    <w:t>分类收集交环卫部门处理</w:t>
                  </w:r>
                </w:p>
              </w:tc>
            </w:tr>
            <w:tr w14:paraId="188CA2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8" w:type="pct"/>
                  <w:tcBorders>
                    <w:tl2br w:val="nil"/>
                    <w:tr2bl w:val="nil"/>
                  </w:tcBorders>
                  <w:noWrap w:val="0"/>
                  <w:vAlign w:val="center"/>
                </w:tcPr>
                <w:p w14:paraId="619C2917">
                  <w:pPr>
                    <w:pStyle w:val="67"/>
                    <w:ind w:right="35" w:rightChars="0"/>
                    <w:jc w:val="center"/>
                    <w:rPr>
                      <w:rFonts w:ascii="Times New Roman" w:hAnsi="Times New Roman"/>
                      <w:color w:val="auto"/>
                      <w:kern w:val="0"/>
                      <w:sz w:val="21"/>
                      <w:szCs w:val="21"/>
                      <w:lang w:val="en-US" w:eastAsia="zh-CN" w:bidi="ar-SA"/>
                    </w:rPr>
                  </w:pPr>
                  <w:r>
                    <w:rPr>
                      <w:rFonts w:hint="eastAsia" w:ascii="Times New Roman" w:hAnsi="Times New Roman"/>
                      <w:color w:val="auto"/>
                      <w:sz w:val="21"/>
                      <w:szCs w:val="21"/>
                    </w:rPr>
                    <w:t>2</w:t>
                  </w:r>
                </w:p>
              </w:tc>
              <w:tc>
                <w:tcPr>
                  <w:tcW w:w="567" w:type="pct"/>
                  <w:tcBorders>
                    <w:tl2br w:val="nil"/>
                    <w:tr2bl w:val="nil"/>
                  </w:tcBorders>
                  <w:noWrap w:val="0"/>
                  <w:vAlign w:val="center"/>
                </w:tcPr>
                <w:p w14:paraId="3E45E908">
                  <w:pPr>
                    <w:pStyle w:val="67"/>
                    <w:ind w:left="43" w:right="35"/>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废边角料</w:t>
                  </w:r>
                </w:p>
              </w:tc>
              <w:tc>
                <w:tcPr>
                  <w:tcW w:w="392" w:type="pct"/>
                  <w:vMerge w:val="restart"/>
                  <w:tcBorders>
                    <w:tl2br w:val="nil"/>
                    <w:tr2bl w:val="nil"/>
                  </w:tcBorders>
                  <w:noWrap w:val="0"/>
                  <w:vAlign w:val="center"/>
                </w:tcPr>
                <w:p w14:paraId="47249706">
                  <w:pPr>
                    <w:pStyle w:val="67"/>
                    <w:ind w:left="43" w:right="35"/>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rPr>
                    <w:t>一般固废</w:t>
                  </w:r>
                </w:p>
              </w:tc>
              <w:tc>
                <w:tcPr>
                  <w:tcW w:w="771" w:type="pct"/>
                  <w:tcBorders>
                    <w:tl2br w:val="nil"/>
                    <w:tr2bl w:val="nil"/>
                  </w:tcBorders>
                  <w:noWrap w:val="0"/>
                  <w:vAlign w:val="center"/>
                </w:tcPr>
                <w:p w14:paraId="18DE1DEE">
                  <w:pPr>
                    <w:pStyle w:val="67"/>
                    <w:ind w:right="35"/>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SW59</w:t>
                  </w:r>
                </w:p>
                <w:p w14:paraId="63D4D29C">
                  <w:pPr>
                    <w:pStyle w:val="67"/>
                    <w:ind w:right="35"/>
                    <w:jc w:val="center"/>
                    <w:rPr>
                      <w:rFonts w:ascii="Times New Roman" w:hAnsi="Times New Roman"/>
                      <w:color w:val="auto"/>
                      <w:sz w:val="21"/>
                      <w:szCs w:val="21"/>
                    </w:rPr>
                  </w:pPr>
                  <w:r>
                    <w:rPr>
                      <w:rFonts w:ascii="Times New Roman" w:hAnsi="Times New Roman"/>
                      <w:color w:val="auto"/>
                      <w:sz w:val="21"/>
                      <w:szCs w:val="21"/>
                    </w:rPr>
                    <w:t>900-099-S59</w:t>
                  </w:r>
                </w:p>
              </w:tc>
              <w:tc>
                <w:tcPr>
                  <w:tcW w:w="625" w:type="pct"/>
                  <w:tcBorders>
                    <w:tl2br w:val="nil"/>
                    <w:tr2bl w:val="nil"/>
                  </w:tcBorders>
                  <w:noWrap w:val="0"/>
                  <w:vAlign w:val="center"/>
                </w:tcPr>
                <w:p w14:paraId="090808BE">
                  <w:pPr>
                    <w:pStyle w:val="67"/>
                    <w:ind w:right="35"/>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0.3</w:t>
                  </w:r>
                </w:p>
              </w:tc>
              <w:tc>
                <w:tcPr>
                  <w:tcW w:w="608" w:type="pct"/>
                  <w:tcBorders>
                    <w:tl2br w:val="nil"/>
                    <w:tr2bl w:val="nil"/>
                  </w:tcBorders>
                  <w:noWrap w:val="0"/>
                  <w:vAlign w:val="center"/>
                </w:tcPr>
                <w:p w14:paraId="5172F975">
                  <w:pPr>
                    <w:pStyle w:val="67"/>
                    <w:ind w:left="43" w:right="35"/>
                    <w:jc w:val="center"/>
                    <w:rPr>
                      <w:rFonts w:ascii="Times New Roman" w:hAnsi="Times New Roman"/>
                      <w:color w:val="auto"/>
                      <w:sz w:val="21"/>
                      <w:szCs w:val="21"/>
                    </w:rPr>
                  </w:pPr>
                  <w:r>
                    <w:rPr>
                      <w:rFonts w:ascii="Times New Roman" w:hAnsi="Times New Roman"/>
                      <w:color w:val="auto"/>
                      <w:sz w:val="21"/>
                      <w:szCs w:val="21"/>
                    </w:rPr>
                    <w:t>生产过程</w:t>
                  </w:r>
                </w:p>
              </w:tc>
              <w:tc>
                <w:tcPr>
                  <w:tcW w:w="489" w:type="pct"/>
                  <w:tcBorders>
                    <w:tl2br w:val="nil"/>
                    <w:tr2bl w:val="nil"/>
                  </w:tcBorders>
                  <w:noWrap w:val="0"/>
                  <w:vAlign w:val="center"/>
                </w:tcPr>
                <w:p w14:paraId="3C73047E">
                  <w:pPr>
                    <w:pStyle w:val="67"/>
                    <w:ind w:right="35"/>
                    <w:jc w:val="center"/>
                    <w:rPr>
                      <w:rFonts w:ascii="Times New Roman" w:hAnsi="Times New Roman"/>
                      <w:color w:val="auto"/>
                      <w:sz w:val="21"/>
                      <w:szCs w:val="21"/>
                    </w:rPr>
                  </w:pPr>
                  <w:r>
                    <w:rPr>
                      <w:rFonts w:ascii="Times New Roman" w:hAnsi="Times New Roman"/>
                      <w:color w:val="auto"/>
                      <w:sz w:val="21"/>
                      <w:szCs w:val="21"/>
                    </w:rPr>
                    <w:t>固态</w:t>
                  </w:r>
                </w:p>
              </w:tc>
              <w:tc>
                <w:tcPr>
                  <w:tcW w:w="436" w:type="pct"/>
                  <w:tcBorders>
                    <w:tl2br w:val="nil"/>
                    <w:tr2bl w:val="nil"/>
                  </w:tcBorders>
                  <w:noWrap w:val="0"/>
                  <w:vAlign w:val="center"/>
                </w:tcPr>
                <w:p w14:paraId="680A8017">
                  <w:pPr>
                    <w:pStyle w:val="67"/>
                    <w:ind w:right="35"/>
                    <w:jc w:val="center"/>
                    <w:rPr>
                      <w:rFonts w:ascii="Times New Roman" w:hAnsi="Times New Roman"/>
                      <w:color w:val="auto"/>
                      <w:sz w:val="21"/>
                      <w:szCs w:val="21"/>
                    </w:rPr>
                  </w:pPr>
                  <w:r>
                    <w:rPr>
                      <w:rFonts w:ascii="Times New Roman" w:hAnsi="Times New Roman"/>
                      <w:color w:val="auto"/>
                      <w:sz w:val="21"/>
                      <w:szCs w:val="21"/>
                    </w:rPr>
                    <w:t>/</w:t>
                  </w:r>
                </w:p>
              </w:tc>
              <w:tc>
                <w:tcPr>
                  <w:tcW w:w="850" w:type="pct"/>
                  <w:tcBorders>
                    <w:tl2br w:val="nil"/>
                    <w:tr2bl w:val="nil"/>
                  </w:tcBorders>
                  <w:noWrap w:val="0"/>
                  <w:vAlign w:val="center"/>
                </w:tcPr>
                <w:p w14:paraId="4B1D457D">
                  <w:pPr>
                    <w:pStyle w:val="67"/>
                    <w:ind w:right="35"/>
                    <w:jc w:val="center"/>
                    <w:rPr>
                      <w:rFonts w:ascii="Times New Roman" w:hAnsi="Times New Roman"/>
                      <w:color w:val="auto"/>
                      <w:sz w:val="21"/>
                      <w:szCs w:val="21"/>
                    </w:rPr>
                  </w:pPr>
                  <w:r>
                    <w:rPr>
                      <w:rFonts w:hint="default" w:ascii="Times New Roman" w:hAnsi="Times New Roman"/>
                      <w:color w:val="auto"/>
                      <w:sz w:val="21"/>
                      <w:szCs w:val="21"/>
                      <w:lang w:val="en-US" w:eastAsia="zh-CN"/>
                    </w:rPr>
                    <w:t>集中收集后外售</w:t>
                  </w:r>
                </w:p>
              </w:tc>
            </w:tr>
            <w:tr w14:paraId="1698A8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8" w:type="pct"/>
                  <w:tcBorders>
                    <w:tl2br w:val="nil"/>
                    <w:tr2bl w:val="nil"/>
                  </w:tcBorders>
                  <w:noWrap w:val="0"/>
                  <w:vAlign w:val="center"/>
                </w:tcPr>
                <w:p w14:paraId="694C1247">
                  <w:pPr>
                    <w:pStyle w:val="67"/>
                    <w:ind w:right="35" w:rightChars="0"/>
                    <w:jc w:val="center"/>
                    <w:rPr>
                      <w:rFonts w:ascii="Times New Roman" w:hAnsi="Times New Roman"/>
                      <w:color w:val="auto"/>
                      <w:kern w:val="0"/>
                      <w:sz w:val="21"/>
                      <w:szCs w:val="21"/>
                      <w:lang w:val="en-US" w:eastAsia="zh-CN" w:bidi="ar-SA"/>
                    </w:rPr>
                  </w:pPr>
                  <w:r>
                    <w:rPr>
                      <w:rFonts w:hint="eastAsia" w:ascii="Times New Roman" w:hAnsi="Times New Roman"/>
                      <w:color w:val="auto"/>
                      <w:sz w:val="21"/>
                      <w:szCs w:val="21"/>
                    </w:rPr>
                    <w:t>3</w:t>
                  </w:r>
                </w:p>
              </w:tc>
              <w:tc>
                <w:tcPr>
                  <w:tcW w:w="567" w:type="pct"/>
                  <w:tcBorders>
                    <w:tl2br w:val="nil"/>
                    <w:tr2bl w:val="nil"/>
                  </w:tcBorders>
                  <w:noWrap w:val="0"/>
                  <w:vAlign w:val="center"/>
                </w:tcPr>
                <w:p w14:paraId="05EFEEB4">
                  <w:pPr>
                    <w:pStyle w:val="67"/>
                    <w:ind w:right="35"/>
                    <w:jc w:val="center"/>
                    <w:rPr>
                      <w:rFonts w:ascii="Times New Roman" w:hAnsi="Times New Roman"/>
                      <w:color w:val="auto"/>
                      <w:sz w:val="21"/>
                      <w:szCs w:val="21"/>
                    </w:rPr>
                  </w:pPr>
                  <w:r>
                    <w:rPr>
                      <w:rFonts w:ascii="Times New Roman" w:hAnsi="Times New Roman"/>
                      <w:color w:val="auto"/>
                      <w:sz w:val="21"/>
                      <w:szCs w:val="21"/>
                    </w:rPr>
                    <w:t>废包装材料</w:t>
                  </w:r>
                  <w:r>
                    <w:rPr>
                      <w:rFonts w:hint="eastAsia" w:ascii="Times New Roman" w:hAnsi="Times New Roman"/>
                      <w:color w:val="auto"/>
                      <w:sz w:val="21"/>
                      <w:szCs w:val="21"/>
                      <w:lang w:eastAsia="zh-CN"/>
                    </w:rPr>
                    <w:t>、</w:t>
                  </w:r>
                  <w:r>
                    <w:rPr>
                      <w:rFonts w:hint="eastAsia" w:ascii="Times New Roman" w:hAnsi="Times New Roman"/>
                      <w:color w:val="auto"/>
                      <w:sz w:val="21"/>
                      <w:szCs w:val="21"/>
                      <w:lang w:val="en-US" w:eastAsia="zh-CN"/>
                    </w:rPr>
                    <w:t>不合格品</w:t>
                  </w:r>
                </w:p>
              </w:tc>
              <w:tc>
                <w:tcPr>
                  <w:tcW w:w="392" w:type="pct"/>
                  <w:vMerge w:val="continue"/>
                  <w:tcBorders>
                    <w:tl2br w:val="nil"/>
                    <w:tr2bl w:val="nil"/>
                  </w:tcBorders>
                  <w:noWrap w:val="0"/>
                  <w:vAlign w:val="center"/>
                </w:tcPr>
                <w:p w14:paraId="5BF00970">
                  <w:pPr>
                    <w:pStyle w:val="67"/>
                    <w:ind w:left="43" w:right="35"/>
                    <w:jc w:val="center"/>
                    <w:rPr>
                      <w:rFonts w:ascii="Times New Roman" w:hAnsi="Times New Roman"/>
                      <w:color w:val="auto"/>
                      <w:sz w:val="21"/>
                      <w:szCs w:val="21"/>
                    </w:rPr>
                  </w:pPr>
                </w:p>
              </w:tc>
              <w:tc>
                <w:tcPr>
                  <w:tcW w:w="771" w:type="pct"/>
                  <w:tcBorders>
                    <w:tl2br w:val="nil"/>
                    <w:tr2bl w:val="nil"/>
                  </w:tcBorders>
                  <w:noWrap w:val="0"/>
                  <w:vAlign w:val="center"/>
                </w:tcPr>
                <w:p w14:paraId="5FCA0E21">
                  <w:pPr>
                    <w:pStyle w:val="67"/>
                    <w:ind w:right="35"/>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SW59</w:t>
                  </w:r>
                </w:p>
                <w:p w14:paraId="784DE668">
                  <w:pPr>
                    <w:pStyle w:val="67"/>
                    <w:ind w:left="43" w:right="35"/>
                    <w:jc w:val="center"/>
                    <w:rPr>
                      <w:rFonts w:ascii="Times New Roman" w:hAnsi="Times New Roman"/>
                      <w:color w:val="auto"/>
                      <w:sz w:val="21"/>
                      <w:szCs w:val="21"/>
                    </w:rPr>
                  </w:pPr>
                  <w:r>
                    <w:rPr>
                      <w:rFonts w:ascii="Times New Roman" w:hAnsi="Times New Roman"/>
                      <w:color w:val="auto"/>
                      <w:sz w:val="21"/>
                      <w:szCs w:val="21"/>
                    </w:rPr>
                    <w:t>900-099-S59</w:t>
                  </w:r>
                </w:p>
              </w:tc>
              <w:tc>
                <w:tcPr>
                  <w:tcW w:w="625" w:type="pct"/>
                  <w:tcBorders>
                    <w:tl2br w:val="nil"/>
                    <w:tr2bl w:val="nil"/>
                  </w:tcBorders>
                  <w:noWrap w:val="0"/>
                  <w:vAlign w:val="center"/>
                </w:tcPr>
                <w:p w14:paraId="2CB2AF08">
                  <w:pPr>
                    <w:pStyle w:val="67"/>
                    <w:ind w:left="43" w:right="35"/>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0.05</w:t>
                  </w:r>
                </w:p>
              </w:tc>
              <w:tc>
                <w:tcPr>
                  <w:tcW w:w="608" w:type="pct"/>
                  <w:tcBorders>
                    <w:tl2br w:val="nil"/>
                    <w:tr2bl w:val="nil"/>
                  </w:tcBorders>
                  <w:noWrap w:val="0"/>
                  <w:vAlign w:val="center"/>
                </w:tcPr>
                <w:p w14:paraId="281C6995">
                  <w:pPr>
                    <w:pStyle w:val="67"/>
                    <w:ind w:right="35"/>
                    <w:jc w:val="center"/>
                    <w:rPr>
                      <w:rFonts w:ascii="Times New Roman" w:hAnsi="Times New Roman"/>
                      <w:color w:val="auto"/>
                      <w:sz w:val="21"/>
                      <w:szCs w:val="21"/>
                    </w:rPr>
                  </w:pPr>
                  <w:r>
                    <w:rPr>
                      <w:rFonts w:ascii="Times New Roman" w:hAnsi="Times New Roman"/>
                      <w:color w:val="auto"/>
                      <w:sz w:val="21"/>
                      <w:szCs w:val="21"/>
                    </w:rPr>
                    <w:t>生产过程</w:t>
                  </w:r>
                </w:p>
              </w:tc>
              <w:tc>
                <w:tcPr>
                  <w:tcW w:w="489" w:type="pct"/>
                  <w:tcBorders>
                    <w:tl2br w:val="nil"/>
                    <w:tr2bl w:val="nil"/>
                  </w:tcBorders>
                  <w:noWrap w:val="0"/>
                  <w:vAlign w:val="center"/>
                </w:tcPr>
                <w:p w14:paraId="037D1582">
                  <w:pPr>
                    <w:pStyle w:val="67"/>
                    <w:ind w:left="43" w:right="35"/>
                    <w:jc w:val="center"/>
                    <w:rPr>
                      <w:rFonts w:ascii="Times New Roman" w:hAnsi="Times New Roman"/>
                      <w:color w:val="auto"/>
                      <w:sz w:val="21"/>
                      <w:szCs w:val="21"/>
                    </w:rPr>
                  </w:pPr>
                  <w:r>
                    <w:rPr>
                      <w:rFonts w:hint="eastAsia" w:ascii="Times New Roman" w:hAnsi="Times New Roman"/>
                      <w:color w:val="auto"/>
                      <w:sz w:val="21"/>
                      <w:szCs w:val="21"/>
                    </w:rPr>
                    <w:t>固态</w:t>
                  </w:r>
                </w:p>
              </w:tc>
              <w:tc>
                <w:tcPr>
                  <w:tcW w:w="436" w:type="pct"/>
                  <w:tcBorders>
                    <w:tl2br w:val="nil"/>
                    <w:tr2bl w:val="nil"/>
                  </w:tcBorders>
                  <w:noWrap w:val="0"/>
                  <w:vAlign w:val="center"/>
                </w:tcPr>
                <w:p w14:paraId="443819E1">
                  <w:pPr>
                    <w:pStyle w:val="67"/>
                    <w:ind w:left="43" w:right="35"/>
                    <w:jc w:val="center"/>
                    <w:rPr>
                      <w:rFonts w:ascii="Times New Roman" w:hAnsi="Times New Roman"/>
                      <w:color w:val="auto"/>
                      <w:sz w:val="21"/>
                      <w:szCs w:val="21"/>
                    </w:rPr>
                  </w:pPr>
                  <w:r>
                    <w:rPr>
                      <w:rFonts w:hint="eastAsia" w:ascii="Times New Roman" w:hAnsi="Times New Roman"/>
                      <w:color w:val="auto"/>
                      <w:sz w:val="21"/>
                      <w:szCs w:val="21"/>
                    </w:rPr>
                    <w:t>/</w:t>
                  </w:r>
                </w:p>
              </w:tc>
              <w:tc>
                <w:tcPr>
                  <w:tcW w:w="850" w:type="pct"/>
                  <w:tcBorders>
                    <w:tl2br w:val="nil"/>
                    <w:tr2bl w:val="nil"/>
                  </w:tcBorders>
                  <w:noWrap w:val="0"/>
                  <w:vAlign w:val="center"/>
                </w:tcPr>
                <w:p w14:paraId="2D7A122F">
                  <w:pPr>
                    <w:pStyle w:val="67"/>
                    <w:ind w:left="43" w:right="35"/>
                    <w:jc w:val="center"/>
                    <w:rPr>
                      <w:rFonts w:ascii="Times New Roman" w:hAnsi="Times New Roman"/>
                      <w:color w:val="auto"/>
                      <w:sz w:val="21"/>
                      <w:szCs w:val="21"/>
                    </w:rPr>
                  </w:pPr>
                  <w:r>
                    <w:rPr>
                      <w:rFonts w:hint="default" w:ascii="Times New Roman" w:hAnsi="Times New Roman"/>
                      <w:color w:val="auto"/>
                      <w:sz w:val="21"/>
                      <w:szCs w:val="21"/>
                      <w:lang w:val="en-US" w:eastAsia="zh-CN"/>
                    </w:rPr>
                    <w:t>集中收集后外售</w:t>
                  </w:r>
                </w:p>
              </w:tc>
            </w:tr>
            <w:tr w14:paraId="30B440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8" w:type="pct"/>
                  <w:tcBorders>
                    <w:tl2br w:val="nil"/>
                    <w:tr2bl w:val="nil"/>
                  </w:tcBorders>
                  <w:noWrap w:val="0"/>
                  <w:vAlign w:val="center"/>
                </w:tcPr>
                <w:p w14:paraId="69E53780">
                  <w:pPr>
                    <w:pStyle w:val="67"/>
                    <w:ind w:right="35" w:rightChars="0"/>
                    <w:jc w:val="center"/>
                    <w:rPr>
                      <w:rFonts w:hint="eastAsia" w:ascii="Times New Roman" w:hAnsi="Times New Roman"/>
                      <w:color w:val="auto"/>
                      <w:kern w:val="0"/>
                      <w:sz w:val="21"/>
                      <w:szCs w:val="21"/>
                      <w:lang w:val="en-US" w:eastAsia="zh-CN" w:bidi="ar-SA"/>
                    </w:rPr>
                  </w:pPr>
                  <w:r>
                    <w:rPr>
                      <w:rFonts w:hint="eastAsia" w:ascii="Times New Roman" w:hAnsi="Times New Roman"/>
                      <w:color w:val="auto"/>
                      <w:sz w:val="21"/>
                      <w:szCs w:val="21"/>
                    </w:rPr>
                    <w:t>4</w:t>
                  </w:r>
                </w:p>
              </w:tc>
              <w:tc>
                <w:tcPr>
                  <w:tcW w:w="567" w:type="pct"/>
                  <w:tcBorders>
                    <w:tl2br w:val="nil"/>
                    <w:tr2bl w:val="nil"/>
                  </w:tcBorders>
                  <w:noWrap w:val="0"/>
                  <w:vAlign w:val="center"/>
                </w:tcPr>
                <w:p w14:paraId="4A42177F">
                  <w:pPr>
                    <w:pStyle w:val="67"/>
                    <w:ind w:right="35"/>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废反渗透膜</w:t>
                  </w:r>
                </w:p>
              </w:tc>
              <w:tc>
                <w:tcPr>
                  <w:tcW w:w="392" w:type="pct"/>
                  <w:vMerge w:val="continue"/>
                  <w:tcBorders>
                    <w:tl2br w:val="nil"/>
                    <w:tr2bl w:val="nil"/>
                  </w:tcBorders>
                  <w:noWrap w:val="0"/>
                  <w:vAlign w:val="center"/>
                </w:tcPr>
                <w:p w14:paraId="0F79C62F">
                  <w:pPr>
                    <w:pStyle w:val="67"/>
                    <w:ind w:left="43" w:right="35"/>
                    <w:jc w:val="center"/>
                    <w:rPr>
                      <w:rFonts w:ascii="Times New Roman" w:hAnsi="Times New Roman"/>
                      <w:color w:val="auto"/>
                      <w:sz w:val="21"/>
                      <w:szCs w:val="21"/>
                    </w:rPr>
                  </w:pPr>
                </w:p>
              </w:tc>
              <w:tc>
                <w:tcPr>
                  <w:tcW w:w="771" w:type="pct"/>
                  <w:tcBorders>
                    <w:tl2br w:val="nil"/>
                    <w:tr2bl w:val="nil"/>
                  </w:tcBorders>
                  <w:noWrap w:val="0"/>
                  <w:vAlign w:val="center"/>
                </w:tcPr>
                <w:p w14:paraId="0103AFD2">
                  <w:pPr>
                    <w:pStyle w:val="67"/>
                    <w:ind w:right="35"/>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SW92</w:t>
                  </w:r>
                </w:p>
                <w:p w14:paraId="5E97D7BE">
                  <w:pPr>
                    <w:pStyle w:val="67"/>
                    <w:ind w:left="43" w:right="35"/>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900-001-S92</w:t>
                  </w:r>
                </w:p>
              </w:tc>
              <w:tc>
                <w:tcPr>
                  <w:tcW w:w="625" w:type="pct"/>
                  <w:tcBorders>
                    <w:tl2br w:val="nil"/>
                    <w:tr2bl w:val="nil"/>
                  </w:tcBorders>
                  <w:noWrap w:val="0"/>
                  <w:vAlign w:val="center"/>
                </w:tcPr>
                <w:p w14:paraId="6A6E6B5C">
                  <w:pPr>
                    <w:pStyle w:val="67"/>
                    <w:ind w:left="43" w:right="35"/>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0.001</w:t>
                  </w:r>
                </w:p>
              </w:tc>
              <w:tc>
                <w:tcPr>
                  <w:tcW w:w="608" w:type="pct"/>
                  <w:tcBorders>
                    <w:tl2br w:val="nil"/>
                    <w:tr2bl w:val="nil"/>
                  </w:tcBorders>
                  <w:noWrap w:val="0"/>
                  <w:vAlign w:val="center"/>
                </w:tcPr>
                <w:p w14:paraId="32104838">
                  <w:pPr>
                    <w:pStyle w:val="67"/>
                    <w:ind w:right="35"/>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纯水制备</w:t>
                  </w:r>
                </w:p>
              </w:tc>
              <w:tc>
                <w:tcPr>
                  <w:tcW w:w="489" w:type="pct"/>
                  <w:tcBorders>
                    <w:tl2br w:val="nil"/>
                    <w:tr2bl w:val="nil"/>
                  </w:tcBorders>
                  <w:noWrap w:val="0"/>
                  <w:vAlign w:val="center"/>
                </w:tcPr>
                <w:p w14:paraId="19D7D49E">
                  <w:pPr>
                    <w:pStyle w:val="67"/>
                    <w:ind w:left="43" w:right="35"/>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固态</w:t>
                  </w:r>
                </w:p>
              </w:tc>
              <w:tc>
                <w:tcPr>
                  <w:tcW w:w="436" w:type="pct"/>
                  <w:tcBorders>
                    <w:tl2br w:val="nil"/>
                    <w:tr2bl w:val="nil"/>
                  </w:tcBorders>
                  <w:noWrap w:val="0"/>
                  <w:vAlign w:val="center"/>
                </w:tcPr>
                <w:p w14:paraId="3F9555D3">
                  <w:pPr>
                    <w:pStyle w:val="67"/>
                    <w:ind w:left="43" w:right="35"/>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w:t>
                  </w:r>
                </w:p>
              </w:tc>
              <w:tc>
                <w:tcPr>
                  <w:tcW w:w="850" w:type="pct"/>
                  <w:tcBorders>
                    <w:tl2br w:val="nil"/>
                    <w:tr2bl w:val="nil"/>
                  </w:tcBorders>
                  <w:noWrap w:val="0"/>
                  <w:vAlign w:val="center"/>
                </w:tcPr>
                <w:p w14:paraId="36522A72">
                  <w:pPr>
                    <w:pStyle w:val="67"/>
                    <w:ind w:left="43" w:right="35"/>
                    <w:jc w:val="center"/>
                    <w:rPr>
                      <w:rFonts w:hint="eastAsia"/>
                      <w:color w:val="auto"/>
                      <w:sz w:val="21"/>
                      <w:szCs w:val="21"/>
                    </w:rPr>
                  </w:pPr>
                  <w:r>
                    <w:rPr>
                      <w:rFonts w:hint="eastAsia"/>
                      <w:color w:val="auto"/>
                      <w:sz w:val="21"/>
                      <w:szCs w:val="21"/>
                      <w:lang w:val="en-US" w:eastAsia="zh-CN"/>
                    </w:rPr>
                    <w:t>交供应商回收利用</w:t>
                  </w:r>
                </w:p>
              </w:tc>
            </w:tr>
            <w:tr w14:paraId="4F85D5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8" w:type="pct"/>
                  <w:tcBorders>
                    <w:tl2br w:val="nil"/>
                    <w:tr2bl w:val="nil"/>
                  </w:tcBorders>
                  <w:noWrap w:val="0"/>
                  <w:vAlign w:val="center"/>
                </w:tcPr>
                <w:p w14:paraId="4490E7FC">
                  <w:pPr>
                    <w:pStyle w:val="67"/>
                    <w:ind w:right="35" w:rightChars="0"/>
                    <w:jc w:val="center"/>
                    <w:rPr>
                      <w:rFonts w:ascii="Times New Roman" w:hAnsi="Times New Roman"/>
                      <w:color w:val="auto"/>
                      <w:kern w:val="0"/>
                      <w:sz w:val="21"/>
                      <w:szCs w:val="21"/>
                      <w:lang w:val="en-US" w:eastAsia="zh-CN" w:bidi="ar-SA"/>
                    </w:rPr>
                  </w:pPr>
                  <w:r>
                    <w:rPr>
                      <w:rFonts w:hint="eastAsia" w:ascii="Times New Roman" w:hAnsi="Times New Roman"/>
                      <w:color w:val="auto"/>
                      <w:sz w:val="21"/>
                      <w:szCs w:val="21"/>
                    </w:rPr>
                    <w:t>5</w:t>
                  </w:r>
                </w:p>
              </w:tc>
              <w:tc>
                <w:tcPr>
                  <w:tcW w:w="567" w:type="pct"/>
                  <w:tcBorders>
                    <w:tl2br w:val="nil"/>
                    <w:tr2bl w:val="nil"/>
                  </w:tcBorders>
                  <w:noWrap w:val="0"/>
                  <w:vAlign w:val="center"/>
                </w:tcPr>
                <w:p w14:paraId="5AE9ACCF">
                  <w:pPr>
                    <w:jc w:val="center"/>
                    <w:rPr>
                      <w:color w:val="auto"/>
                      <w:sz w:val="21"/>
                      <w:szCs w:val="21"/>
                    </w:rPr>
                  </w:pPr>
                  <w:r>
                    <w:rPr>
                      <w:color w:val="auto"/>
                      <w:sz w:val="21"/>
                      <w:szCs w:val="21"/>
                    </w:rPr>
                    <w:t>废</w:t>
                  </w:r>
                  <w:r>
                    <w:rPr>
                      <w:rFonts w:hint="eastAsia"/>
                      <w:color w:val="auto"/>
                      <w:sz w:val="21"/>
                      <w:szCs w:val="21"/>
                    </w:rPr>
                    <w:t>活性炭</w:t>
                  </w:r>
                </w:p>
              </w:tc>
              <w:tc>
                <w:tcPr>
                  <w:tcW w:w="392" w:type="pct"/>
                  <w:vMerge w:val="restart"/>
                  <w:tcBorders>
                    <w:tl2br w:val="nil"/>
                    <w:tr2bl w:val="nil"/>
                  </w:tcBorders>
                  <w:noWrap w:val="0"/>
                  <w:vAlign w:val="center"/>
                </w:tcPr>
                <w:p w14:paraId="48E79038">
                  <w:pPr>
                    <w:pStyle w:val="67"/>
                    <w:ind w:right="35"/>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危险固废</w:t>
                  </w:r>
                </w:p>
              </w:tc>
              <w:tc>
                <w:tcPr>
                  <w:tcW w:w="771" w:type="pct"/>
                  <w:tcBorders>
                    <w:tl2br w:val="nil"/>
                    <w:tr2bl w:val="nil"/>
                  </w:tcBorders>
                  <w:noWrap w:val="0"/>
                  <w:vAlign w:val="center"/>
                </w:tcPr>
                <w:p w14:paraId="6A834DDB">
                  <w:pPr>
                    <w:pStyle w:val="67"/>
                    <w:ind w:right="35"/>
                    <w:jc w:val="center"/>
                    <w:rPr>
                      <w:rFonts w:hint="eastAsia" w:ascii="Times New Roman" w:hAnsi="Times New Roman"/>
                      <w:color w:val="auto"/>
                      <w:sz w:val="21"/>
                      <w:szCs w:val="21"/>
                    </w:rPr>
                  </w:pPr>
                  <w:r>
                    <w:rPr>
                      <w:rFonts w:hint="eastAsia" w:ascii="Times New Roman" w:hAnsi="Times New Roman"/>
                      <w:color w:val="auto"/>
                      <w:sz w:val="21"/>
                      <w:szCs w:val="21"/>
                    </w:rPr>
                    <w:t>HW49</w:t>
                  </w:r>
                </w:p>
                <w:p w14:paraId="42BA069A">
                  <w:pPr>
                    <w:pStyle w:val="67"/>
                    <w:ind w:right="35"/>
                    <w:jc w:val="center"/>
                    <w:rPr>
                      <w:rFonts w:ascii="Times New Roman" w:hAnsi="Times New Roman"/>
                      <w:color w:val="auto"/>
                      <w:sz w:val="21"/>
                      <w:szCs w:val="21"/>
                    </w:rPr>
                  </w:pPr>
                  <w:r>
                    <w:rPr>
                      <w:rFonts w:hint="eastAsia" w:ascii="Times New Roman" w:hAnsi="Times New Roman"/>
                      <w:color w:val="auto"/>
                      <w:sz w:val="21"/>
                      <w:szCs w:val="21"/>
                    </w:rPr>
                    <w:t>900-039-49</w:t>
                  </w:r>
                </w:p>
              </w:tc>
              <w:tc>
                <w:tcPr>
                  <w:tcW w:w="625" w:type="pct"/>
                  <w:tcBorders>
                    <w:tl2br w:val="nil"/>
                    <w:tr2bl w:val="nil"/>
                  </w:tcBorders>
                  <w:noWrap w:val="0"/>
                  <w:vAlign w:val="center"/>
                </w:tcPr>
                <w:p w14:paraId="3405167E">
                  <w:pPr>
                    <w:pStyle w:val="67"/>
                    <w:ind w:left="43" w:right="35"/>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5.225</w:t>
                  </w:r>
                </w:p>
              </w:tc>
              <w:tc>
                <w:tcPr>
                  <w:tcW w:w="608" w:type="pct"/>
                  <w:tcBorders>
                    <w:tl2br w:val="nil"/>
                    <w:tr2bl w:val="nil"/>
                  </w:tcBorders>
                  <w:noWrap w:val="0"/>
                  <w:vAlign w:val="center"/>
                </w:tcPr>
                <w:p w14:paraId="7A8255B2">
                  <w:pPr>
                    <w:pStyle w:val="67"/>
                    <w:ind w:left="43" w:right="35"/>
                    <w:jc w:val="center"/>
                    <w:rPr>
                      <w:rFonts w:ascii="Times New Roman" w:hAnsi="Times New Roman"/>
                      <w:color w:val="auto"/>
                      <w:sz w:val="21"/>
                      <w:szCs w:val="21"/>
                    </w:rPr>
                  </w:pPr>
                  <w:r>
                    <w:rPr>
                      <w:rFonts w:hint="eastAsia" w:ascii="Times New Roman" w:hAnsi="Times New Roman"/>
                      <w:color w:val="auto"/>
                      <w:sz w:val="21"/>
                      <w:szCs w:val="21"/>
                    </w:rPr>
                    <w:t>废气处理</w:t>
                  </w:r>
                </w:p>
              </w:tc>
              <w:tc>
                <w:tcPr>
                  <w:tcW w:w="489" w:type="pct"/>
                  <w:tcBorders>
                    <w:tl2br w:val="nil"/>
                    <w:tr2bl w:val="nil"/>
                  </w:tcBorders>
                  <w:noWrap w:val="0"/>
                  <w:vAlign w:val="center"/>
                </w:tcPr>
                <w:p w14:paraId="586B31F5">
                  <w:pPr>
                    <w:pStyle w:val="67"/>
                    <w:ind w:left="43" w:right="35"/>
                    <w:jc w:val="center"/>
                    <w:rPr>
                      <w:rFonts w:ascii="Times New Roman" w:hAnsi="Times New Roman"/>
                      <w:color w:val="auto"/>
                      <w:sz w:val="21"/>
                      <w:szCs w:val="21"/>
                    </w:rPr>
                  </w:pPr>
                  <w:r>
                    <w:rPr>
                      <w:rFonts w:ascii="Times New Roman" w:hAnsi="Times New Roman"/>
                      <w:color w:val="auto"/>
                      <w:sz w:val="21"/>
                      <w:szCs w:val="21"/>
                    </w:rPr>
                    <w:t>固态</w:t>
                  </w:r>
                </w:p>
              </w:tc>
              <w:tc>
                <w:tcPr>
                  <w:tcW w:w="436" w:type="pct"/>
                  <w:tcBorders>
                    <w:tl2br w:val="nil"/>
                    <w:tr2bl w:val="nil"/>
                  </w:tcBorders>
                  <w:noWrap w:val="0"/>
                  <w:vAlign w:val="center"/>
                </w:tcPr>
                <w:p w14:paraId="1D8FA729">
                  <w:pPr>
                    <w:pStyle w:val="67"/>
                    <w:ind w:left="43" w:right="35"/>
                    <w:jc w:val="center"/>
                    <w:rPr>
                      <w:rFonts w:ascii="Times New Roman" w:hAnsi="Times New Roman"/>
                      <w:color w:val="auto"/>
                      <w:sz w:val="21"/>
                      <w:szCs w:val="21"/>
                    </w:rPr>
                  </w:pPr>
                  <w:r>
                    <w:rPr>
                      <w:rFonts w:ascii="Times New Roman" w:hAnsi="Times New Roman"/>
                      <w:color w:val="auto"/>
                      <w:sz w:val="21"/>
                      <w:szCs w:val="21"/>
                    </w:rPr>
                    <w:t>T</w:t>
                  </w:r>
                </w:p>
              </w:tc>
              <w:tc>
                <w:tcPr>
                  <w:tcW w:w="850" w:type="pct"/>
                  <w:vMerge w:val="restart"/>
                  <w:tcBorders>
                    <w:tl2br w:val="nil"/>
                    <w:tr2bl w:val="nil"/>
                  </w:tcBorders>
                  <w:noWrap w:val="0"/>
                  <w:vAlign w:val="center"/>
                </w:tcPr>
                <w:p w14:paraId="11A4453C">
                  <w:pPr>
                    <w:pStyle w:val="67"/>
                    <w:ind w:left="43" w:right="35"/>
                    <w:jc w:val="center"/>
                    <w:rPr>
                      <w:rFonts w:ascii="Times New Roman" w:hAnsi="Times New Roman"/>
                      <w:color w:val="auto"/>
                      <w:sz w:val="21"/>
                      <w:szCs w:val="21"/>
                    </w:rPr>
                  </w:pPr>
                  <w:r>
                    <w:rPr>
                      <w:rFonts w:hint="eastAsia" w:ascii="Times New Roman" w:hAnsi="Times New Roman"/>
                      <w:color w:val="auto"/>
                      <w:sz w:val="21"/>
                      <w:szCs w:val="21"/>
                    </w:rPr>
                    <w:t>危废贮存库暂存，定期交有资质单位处置</w:t>
                  </w:r>
                </w:p>
              </w:tc>
            </w:tr>
            <w:tr w14:paraId="3746AC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8" w:type="pct"/>
                  <w:tcBorders>
                    <w:tl2br w:val="nil"/>
                    <w:tr2bl w:val="nil"/>
                  </w:tcBorders>
                  <w:noWrap w:val="0"/>
                  <w:vAlign w:val="center"/>
                </w:tcPr>
                <w:p w14:paraId="39E3A7F8">
                  <w:pPr>
                    <w:pStyle w:val="67"/>
                    <w:ind w:right="35" w:rightChars="0"/>
                    <w:jc w:val="center"/>
                    <w:rPr>
                      <w:rFonts w:ascii="Times New Roman" w:hAnsi="Times New Roman"/>
                      <w:color w:val="auto"/>
                      <w:kern w:val="0"/>
                      <w:sz w:val="21"/>
                      <w:szCs w:val="21"/>
                      <w:lang w:val="en-US" w:eastAsia="zh-CN" w:bidi="ar-SA"/>
                    </w:rPr>
                  </w:pPr>
                  <w:r>
                    <w:rPr>
                      <w:rFonts w:hint="eastAsia" w:ascii="Times New Roman" w:hAnsi="Times New Roman"/>
                      <w:color w:val="auto"/>
                      <w:sz w:val="21"/>
                      <w:szCs w:val="21"/>
                    </w:rPr>
                    <w:t>6</w:t>
                  </w:r>
                </w:p>
              </w:tc>
              <w:tc>
                <w:tcPr>
                  <w:tcW w:w="567" w:type="pct"/>
                  <w:tcBorders>
                    <w:tl2br w:val="nil"/>
                    <w:tr2bl w:val="nil"/>
                  </w:tcBorders>
                  <w:noWrap w:val="0"/>
                  <w:vAlign w:val="center"/>
                </w:tcPr>
                <w:p w14:paraId="15A75EE6">
                  <w:pPr>
                    <w:pStyle w:val="67"/>
                    <w:ind w:right="35"/>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实</w:t>
                  </w:r>
                  <w:r>
                    <w:rPr>
                      <w:rFonts w:hint="eastAsia" w:ascii="Times New Roman" w:hAnsi="Times New Roman"/>
                      <w:color w:val="auto"/>
                      <w:sz w:val="21"/>
                      <w:szCs w:val="21"/>
                    </w:rPr>
                    <w:t>验</w:t>
                  </w:r>
                  <w:r>
                    <w:rPr>
                      <w:rFonts w:hint="eastAsia" w:ascii="Times New Roman" w:hAnsi="Times New Roman"/>
                      <w:color w:val="auto"/>
                      <w:sz w:val="21"/>
                      <w:szCs w:val="21"/>
                      <w:lang w:val="en-US" w:eastAsia="zh-CN"/>
                    </w:rPr>
                    <w:t>废液</w:t>
                  </w:r>
                </w:p>
              </w:tc>
              <w:tc>
                <w:tcPr>
                  <w:tcW w:w="392" w:type="pct"/>
                  <w:vMerge w:val="continue"/>
                  <w:tcBorders>
                    <w:tl2br w:val="nil"/>
                    <w:tr2bl w:val="nil"/>
                  </w:tcBorders>
                  <w:noWrap w:val="0"/>
                  <w:vAlign w:val="center"/>
                </w:tcPr>
                <w:p w14:paraId="054CEA53">
                  <w:pPr>
                    <w:pStyle w:val="67"/>
                    <w:ind w:right="35"/>
                    <w:jc w:val="center"/>
                    <w:rPr>
                      <w:rFonts w:ascii="Times New Roman" w:hAnsi="Times New Roman"/>
                      <w:color w:val="auto"/>
                      <w:sz w:val="21"/>
                      <w:szCs w:val="21"/>
                    </w:rPr>
                  </w:pPr>
                </w:p>
              </w:tc>
              <w:tc>
                <w:tcPr>
                  <w:tcW w:w="771" w:type="pct"/>
                  <w:tcBorders>
                    <w:tl2br w:val="nil"/>
                    <w:tr2bl w:val="nil"/>
                  </w:tcBorders>
                  <w:noWrap w:val="0"/>
                  <w:vAlign w:val="center"/>
                </w:tcPr>
                <w:p w14:paraId="13447F44">
                  <w:pPr>
                    <w:pStyle w:val="67"/>
                    <w:ind w:right="35"/>
                    <w:jc w:val="center"/>
                    <w:rPr>
                      <w:rFonts w:hint="eastAsia" w:ascii="Times New Roman" w:hAnsi="Times New Roman"/>
                      <w:color w:val="auto"/>
                      <w:sz w:val="21"/>
                      <w:szCs w:val="21"/>
                    </w:rPr>
                  </w:pPr>
                  <w:r>
                    <w:rPr>
                      <w:rFonts w:hint="eastAsia" w:ascii="Times New Roman" w:hAnsi="Times New Roman"/>
                      <w:color w:val="auto"/>
                      <w:sz w:val="21"/>
                      <w:szCs w:val="21"/>
                    </w:rPr>
                    <w:t>HW49</w:t>
                  </w:r>
                </w:p>
                <w:p w14:paraId="37413FBC">
                  <w:pPr>
                    <w:pStyle w:val="67"/>
                    <w:ind w:right="35"/>
                    <w:jc w:val="center"/>
                    <w:rPr>
                      <w:rFonts w:ascii="Times New Roman" w:hAnsi="Times New Roman"/>
                      <w:color w:val="auto"/>
                      <w:sz w:val="21"/>
                      <w:szCs w:val="21"/>
                    </w:rPr>
                  </w:pPr>
                  <w:r>
                    <w:rPr>
                      <w:rFonts w:hint="eastAsia" w:ascii="Times New Roman" w:hAnsi="Times New Roman"/>
                      <w:color w:val="auto"/>
                      <w:sz w:val="21"/>
                      <w:szCs w:val="21"/>
                    </w:rPr>
                    <w:t>900-047-49</w:t>
                  </w:r>
                </w:p>
              </w:tc>
              <w:tc>
                <w:tcPr>
                  <w:tcW w:w="625" w:type="pct"/>
                  <w:tcBorders>
                    <w:tl2br w:val="nil"/>
                    <w:tr2bl w:val="nil"/>
                  </w:tcBorders>
                  <w:noWrap w:val="0"/>
                  <w:vAlign w:val="center"/>
                </w:tcPr>
                <w:p w14:paraId="3C557E3F">
                  <w:pPr>
                    <w:pStyle w:val="67"/>
                    <w:ind w:left="43" w:right="35"/>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4.59</w:t>
                  </w:r>
                </w:p>
              </w:tc>
              <w:tc>
                <w:tcPr>
                  <w:tcW w:w="608" w:type="pct"/>
                  <w:tcBorders>
                    <w:tl2br w:val="nil"/>
                    <w:tr2bl w:val="nil"/>
                  </w:tcBorders>
                  <w:noWrap w:val="0"/>
                  <w:vAlign w:val="center"/>
                </w:tcPr>
                <w:p w14:paraId="50A475F9">
                  <w:pPr>
                    <w:pStyle w:val="67"/>
                    <w:ind w:left="43" w:leftChars="0" w:right="35" w:rightChars="0"/>
                    <w:jc w:val="center"/>
                    <w:rPr>
                      <w:rFonts w:ascii="Times New Roman" w:hAnsi="Times New Roman"/>
                      <w:color w:val="auto"/>
                      <w:sz w:val="21"/>
                      <w:szCs w:val="21"/>
                    </w:rPr>
                  </w:pPr>
                  <w:r>
                    <w:rPr>
                      <w:rFonts w:ascii="Times New Roman" w:hAnsi="Times New Roman"/>
                      <w:color w:val="auto"/>
                      <w:sz w:val="21"/>
                      <w:szCs w:val="21"/>
                    </w:rPr>
                    <w:t>生产过程</w:t>
                  </w:r>
                </w:p>
              </w:tc>
              <w:tc>
                <w:tcPr>
                  <w:tcW w:w="489" w:type="pct"/>
                  <w:tcBorders>
                    <w:tl2br w:val="nil"/>
                    <w:tr2bl w:val="nil"/>
                  </w:tcBorders>
                  <w:noWrap w:val="0"/>
                  <w:vAlign w:val="center"/>
                </w:tcPr>
                <w:p w14:paraId="2FCF268D">
                  <w:pPr>
                    <w:pStyle w:val="67"/>
                    <w:ind w:left="43" w:right="35"/>
                    <w:jc w:val="center"/>
                    <w:rPr>
                      <w:rFonts w:ascii="Times New Roman" w:hAnsi="Times New Roman"/>
                      <w:color w:val="auto"/>
                      <w:sz w:val="21"/>
                      <w:szCs w:val="21"/>
                    </w:rPr>
                  </w:pPr>
                  <w:r>
                    <w:rPr>
                      <w:rFonts w:hint="eastAsia" w:ascii="Times New Roman" w:hAnsi="Times New Roman"/>
                      <w:color w:val="auto"/>
                      <w:sz w:val="21"/>
                      <w:szCs w:val="21"/>
                    </w:rPr>
                    <w:t>液体</w:t>
                  </w:r>
                </w:p>
              </w:tc>
              <w:tc>
                <w:tcPr>
                  <w:tcW w:w="436" w:type="pct"/>
                  <w:tcBorders>
                    <w:tl2br w:val="nil"/>
                    <w:tr2bl w:val="nil"/>
                  </w:tcBorders>
                  <w:noWrap w:val="0"/>
                  <w:vAlign w:val="center"/>
                </w:tcPr>
                <w:p w14:paraId="0F477569">
                  <w:pPr>
                    <w:pStyle w:val="67"/>
                    <w:ind w:left="43" w:right="35"/>
                    <w:jc w:val="center"/>
                    <w:rPr>
                      <w:rFonts w:ascii="Times New Roman" w:hAnsi="Times New Roman"/>
                      <w:color w:val="auto"/>
                      <w:sz w:val="21"/>
                      <w:szCs w:val="21"/>
                    </w:rPr>
                  </w:pPr>
                  <w:r>
                    <w:rPr>
                      <w:rFonts w:ascii="Times New Roman" w:hAnsi="Times New Roman"/>
                      <w:color w:val="auto"/>
                      <w:sz w:val="21"/>
                      <w:szCs w:val="21"/>
                    </w:rPr>
                    <w:t>I</w:t>
                  </w:r>
                </w:p>
              </w:tc>
              <w:tc>
                <w:tcPr>
                  <w:tcW w:w="850" w:type="pct"/>
                  <w:vMerge w:val="continue"/>
                  <w:tcBorders>
                    <w:tl2br w:val="nil"/>
                    <w:tr2bl w:val="nil"/>
                  </w:tcBorders>
                  <w:noWrap w:val="0"/>
                  <w:vAlign w:val="center"/>
                </w:tcPr>
                <w:p w14:paraId="4ECA0D6E">
                  <w:pPr>
                    <w:pStyle w:val="67"/>
                    <w:ind w:left="43" w:right="35"/>
                    <w:jc w:val="center"/>
                    <w:rPr>
                      <w:rFonts w:ascii="Times New Roman" w:hAnsi="Times New Roman"/>
                      <w:color w:val="auto"/>
                      <w:sz w:val="21"/>
                      <w:szCs w:val="21"/>
                    </w:rPr>
                  </w:pPr>
                </w:p>
              </w:tc>
            </w:tr>
            <w:tr w14:paraId="139D2D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8" w:type="pct"/>
                  <w:tcBorders>
                    <w:tl2br w:val="nil"/>
                    <w:tr2bl w:val="nil"/>
                  </w:tcBorders>
                  <w:noWrap w:val="0"/>
                  <w:vAlign w:val="center"/>
                </w:tcPr>
                <w:p w14:paraId="2DDEC7EA">
                  <w:pPr>
                    <w:pStyle w:val="67"/>
                    <w:ind w:right="35" w:rightChars="0"/>
                    <w:jc w:val="center"/>
                    <w:rPr>
                      <w:rFonts w:hint="default" w:ascii="Times New Roman" w:hAnsi="Times New Roman"/>
                      <w:color w:val="auto"/>
                      <w:kern w:val="0"/>
                      <w:sz w:val="21"/>
                      <w:szCs w:val="21"/>
                      <w:lang w:val="en-US" w:eastAsia="zh-CN" w:bidi="ar-SA"/>
                    </w:rPr>
                  </w:pPr>
                  <w:r>
                    <w:rPr>
                      <w:rFonts w:hint="eastAsia" w:ascii="Times New Roman" w:hAnsi="Times New Roman"/>
                      <w:color w:val="auto"/>
                      <w:kern w:val="0"/>
                      <w:sz w:val="21"/>
                      <w:szCs w:val="21"/>
                      <w:lang w:val="en-US" w:eastAsia="zh-CN" w:bidi="ar-SA"/>
                    </w:rPr>
                    <w:t>7</w:t>
                  </w:r>
                </w:p>
              </w:tc>
              <w:tc>
                <w:tcPr>
                  <w:tcW w:w="567" w:type="pct"/>
                  <w:tcBorders>
                    <w:tl2br w:val="nil"/>
                    <w:tr2bl w:val="nil"/>
                  </w:tcBorders>
                  <w:noWrap w:val="0"/>
                  <w:vAlign w:val="center"/>
                </w:tcPr>
                <w:p w14:paraId="5478A9AF">
                  <w:pPr>
                    <w:pStyle w:val="67"/>
                    <w:ind w:right="35"/>
                    <w:jc w:val="center"/>
                    <w:rPr>
                      <w:rFonts w:ascii="Times New Roman" w:hAnsi="Times New Roman"/>
                      <w:color w:val="auto"/>
                      <w:sz w:val="21"/>
                      <w:szCs w:val="21"/>
                    </w:rPr>
                  </w:pPr>
                  <w:r>
                    <w:rPr>
                      <w:rFonts w:hint="eastAsia" w:ascii="Times New Roman" w:hAnsi="Times New Roman"/>
                      <w:color w:val="auto"/>
                      <w:sz w:val="21"/>
                      <w:szCs w:val="21"/>
                    </w:rPr>
                    <w:t>废试剂瓶</w:t>
                  </w:r>
                </w:p>
              </w:tc>
              <w:tc>
                <w:tcPr>
                  <w:tcW w:w="392" w:type="pct"/>
                  <w:vMerge w:val="continue"/>
                  <w:tcBorders>
                    <w:tl2br w:val="nil"/>
                    <w:tr2bl w:val="nil"/>
                  </w:tcBorders>
                  <w:noWrap w:val="0"/>
                  <w:vAlign w:val="center"/>
                </w:tcPr>
                <w:p w14:paraId="278F7A6D">
                  <w:pPr>
                    <w:pStyle w:val="67"/>
                    <w:ind w:right="35"/>
                    <w:jc w:val="center"/>
                    <w:rPr>
                      <w:rFonts w:ascii="Times New Roman" w:hAnsi="Times New Roman"/>
                      <w:color w:val="auto"/>
                      <w:sz w:val="21"/>
                      <w:szCs w:val="21"/>
                    </w:rPr>
                  </w:pPr>
                </w:p>
              </w:tc>
              <w:tc>
                <w:tcPr>
                  <w:tcW w:w="771" w:type="pct"/>
                  <w:tcBorders>
                    <w:tl2br w:val="nil"/>
                    <w:tr2bl w:val="nil"/>
                  </w:tcBorders>
                  <w:noWrap w:val="0"/>
                  <w:vAlign w:val="center"/>
                </w:tcPr>
                <w:p w14:paraId="6B11A1CC">
                  <w:pPr>
                    <w:pStyle w:val="67"/>
                    <w:ind w:right="35"/>
                    <w:jc w:val="center"/>
                    <w:rPr>
                      <w:rFonts w:hint="eastAsia" w:ascii="Times New Roman" w:hAnsi="Times New Roman"/>
                      <w:color w:val="auto"/>
                      <w:sz w:val="21"/>
                      <w:szCs w:val="21"/>
                    </w:rPr>
                  </w:pPr>
                  <w:r>
                    <w:rPr>
                      <w:rFonts w:hint="eastAsia" w:ascii="Times New Roman" w:hAnsi="Times New Roman"/>
                      <w:color w:val="auto"/>
                      <w:sz w:val="21"/>
                      <w:szCs w:val="21"/>
                    </w:rPr>
                    <w:t>HW49</w:t>
                  </w:r>
                </w:p>
                <w:p w14:paraId="1DDB9CDC">
                  <w:pPr>
                    <w:pStyle w:val="67"/>
                    <w:ind w:right="35"/>
                    <w:jc w:val="center"/>
                    <w:rPr>
                      <w:rFonts w:ascii="Times New Roman" w:hAnsi="Times New Roman"/>
                      <w:color w:val="auto"/>
                      <w:sz w:val="21"/>
                      <w:szCs w:val="21"/>
                    </w:rPr>
                  </w:pPr>
                  <w:r>
                    <w:rPr>
                      <w:rFonts w:hint="eastAsia" w:ascii="Times New Roman" w:hAnsi="Times New Roman"/>
                      <w:color w:val="auto"/>
                      <w:sz w:val="21"/>
                      <w:szCs w:val="21"/>
                    </w:rPr>
                    <w:t>900-047-49</w:t>
                  </w:r>
                </w:p>
              </w:tc>
              <w:tc>
                <w:tcPr>
                  <w:tcW w:w="625" w:type="pct"/>
                  <w:tcBorders>
                    <w:tl2br w:val="nil"/>
                    <w:tr2bl w:val="nil"/>
                  </w:tcBorders>
                  <w:noWrap w:val="0"/>
                  <w:vAlign w:val="center"/>
                </w:tcPr>
                <w:p w14:paraId="4D0205E4">
                  <w:pPr>
                    <w:pStyle w:val="67"/>
                    <w:ind w:left="43" w:right="35"/>
                    <w:jc w:val="center"/>
                    <w:rPr>
                      <w:rFonts w:ascii="Times New Roman" w:hAnsi="Times New Roman"/>
                      <w:color w:val="auto"/>
                      <w:sz w:val="21"/>
                      <w:szCs w:val="21"/>
                    </w:rPr>
                  </w:pPr>
                  <w:r>
                    <w:rPr>
                      <w:rFonts w:hint="eastAsia" w:ascii="Times New Roman" w:hAnsi="Times New Roman"/>
                      <w:color w:val="auto"/>
                      <w:sz w:val="21"/>
                      <w:szCs w:val="21"/>
                    </w:rPr>
                    <w:t>0.02</w:t>
                  </w:r>
                </w:p>
              </w:tc>
              <w:tc>
                <w:tcPr>
                  <w:tcW w:w="608" w:type="pct"/>
                  <w:tcBorders>
                    <w:tl2br w:val="nil"/>
                    <w:tr2bl w:val="nil"/>
                  </w:tcBorders>
                  <w:noWrap w:val="0"/>
                  <w:vAlign w:val="center"/>
                </w:tcPr>
                <w:p w14:paraId="211BAC73">
                  <w:pPr>
                    <w:pStyle w:val="67"/>
                    <w:ind w:right="35" w:rightChars="0"/>
                    <w:jc w:val="center"/>
                    <w:rPr>
                      <w:rFonts w:ascii="Times New Roman" w:hAnsi="Times New Roman"/>
                      <w:color w:val="auto"/>
                      <w:sz w:val="21"/>
                      <w:szCs w:val="21"/>
                    </w:rPr>
                  </w:pPr>
                  <w:r>
                    <w:rPr>
                      <w:rFonts w:ascii="Times New Roman" w:hAnsi="Times New Roman"/>
                      <w:color w:val="auto"/>
                      <w:sz w:val="21"/>
                      <w:szCs w:val="21"/>
                    </w:rPr>
                    <w:t>生产过程</w:t>
                  </w:r>
                </w:p>
              </w:tc>
              <w:tc>
                <w:tcPr>
                  <w:tcW w:w="489" w:type="pct"/>
                  <w:tcBorders>
                    <w:tl2br w:val="nil"/>
                    <w:tr2bl w:val="nil"/>
                  </w:tcBorders>
                  <w:noWrap w:val="0"/>
                  <w:vAlign w:val="center"/>
                </w:tcPr>
                <w:p w14:paraId="5CC93745">
                  <w:pPr>
                    <w:pStyle w:val="67"/>
                    <w:ind w:left="43" w:right="35"/>
                    <w:jc w:val="center"/>
                    <w:rPr>
                      <w:rFonts w:ascii="Times New Roman" w:hAnsi="Times New Roman"/>
                      <w:color w:val="auto"/>
                      <w:sz w:val="21"/>
                      <w:szCs w:val="21"/>
                    </w:rPr>
                  </w:pPr>
                  <w:r>
                    <w:rPr>
                      <w:rFonts w:hint="eastAsia" w:ascii="Times New Roman" w:hAnsi="Times New Roman"/>
                      <w:color w:val="auto"/>
                      <w:sz w:val="21"/>
                      <w:szCs w:val="21"/>
                    </w:rPr>
                    <w:t>固体</w:t>
                  </w:r>
                </w:p>
              </w:tc>
              <w:tc>
                <w:tcPr>
                  <w:tcW w:w="436" w:type="pct"/>
                  <w:tcBorders>
                    <w:tl2br w:val="nil"/>
                    <w:tr2bl w:val="nil"/>
                  </w:tcBorders>
                  <w:noWrap w:val="0"/>
                  <w:vAlign w:val="center"/>
                </w:tcPr>
                <w:p w14:paraId="7EA7FA18">
                  <w:pPr>
                    <w:pStyle w:val="67"/>
                    <w:ind w:left="43" w:right="35"/>
                    <w:jc w:val="center"/>
                    <w:rPr>
                      <w:rFonts w:ascii="Times New Roman" w:hAnsi="Times New Roman"/>
                      <w:color w:val="auto"/>
                      <w:sz w:val="21"/>
                      <w:szCs w:val="21"/>
                    </w:rPr>
                  </w:pPr>
                  <w:r>
                    <w:rPr>
                      <w:rFonts w:ascii="Times New Roman" w:hAnsi="Times New Roman"/>
                      <w:color w:val="auto"/>
                      <w:sz w:val="21"/>
                      <w:szCs w:val="21"/>
                    </w:rPr>
                    <w:t>I</w:t>
                  </w:r>
                </w:p>
              </w:tc>
              <w:tc>
                <w:tcPr>
                  <w:tcW w:w="850" w:type="pct"/>
                  <w:vMerge w:val="continue"/>
                  <w:tcBorders>
                    <w:tl2br w:val="nil"/>
                    <w:tr2bl w:val="nil"/>
                  </w:tcBorders>
                  <w:noWrap w:val="0"/>
                  <w:vAlign w:val="center"/>
                </w:tcPr>
                <w:p w14:paraId="710FC4E2">
                  <w:pPr>
                    <w:pStyle w:val="67"/>
                    <w:ind w:left="43" w:right="35"/>
                    <w:jc w:val="center"/>
                    <w:rPr>
                      <w:rFonts w:ascii="Times New Roman" w:hAnsi="Times New Roman"/>
                      <w:color w:val="auto"/>
                      <w:sz w:val="21"/>
                      <w:szCs w:val="21"/>
                    </w:rPr>
                  </w:pPr>
                </w:p>
              </w:tc>
            </w:tr>
          </w:tbl>
          <w:p w14:paraId="393F23CA">
            <w:pPr>
              <w:numPr>
                <w:ilvl w:val="0"/>
                <w:numId w:val="0"/>
              </w:numPr>
              <w:adjustRightInd w:val="0"/>
              <w:snapToGrid w:val="0"/>
              <w:spacing w:line="360" w:lineRule="auto"/>
              <w:rPr>
                <w:rFonts w:hint="default" w:ascii="Times New Roman" w:hAnsi="Times New Roman" w:cs="Times New Roman"/>
                <w:b/>
                <w:bCs w:val="0"/>
                <w:spacing w:val="0"/>
                <w:sz w:val="24"/>
                <w:szCs w:val="24"/>
                <w:lang w:val="en-US" w:eastAsia="zh-CN"/>
              </w:rPr>
            </w:pPr>
            <w:r>
              <w:rPr>
                <w:rFonts w:hint="default" w:ascii="Times New Roman" w:hAnsi="Times New Roman" w:cs="Times New Roman"/>
                <w:b/>
                <w:bCs w:val="0"/>
                <w:spacing w:val="0"/>
                <w:sz w:val="24"/>
                <w:szCs w:val="24"/>
                <w:lang w:val="en-US" w:eastAsia="zh-CN"/>
              </w:rPr>
              <w:t>4.2固体废物环境管理要求</w:t>
            </w:r>
          </w:p>
          <w:p w14:paraId="1B1A21D8">
            <w:pPr>
              <w:tabs>
                <w:tab w:val="left" w:pos="2851"/>
              </w:tabs>
              <w:adjustRightInd w:val="0"/>
              <w:snapToGrid w:val="0"/>
              <w:spacing w:line="360" w:lineRule="auto"/>
              <w:ind w:firstLine="480" w:firstLineChars="200"/>
              <w:rPr>
                <w:rFonts w:hint="eastAsia" w:cs="宋体"/>
                <w:color w:val="auto"/>
                <w:kern w:val="0"/>
                <w:sz w:val="24"/>
              </w:rPr>
            </w:pPr>
            <w:r>
              <w:rPr>
                <w:rFonts w:hint="eastAsia" w:cs="宋体"/>
                <w:color w:val="auto"/>
                <w:kern w:val="0"/>
                <w:sz w:val="24"/>
              </w:rPr>
              <w:t>本环评要求，建设单位应做好项目各固废分类收集，严格按照</w:t>
            </w:r>
            <w:r>
              <w:rPr>
                <w:rFonts w:hint="eastAsia" w:cs="宋体"/>
                <w:color w:val="auto"/>
                <w:kern w:val="0"/>
                <w:sz w:val="24"/>
                <w:lang w:eastAsia="zh-CN"/>
              </w:rPr>
              <w:t>《中华人民共和国固体废物污染环境防治法》（</w:t>
            </w:r>
            <w:r>
              <w:rPr>
                <w:rFonts w:hint="eastAsia" w:cs="宋体"/>
                <w:color w:val="auto"/>
                <w:kern w:val="0"/>
                <w:sz w:val="24"/>
                <w:lang w:val="en-US" w:eastAsia="zh-CN"/>
              </w:rPr>
              <w:t>2020年修订</w:t>
            </w:r>
            <w:r>
              <w:rPr>
                <w:rFonts w:hint="eastAsia" w:cs="宋体"/>
                <w:color w:val="auto"/>
                <w:kern w:val="0"/>
                <w:sz w:val="24"/>
                <w:lang w:eastAsia="zh-CN"/>
              </w:rPr>
              <w:t>）</w:t>
            </w:r>
            <w:r>
              <w:rPr>
                <w:rFonts w:hint="eastAsia" w:cs="宋体"/>
                <w:color w:val="auto"/>
                <w:kern w:val="0"/>
                <w:sz w:val="24"/>
              </w:rPr>
              <w:t>、《危险废物贮存污染控制标准》（GB18597-2023）要求设置一般固废暂存区、危废贮存库；生活垃圾设置垃圾桶。</w:t>
            </w:r>
          </w:p>
          <w:p w14:paraId="50229044">
            <w:pPr>
              <w:tabs>
                <w:tab w:val="left" w:pos="2851"/>
              </w:tabs>
              <w:adjustRightInd w:val="0"/>
              <w:snapToGrid w:val="0"/>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一般</w:t>
            </w:r>
            <w:r>
              <w:rPr>
                <w:rFonts w:hint="eastAsia" w:ascii="Times New Roman" w:hAnsi="Times New Roman"/>
                <w:color w:val="auto"/>
                <w:sz w:val="24"/>
                <w:szCs w:val="24"/>
                <w:highlight w:val="none"/>
                <w:lang w:val="en-US" w:eastAsia="zh-CN"/>
              </w:rPr>
              <w:t>固废</w:t>
            </w:r>
            <w:r>
              <w:rPr>
                <w:rFonts w:ascii="Times New Roman" w:hAnsi="Times New Roman"/>
                <w:color w:val="auto"/>
                <w:sz w:val="24"/>
                <w:szCs w:val="24"/>
                <w:highlight w:val="none"/>
              </w:rPr>
              <w:t>应执行《一般工业固体废物贮存、处置场污染控制标准》（GB18599-20</w:t>
            </w:r>
            <w:r>
              <w:rPr>
                <w:rFonts w:hint="eastAsia" w:ascii="Times New Roman" w:hAnsi="Times New Roman"/>
                <w:color w:val="auto"/>
                <w:sz w:val="24"/>
                <w:szCs w:val="24"/>
                <w:highlight w:val="none"/>
                <w:lang w:val="en-US" w:eastAsia="zh-CN"/>
              </w:rPr>
              <w:t>20</w:t>
            </w:r>
            <w:r>
              <w:rPr>
                <w:rFonts w:ascii="Times New Roman" w:hAnsi="Times New Roman"/>
                <w:color w:val="auto"/>
                <w:sz w:val="24"/>
                <w:szCs w:val="24"/>
                <w:highlight w:val="none"/>
              </w:rPr>
              <w:t>）中的有关规定，各类废物可分类收集、定点堆放在</w:t>
            </w:r>
            <w:r>
              <w:rPr>
                <w:rFonts w:hint="eastAsia" w:ascii="Times New Roman" w:hAnsi="Times New Roman"/>
                <w:color w:val="auto"/>
                <w:sz w:val="24"/>
                <w:szCs w:val="24"/>
                <w:highlight w:val="none"/>
                <w:lang w:val="en-US" w:eastAsia="zh-CN"/>
              </w:rPr>
              <w:t>一般固废暂存区</w:t>
            </w:r>
            <w:r>
              <w:rPr>
                <w:rFonts w:ascii="Times New Roman" w:hAnsi="Times New Roman"/>
                <w:color w:val="auto"/>
                <w:sz w:val="24"/>
                <w:szCs w:val="24"/>
                <w:highlight w:val="none"/>
              </w:rPr>
              <w:t>，同时定期外运处理。</w:t>
            </w:r>
          </w:p>
          <w:p w14:paraId="696883DD">
            <w:pPr>
              <w:tabs>
                <w:tab w:val="left" w:pos="2851"/>
              </w:tabs>
              <w:adjustRightInd w:val="0"/>
              <w:snapToGrid w:val="0"/>
              <w:spacing w:line="360" w:lineRule="auto"/>
              <w:ind w:firstLine="480" w:firstLineChars="200"/>
              <w:rPr>
                <w:rFonts w:cs="宋体"/>
                <w:color w:val="auto"/>
                <w:kern w:val="0"/>
                <w:sz w:val="24"/>
              </w:rPr>
            </w:pPr>
            <w:r>
              <w:rPr>
                <w:rFonts w:hint="eastAsia" w:cs="宋体"/>
                <w:color w:val="auto"/>
                <w:kern w:val="0"/>
                <w:sz w:val="24"/>
              </w:rPr>
              <w:t>根据《危险废物贮存污染控制标准》（GB18597-2023），</w:t>
            </w:r>
            <w:r>
              <w:rPr>
                <w:rFonts w:hint="eastAsia" w:cs="宋体"/>
                <w:color w:val="auto"/>
                <w:kern w:val="0"/>
                <w:sz w:val="24"/>
                <w:szCs w:val="24"/>
              </w:rPr>
              <w:t>按要求</w:t>
            </w:r>
            <w:r>
              <w:rPr>
                <w:rFonts w:hint="eastAsia" w:cs="宋体"/>
                <w:color w:val="auto"/>
                <w:kern w:val="0"/>
                <w:sz w:val="24"/>
                <w:szCs w:val="24"/>
                <w:lang w:val="en-US" w:eastAsia="zh-CN"/>
              </w:rPr>
              <w:t>在厂房</w:t>
            </w:r>
            <w:r>
              <w:rPr>
                <w:rFonts w:hint="eastAsia"/>
                <w:color w:val="auto"/>
                <w:sz w:val="24"/>
                <w:szCs w:val="24"/>
                <w:lang w:val="en-US" w:eastAsia="zh-CN"/>
              </w:rPr>
              <w:t>西侧</w:t>
            </w:r>
            <w:r>
              <w:rPr>
                <w:rFonts w:hint="eastAsia" w:cs="宋体"/>
                <w:color w:val="auto"/>
                <w:kern w:val="0"/>
                <w:sz w:val="24"/>
                <w:szCs w:val="24"/>
              </w:rPr>
              <w:t>设置1间</w:t>
            </w:r>
            <w:r>
              <w:rPr>
                <w:rFonts w:hint="eastAsia"/>
                <w:color w:val="auto"/>
                <w:sz w:val="24"/>
                <w:szCs w:val="24"/>
              </w:rPr>
              <w:t>面积约5</w:t>
            </w:r>
            <w:r>
              <w:rPr>
                <w:rFonts w:hint="eastAsia"/>
                <w:color w:val="auto"/>
                <w:kern w:val="0"/>
                <w:sz w:val="24"/>
                <w:szCs w:val="24"/>
              </w:rPr>
              <w:t xml:space="preserve"> m</w:t>
            </w:r>
            <w:r>
              <w:rPr>
                <w:rFonts w:hint="eastAsia"/>
                <w:color w:val="auto"/>
                <w:kern w:val="0"/>
                <w:sz w:val="24"/>
                <w:szCs w:val="24"/>
                <w:vertAlign w:val="superscript"/>
              </w:rPr>
              <w:t>2</w:t>
            </w:r>
            <w:r>
              <w:rPr>
                <w:rFonts w:hint="eastAsia" w:cs="宋体"/>
                <w:color w:val="auto"/>
                <w:kern w:val="0"/>
                <w:sz w:val="24"/>
                <w:szCs w:val="24"/>
              </w:rPr>
              <w:t>危废贮存库</w:t>
            </w:r>
            <w:r>
              <w:rPr>
                <w:rFonts w:hint="eastAsia" w:cs="宋体"/>
                <w:color w:val="auto"/>
                <w:kern w:val="0"/>
                <w:sz w:val="24"/>
              </w:rPr>
              <w:t>，并做好防雨、防晒、防渗、防扬散和防火等措施，危废贮存区域为重点防渗区，防止二次污染发生，并应按以下要求对危险废物进行</w:t>
            </w:r>
            <w:r>
              <w:rPr>
                <w:rFonts w:hint="eastAsia" w:cs="宋体"/>
                <w:color w:val="auto"/>
                <w:kern w:val="0"/>
                <w:sz w:val="24"/>
                <w:lang w:val="en-US" w:eastAsia="zh-CN"/>
              </w:rPr>
              <w:t>建设和</w:t>
            </w:r>
            <w:r>
              <w:rPr>
                <w:rFonts w:hint="eastAsia" w:cs="宋体"/>
                <w:color w:val="auto"/>
                <w:kern w:val="0"/>
                <w:sz w:val="24"/>
              </w:rPr>
              <w:t>管理。</w:t>
            </w:r>
          </w:p>
          <w:p w14:paraId="595B8A12">
            <w:pPr>
              <w:tabs>
                <w:tab w:val="left" w:pos="2851"/>
              </w:tabs>
              <w:adjustRightInd w:val="0"/>
              <w:snapToGrid w:val="0"/>
              <w:spacing w:line="360" w:lineRule="auto"/>
              <w:ind w:firstLine="480" w:firstLineChars="200"/>
              <w:rPr>
                <w:rFonts w:cs="宋体"/>
                <w:color w:val="auto"/>
                <w:kern w:val="0"/>
                <w:sz w:val="24"/>
              </w:rPr>
            </w:pPr>
            <w:r>
              <w:rPr>
                <w:rFonts w:hint="eastAsia" w:cs="宋体"/>
                <w:color w:val="auto"/>
                <w:kern w:val="0"/>
                <w:sz w:val="24"/>
              </w:rPr>
              <w:t>危险废物贮存库污染控制要求：</w:t>
            </w:r>
          </w:p>
          <w:p w14:paraId="0E4A12C2">
            <w:pPr>
              <w:tabs>
                <w:tab w:val="left" w:pos="2851"/>
              </w:tabs>
              <w:adjustRightInd w:val="0"/>
              <w:snapToGrid w:val="0"/>
              <w:spacing w:line="360" w:lineRule="auto"/>
              <w:ind w:firstLine="480" w:firstLineChars="200"/>
              <w:rPr>
                <w:rFonts w:cs="宋体"/>
                <w:color w:val="auto"/>
                <w:kern w:val="0"/>
                <w:sz w:val="24"/>
              </w:rPr>
            </w:pPr>
            <w:r>
              <w:rPr>
                <w:rFonts w:hint="eastAsia" w:cs="宋体"/>
                <w:color w:val="auto"/>
                <w:kern w:val="0"/>
                <w:sz w:val="24"/>
              </w:rPr>
              <w:t>①贮存设施应采取必要的防风、防晒、防雨、防漏、防渗、防腐以及其他环境污染防治措施，不应露天堆放危险废物。</w:t>
            </w:r>
          </w:p>
          <w:p w14:paraId="128E0A70">
            <w:pPr>
              <w:tabs>
                <w:tab w:val="left" w:pos="2851"/>
              </w:tabs>
              <w:adjustRightInd w:val="0"/>
              <w:snapToGrid w:val="0"/>
              <w:spacing w:line="360" w:lineRule="auto"/>
              <w:ind w:firstLine="480" w:firstLineChars="200"/>
              <w:rPr>
                <w:rFonts w:cs="宋体"/>
                <w:color w:val="auto"/>
                <w:kern w:val="0"/>
                <w:sz w:val="24"/>
              </w:rPr>
            </w:pPr>
            <w:r>
              <w:rPr>
                <w:rFonts w:hint="eastAsia" w:cs="宋体"/>
                <w:color w:val="auto"/>
                <w:kern w:val="0"/>
                <w:sz w:val="24"/>
              </w:rPr>
              <w:t>②贮存设施应设置必要的贮存分区，贮存危险废物应根据危险废物的类别、形态、物理化学性质和污染防治要求进行分类贮存，且应避免危险废物与不相容的物质或材料接触。</w:t>
            </w:r>
          </w:p>
          <w:p w14:paraId="3F33B94F">
            <w:pPr>
              <w:tabs>
                <w:tab w:val="left" w:pos="2851"/>
              </w:tabs>
              <w:adjustRightInd w:val="0"/>
              <w:snapToGrid w:val="0"/>
              <w:spacing w:line="360" w:lineRule="auto"/>
              <w:ind w:firstLine="480" w:firstLineChars="200"/>
              <w:rPr>
                <w:rFonts w:cs="宋体"/>
                <w:color w:val="auto"/>
                <w:kern w:val="0"/>
                <w:sz w:val="24"/>
              </w:rPr>
            </w:pPr>
            <w:r>
              <w:rPr>
                <w:rFonts w:hint="eastAsia" w:cs="宋体"/>
                <w:color w:val="auto"/>
                <w:kern w:val="0"/>
                <w:sz w:val="24"/>
              </w:rPr>
              <w:t>③贮存设施或贮存分区内地面、墙面裙脚、堵截泄漏的围堰、接触危险废物的隔板和墙体等应采 用坚固的材料建造，表面无裂缝。</w:t>
            </w:r>
          </w:p>
          <w:p w14:paraId="7E4A3691">
            <w:pPr>
              <w:tabs>
                <w:tab w:val="left" w:pos="2851"/>
              </w:tabs>
              <w:adjustRightInd w:val="0"/>
              <w:snapToGrid w:val="0"/>
              <w:spacing w:line="360" w:lineRule="auto"/>
              <w:ind w:firstLine="480" w:firstLineChars="200"/>
              <w:rPr>
                <w:rFonts w:cs="宋体"/>
                <w:color w:val="auto"/>
                <w:kern w:val="0"/>
                <w:sz w:val="24"/>
              </w:rPr>
            </w:pPr>
            <w:r>
              <w:rPr>
                <w:rFonts w:hint="eastAsia" w:cs="宋体"/>
                <w:color w:val="auto"/>
                <w:kern w:val="0"/>
                <w:sz w:val="24"/>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cs="宋体"/>
                <w:color w:val="auto"/>
                <w:kern w:val="0"/>
                <w:sz w:val="24"/>
                <w:vertAlign w:val="superscript"/>
              </w:rPr>
              <w:t>-7</w:t>
            </w:r>
            <w:r>
              <w:rPr>
                <w:rFonts w:hint="eastAsia" w:cs="宋体"/>
                <w:color w:val="auto"/>
                <w:kern w:val="0"/>
                <w:sz w:val="24"/>
              </w:rPr>
              <w:t>cm/s），或至少2mm厚高密度聚乙烯膜等人工防渗材料（渗透系数不大于10</w:t>
            </w:r>
            <w:r>
              <w:rPr>
                <w:rFonts w:hint="eastAsia" w:cs="宋体"/>
                <w:color w:val="auto"/>
                <w:kern w:val="0"/>
                <w:sz w:val="24"/>
                <w:vertAlign w:val="superscript"/>
              </w:rPr>
              <w:t>-10</w:t>
            </w:r>
            <w:r>
              <w:rPr>
                <w:rFonts w:hint="eastAsia" w:cs="宋体"/>
                <w:color w:val="auto"/>
                <w:kern w:val="0"/>
                <w:sz w:val="24"/>
              </w:rPr>
              <w:t>cm/s），或其他防渗性能等效的材料。</w:t>
            </w:r>
          </w:p>
          <w:p w14:paraId="70D3CD9C">
            <w:pPr>
              <w:tabs>
                <w:tab w:val="left" w:pos="2851"/>
              </w:tabs>
              <w:adjustRightInd w:val="0"/>
              <w:snapToGrid w:val="0"/>
              <w:spacing w:line="360" w:lineRule="auto"/>
              <w:ind w:firstLine="480" w:firstLineChars="200"/>
              <w:rPr>
                <w:rFonts w:cs="宋体"/>
                <w:color w:val="auto"/>
                <w:kern w:val="0"/>
                <w:sz w:val="24"/>
              </w:rPr>
            </w:pPr>
            <w:r>
              <w:rPr>
                <w:rFonts w:hint="eastAsia" w:cs="宋体"/>
                <w:color w:val="auto"/>
                <w:kern w:val="0"/>
                <w:sz w:val="24"/>
              </w:rPr>
              <w:t>⑤同一贮存设施宜采用相同的防渗、防腐工艺（包括防渗、防腐结构或材料），防渗、防腐材料应覆盖所有可能与废物及其渗滤液、渗漏液等接触的构筑物表面；采用不同防渗、防腐工艺应分别建设贮存分区。</w:t>
            </w:r>
          </w:p>
          <w:p w14:paraId="4A7ECE0B">
            <w:pPr>
              <w:tabs>
                <w:tab w:val="left" w:pos="2851"/>
              </w:tabs>
              <w:adjustRightInd w:val="0"/>
              <w:snapToGrid w:val="0"/>
              <w:spacing w:line="360" w:lineRule="auto"/>
              <w:ind w:firstLine="480" w:firstLineChars="200"/>
              <w:rPr>
                <w:rFonts w:cs="宋体"/>
                <w:color w:val="auto"/>
                <w:kern w:val="0"/>
                <w:sz w:val="24"/>
              </w:rPr>
            </w:pPr>
            <w:r>
              <w:rPr>
                <w:rFonts w:hint="eastAsia" w:cs="宋体"/>
                <w:color w:val="auto"/>
                <w:kern w:val="0"/>
                <w:sz w:val="24"/>
              </w:rPr>
              <w:t>⑥贮存设施应采取技术和管理措施防止无关人员进入。</w:t>
            </w:r>
          </w:p>
          <w:p w14:paraId="4FB40737">
            <w:pPr>
              <w:tabs>
                <w:tab w:val="left" w:pos="2851"/>
              </w:tabs>
              <w:adjustRightInd w:val="0"/>
              <w:snapToGrid w:val="0"/>
              <w:spacing w:line="360" w:lineRule="auto"/>
              <w:ind w:firstLine="480" w:firstLineChars="200"/>
              <w:rPr>
                <w:rFonts w:cs="宋体"/>
                <w:color w:val="auto"/>
                <w:kern w:val="0"/>
                <w:sz w:val="24"/>
              </w:rPr>
            </w:pPr>
            <w:r>
              <w:rPr>
                <w:rFonts w:hint="eastAsia" w:cs="宋体"/>
                <w:color w:val="auto"/>
                <w:kern w:val="0"/>
                <w:sz w:val="24"/>
              </w:rPr>
              <w:t>贮存过程污染控制要求：</w:t>
            </w:r>
          </w:p>
          <w:p w14:paraId="23F84F64">
            <w:pPr>
              <w:tabs>
                <w:tab w:val="left" w:pos="2851"/>
              </w:tabs>
              <w:adjustRightInd w:val="0"/>
              <w:snapToGrid w:val="0"/>
              <w:spacing w:line="360" w:lineRule="auto"/>
              <w:ind w:firstLine="480" w:firstLineChars="200"/>
              <w:rPr>
                <w:rFonts w:cs="宋体"/>
                <w:color w:val="auto"/>
                <w:kern w:val="0"/>
                <w:sz w:val="24"/>
              </w:rPr>
            </w:pPr>
            <w:r>
              <w:rPr>
                <w:rFonts w:hint="eastAsia" w:cs="宋体"/>
                <w:color w:val="auto"/>
                <w:kern w:val="0"/>
                <w:sz w:val="24"/>
              </w:rPr>
              <w:t>①危险固废应分类堆存，不相容的危险废物必须分开存放，并设有隔离间隔断。</w:t>
            </w:r>
          </w:p>
          <w:p w14:paraId="11431AF1">
            <w:pPr>
              <w:tabs>
                <w:tab w:val="left" w:pos="2851"/>
              </w:tabs>
              <w:adjustRightInd w:val="0"/>
              <w:snapToGrid w:val="0"/>
              <w:spacing w:line="360" w:lineRule="auto"/>
              <w:ind w:firstLine="480" w:firstLineChars="200"/>
              <w:rPr>
                <w:rFonts w:hint="eastAsia" w:cs="宋体"/>
                <w:color w:val="auto"/>
                <w:kern w:val="0"/>
                <w:sz w:val="24"/>
              </w:rPr>
            </w:pPr>
            <w:r>
              <w:rPr>
                <w:rFonts w:hint="eastAsia" w:cs="宋体"/>
                <w:color w:val="auto"/>
                <w:kern w:val="0"/>
                <w:sz w:val="24"/>
              </w:rPr>
              <w:t>②危废贮存库应按照《危险废物贮存污染控制标准》（GB 18597-2023）和《危险废物识别标志设置技术规范》（HJ 1276-2022）等要求设置规范的标识、标牌。</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097"/>
              <w:gridCol w:w="4097"/>
            </w:tblGrid>
            <w:tr w14:paraId="0D4C4E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23" w:hRule="atLeast"/>
                <w:jc w:val="center"/>
              </w:trPr>
              <w:tc>
                <w:tcPr>
                  <w:tcW w:w="2499" w:type="pct"/>
                  <w:noWrap w:val="0"/>
                  <w:vAlign w:val="center"/>
                </w:tcPr>
                <w:p w14:paraId="50306A1D">
                  <w:pPr>
                    <w:jc w:val="center"/>
                    <w:rPr>
                      <w:rFonts w:hint="eastAsia"/>
                      <w:color w:val="auto"/>
                      <w:sz w:val="24"/>
                    </w:rPr>
                  </w:pPr>
                  <w:r>
                    <w:rPr>
                      <w:rFonts w:hint="eastAsia"/>
                      <w:color w:val="auto"/>
                      <w:sz w:val="24"/>
                    </w:rPr>
                    <w:drawing>
                      <wp:inline distT="0" distB="0" distL="114300" distR="114300">
                        <wp:extent cx="2442210" cy="1548130"/>
                        <wp:effectExtent l="0" t="0" r="15240" b="13970"/>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24"/>
                                <a:stretch>
                                  <a:fillRect/>
                                </a:stretch>
                              </pic:blipFill>
                              <pic:spPr>
                                <a:xfrm>
                                  <a:off x="0" y="0"/>
                                  <a:ext cx="2442210" cy="1548130"/>
                                </a:xfrm>
                                <a:prstGeom prst="rect">
                                  <a:avLst/>
                                </a:prstGeom>
                                <a:noFill/>
                                <a:ln>
                                  <a:noFill/>
                                </a:ln>
                              </pic:spPr>
                            </pic:pic>
                          </a:graphicData>
                        </a:graphic>
                      </wp:inline>
                    </w:drawing>
                  </w:r>
                </w:p>
              </w:tc>
              <w:tc>
                <w:tcPr>
                  <w:tcW w:w="2500" w:type="pct"/>
                  <w:noWrap w:val="0"/>
                  <w:vAlign w:val="center"/>
                </w:tcPr>
                <w:p w14:paraId="5316A06D">
                  <w:pPr>
                    <w:jc w:val="center"/>
                    <w:rPr>
                      <w:rFonts w:hint="eastAsia"/>
                      <w:color w:val="auto"/>
                      <w:sz w:val="24"/>
                    </w:rPr>
                  </w:pPr>
                  <w:r>
                    <w:rPr>
                      <w:rFonts w:hint="eastAsia"/>
                      <w:color w:val="auto"/>
                      <w:sz w:val="24"/>
                    </w:rPr>
                    <w:drawing>
                      <wp:inline distT="0" distB="0" distL="114300" distR="114300">
                        <wp:extent cx="1767205" cy="1764030"/>
                        <wp:effectExtent l="0" t="0" r="4445" b="762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pic:cNvPicPr>
                              </pic:nvPicPr>
                              <pic:blipFill>
                                <a:blip r:embed="rId25"/>
                                <a:stretch>
                                  <a:fillRect/>
                                </a:stretch>
                              </pic:blipFill>
                              <pic:spPr>
                                <a:xfrm>
                                  <a:off x="0" y="0"/>
                                  <a:ext cx="1767205" cy="1764030"/>
                                </a:xfrm>
                                <a:prstGeom prst="rect">
                                  <a:avLst/>
                                </a:prstGeom>
                                <a:noFill/>
                                <a:ln>
                                  <a:noFill/>
                                </a:ln>
                              </pic:spPr>
                            </pic:pic>
                          </a:graphicData>
                        </a:graphic>
                      </wp:inline>
                    </w:drawing>
                  </w:r>
                </w:p>
              </w:tc>
            </w:tr>
            <w:tr w14:paraId="3278E6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3" w:hRule="atLeast"/>
                <w:jc w:val="center"/>
              </w:trPr>
              <w:tc>
                <w:tcPr>
                  <w:tcW w:w="2499" w:type="pct"/>
                  <w:noWrap w:val="0"/>
                  <w:vAlign w:val="center"/>
                </w:tcPr>
                <w:p w14:paraId="0DF2499F">
                  <w:pPr>
                    <w:jc w:val="center"/>
                    <w:rPr>
                      <w:rFonts w:hint="eastAsia"/>
                      <w:color w:val="auto"/>
                    </w:rPr>
                  </w:pPr>
                  <w:r>
                    <w:rPr>
                      <w:rFonts w:hint="eastAsia"/>
                      <w:color w:val="auto"/>
                    </w:rPr>
                    <w:t>危险废物贮存场所标识</w:t>
                  </w:r>
                </w:p>
              </w:tc>
              <w:tc>
                <w:tcPr>
                  <w:tcW w:w="2500" w:type="pct"/>
                  <w:noWrap w:val="0"/>
                  <w:vAlign w:val="center"/>
                </w:tcPr>
                <w:p w14:paraId="6A3E3F13">
                  <w:pPr>
                    <w:jc w:val="center"/>
                    <w:rPr>
                      <w:rFonts w:hint="eastAsia"/>
                      <w:color w:val="auto"/>
                    </w:rPr>
                  </w:pPr>
                  <w:r>
                    <w:rPr>
                      <w:rFonts w:hint="eastAsia"/>
                      <w:color w:val="auto"/>
                    </w:rPr>
                    <w:t>危险废物标签标识</w:t>
                  </w:r>
                </w:p>
              </w:tc>
            </w:tr>
            <w:tr w14:paraId="08D79E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3" w:hRule="atLeast"/>
                <w:jc w:val="center"/>
              </w:trPr>
              <w:tc>
                <w:tcPr>
                  <w:tcW w:w="2499" w:type="pct"/>
                  <w:noWrap w:val="0"/>
                  <w:vAlign w:val="center"/>
                </w:tcPr>
                <w:p w14:paraId="58176BCB">
                  <w:pPr>
                    <w:jc w:val="center"/>
                    <w:rPr>
                      <w:rFonts w:hint="eastAsia"/>
                      <w:color w:val="FF0000"/>
                    </w:rPr>
                  </w:pPr>
                  <w:r>
                    <w:rPr>
                      <w:rFonts w:ascii="宋体" w:hAnsi="宋体" w:eastAsia="宋体" w:cs="宋体"/>
                      <w:sz w:val="24"/>
                      <w:szCs w:val="24"/>
                    </w:rPr>
                    <w:drawing>
                      <wp:inline distT="0" distB="0" distL="114300" distR="114300">
                        <wp:extent cx="2463800" cy="2463800"/>
                        <wp:effectExtent l="0" t="0" r="12700" b="12700"/>
                        <wp:docPr id="22"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IMG_256"/>
                                <pic:cNvPicPr>
                                  <a:picLocks noChangeAspect="1"/>
                                </pic:cNvPicPr>
                              </pic:nvPicPr>
                              <pic:blipFill>
                                <a:blip r:embed="rId26"/>
                                <a:stretch>
                                  <a:fillRect/>
                                </a:stretch>
                              </pic:blipFill>
                              <pic:spPr>
                                <a:xfrm>
                                  <a:off x="0" y="0"/>
                                  <a:ext cx="2463800" cy="2463800"/>
                                </a:xfrm>
                                <a:prstGeom prst="rect">
                                  <a:avLst/>
                                </a:prstGeom>
                                <a:noFill/>
                                <a:ln w="9525">
                                  <a:noFill/>
                                </a:ln>
                              </pic:spPr>
                            </pic:pic>
                          </a:graphicData>
                        </a:graphic>
                      </wp:inline>
                    </w:drawing>
                  </w:r>
                </w:p>
              </w:tc>
              <w:tc>
                <w:tcPr>
                  <w:tcW w:w="2500" w:type="pct"/>
                  <w:noWrap w:val="0"/>
                  <w:vAlign w:val="center"/>
                </w:tcPr>
                <w:p w14:paraId="2F457CD4">
                  <w:pPr>
                    <w:jc w:val="center"/>
                    <w:rPr>
                      <w:rFonts w:hint="eastAsia" w:eastAsia="宋体"/>
                      <w:color w:val="FF0000"/>
                      <w:lang w:eastAsia="zh-CN"/>
                    </w:rPr>
                  </w:pPr>
                  <w:r>
                    <w:rPr>
                      <w:rFonts w:hint="eastAsia" w:eastAsia="宋体"/>
                      <w:color w:val="FF0000"/>
                      <w:lang w:eastAsia="zh-CN"/>
                    </w:rPr>
                    <w:drawing>
                      <wp:inline distT="0" distB="0" distL="114300" distR="114300">
                        <wp:extent cx="2526665" cy="1415415"/>
                        <wp:effectExtent l="0" t="0" r="6985" b="13335"/>
                        <wp:docPr id="23" name="图片 23" descr="IMG_20251211_16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251211_162522"/>
                                <pic:cNvPicPr>
                                  <a:picLocks noChangeAspect="1"/>
                                </pic:cNvPicPr>
                              </pic:nvPicPr>
                              <pic:blipFill>
                                <a:blip r:embed="rId27"/>
                                <a:stretch>
                                  <a:fillRect/>
                                </a:stretch>
                              </pic:blipFill>
                              <pic:spPr>
                                <a:xfrm>
                                  <a:off x="0" y="0"/>
                                  <a:ext cx="2526665" cy="1415415"/>
                                </a:xfrm>
                                <a:prstGeom prst="rect">
                                  <a:avLst/>
                                </a:prstGeom>
                              </pic:spPr>
                            </pic:pic>
                          </a:graphicData>
                        </a:graphic>
                      </wp:inline>
                    </w:drawing>
                  </w:r>
                </w:p>
              </w:tc>
            </w:tr>
            <w:tr w14:paraId="47228C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3" w:hRule="atLeast"/>
                <w:jc w:val="center"/>
              </w:trPr>
              <w:tc>
                <w:tcPr>
                  <w:tcW w:w="2499" w:type="pct"/>
                  <w:noWrap w:val="0"/>
                  <w:vAlign w:val="center"/>
                </w:tcPr>
                <w:p w14:paraId="2B4CDAFB">
                  <w:pPr>
                    <w:jc w:val="center"/>
                    <w:rPr>
                      <w:rFonts w:hint="eastAsia" w:eastAsia="宋体"/>
                      <w:color w:val="auto"/>
                      <w:lang w:eastAsia="zh-CN"/>
                    </w:rPr>
                  </w:pPr>
                  <w:r>
                    <w:rPr>
                      <w:rFonts w:hint="eastAsia"/>
                      <w:color w:val="auto"/>
                    </w:rPr>
                    <w:fldChar w:fldCharType="begin"/>
                  </w:r>
                  <w:r>
                    <w:rPr>
                      <w:rFonts w:hint="eastAsia"/>
                      <w:color w:val="auto"/>
                    </w:rPr>
                    <w:instrText xml:space="preserve"> HYPERLINK "https://www.mee.gov.cn/ywgz/fgbz/bz/bzwb/gthw/wxfwjbffbz/202302/W020230515591221300736.jpg" </w:instrText>
                  </w:r>
                  <w:r>
                    <w:rPr>
                      <w:rFonts w:hint="eastAsia"/>
                      <w:color w:val="auto"/>
                    </w:rPr>
                    <w:fldChar w:fldCharType="separate"/>
                  </w:r>
                  <w:r>
                    <w:rPr>
                      <w:rFonts w:hint="eastAsia"/>
                      <w:color w:val="auto"/>
                    </w:rPr>
                    <w:t>危险废物贮存分区标志</w:t>
                  </w:r>
                  <w:r>
                    <w:rPr>
                      <w:rFonts w:hint="eastAsia"/>
                      <w:color w:val="auto"/>
                    </w:rPr>
                    <w:fldChar w:fldCharType="end"/>
                  </w:r>
                  <w:r>
                    <w:rPr>
                      <w:rFonts w:hint="eastAsia"/>
                      <w:color w:val="auto"/>
                    </w:rPr>
                    <w:t>示意图</w:t>
                  </w:r>
                </w:p>
              </w:tc>
              <w:tc>
                <w:tcPr>
                  <w:tcW w:w="2500" w:type="pct"/>
                  <w:noWrap w:val="0"/>
                  <w:vAlign w:val="center"/>
                </w:tcPr>
                <w:p w14:paraId="686CDA57">
                  <w:pPr>
                    <w:jc w:val="center"/>
                    <w:rPr>
                      <w:rFonts w:hint="eastAsia"/>
                      <w:color w:val="auto"/>
                    </w:rPr>
                  </w:pPr>
                  <w:r>
                    <w:rPr>
                      <w:rFonts w:hint="eastAsia"/>
                      <w:color w:val="auto"/>
                    </w:rPr>
                    <w:t>危险废物贮存分区标志设置示意图</w:t>
                  </w:r>
                </w:p>
              </w:tc>
            </w:tr>
          </w:tbl>
          <w:p w14:paraId="045FF9B1">
            <w:pPr>
              <w:spacing w:line="360" w:lineRule="auto"/>
              <w:jc w:val="center"/>
              <w:rPr>
                <w:b/>
                <w:color w:val="auto"/>
                <w:spacing w:val="-10"/>
                <w:sz w:val="24"/>
              </w:rPr>
            </w:pPr>
            <w:r>
              <w:rPr>
                <w:rFonts w:hint="eastAsia"/>
                <w:b/>
                <w:bCs/>
                <w:color w:val="auto"/>
                <w:sz w:val="24"/>
              </w:rPr>
              <w:t>图4-1  危险废物管理标识</w:t>
            </w:r>
          </w:p>
          <w:p w14:paraId="0AE8A34F">
            <w:pPr>
              <w:tabs>
                <w:tab w:val="left" w:pos="2851"/>
              </w:tabs>
              <w:adjustRightInd w:val="0"/>
              <w:snapToGrid w:val="0"/>
              <w:spacing w:line="360" w:lineRule="auto"/>
              <w:ind w:firstLine="480" w:firstLineChars="200"/>
              <w:rPr>
                <w:rFonts w:cs="宋体"/>
                <w:color w:val="auto"/>
                <w:kern w:val="0"/>
                <w:sz w:val="24"/>
              </w:rPr>
            </w:pPr>
            <w:r>
              <w:rPr>
                <w:rFonts w:hint="eastAsia" w:cs="宋体"/>
                <w:color w:val="auto"/>
                <w:kern w:val="0"/>
                <w:sz w:val="24"/>
              </w:rPr>
              <w:t>③运行期间，应按国家有关标准和规定建立危险废物管理台账并保存。</w:t>
            </w:r>
          </w:p>
          <w:p w14:paraId="532C7BC7">
            <w:pPr>
              <w:tabs>
                <w:tab w:val="left" w:pos="2851"/>
              </w:tabs>
              <w:adjustRightInd w:val="0"/>
              <w:snapToGrid w:val="0"/>
              <w:spacing w:line="360" w:lineRule="auto"/>
              <w:ind w:firstLine="480" w:firstLineChars="200"/>
              <w:rPr>
                <w:rFonts w:cs="宋体"/>
                <w:color w:val="auto"/>
                <w:kern w:val="0"/>
                <w:sz w:val="24"/>
              </w:rPr>
            </w:pPr>
            <w:r>
              <w:rPr>
                <w:rFonts w:hint="eastAsia" w:cs="宋体"/>
                <w:color w:val="auto"/>
                <w:kern w:val="0"/>
                <w:sz w:val="24"/>
              </w:rPr>
              <w:t>④建立贮存设施环境管理制度、管理人员岗位职责制度、设施运行操作制度、人员岗位培训制度等。</w:t>
            </w:r>
          </w:p>
          <w:p w14:paraId="4D5B8029">
            <w:pPr>
              <w:tabs>
                <w:tab w:val="left" w:pos="2851"/>
              </w:tabs>
              <w:adjustRightInd w:val="0"/>
              <w:snapToGrid w:val="0"/>
              <w:spacing w:line="360" w:lineRule="auto"/>
              <w:ind w:firstLine="480" w:firstLineChars="200"/>
              <w:rPr>
                <w:rFonts w:cs="宋体"/>
                <w:color w:val="auto"/>
                <w:kern w:val="0"/>
                <w:sz w:val="24"/>
              </w:rPr>
            </w:pPr>
            <w:r>
              <w:rPr>
                <w:rFonts w:hint="eastAsia" w:cs="宋体"/>
                <w:color w:val="auto"/>
                <w:kern w:val="0"/>
                <w:sz w:val="24"/>
              </w:rPr>
              <w:t>危废贮存库环境管理要求：</w:t>
            </w:r>
          </w:p>
          <w:p w14:paraId="5CC15269">
            <w:pPr>
              <w:tabs>
                <w:tab w:val="left" w:pos="2851"/>
              </w:tabs>
              <w:adjustRightInd w:val="0"/>
              <w:snapToGrid w:val="0"/>
              <w:spacing w:line="360" w:lineRule="auto"/>
              <w:ind w:firstLine="480" w:firstLineChars="200"/>
              <w:rPr>
                <w:rFonts w:cs="宋体"/>
                <w:color w:val="auto"/>
                <w:kern w:val="0"/>
                <w:sz w:val="24"/>
              </w:rPr>
            </w:pPr>
            <w:r>
              <w:rPr>
                <w:rFonts w:hint="eastAsia" w:cs="宋体"/>
                <w:color w:val="auto"/>
                <w:kern w:val="0"/>
                <w:sz w:val="24"/>
              </w:rPr>
              <w:t xml:space="preserve">①贮存库应具有固定的区域边界，采取防风、防雨、防晒和防止危险废物流失、扬散等措施，危险废物应置于容器或包装物中，不应直接散堆； </w:t>
            </w:r>
          </w:p>
          <w:p w14:paraId="4ABABCDA">
            <w:pPr>
              <w:tabs>
                <w:tab w:val="left" w:pos="2851"/>
              </w:tabs>
              <w:adjustRightInd w:val="0"/>
              <w:snapToGrid w:val="0"/>
              <w:spacing w:line="360" w:lineRule="auto"/>
              <w:ind w:firstLine="480" w:firstLineChars="200"/>
              <w:rPr>
                <w:rFonts w:cs="宋体"/>
                <w:color w:val="auto"/>
                <w:kern w:val="0"/>
                <w:sz w:val="24"/>
              </w:rPr>
            </w:pPr>
            <w:r>
              <w:rPr>
                <w:rFonts w:hint="eastAsia" w:cs="宋体"/>
                <w:color w:val="auto"/>
                <w:kern w:val="0"/>
                <w:sz w:val="24"/>
              </w:rPr>
              <w:t>②危险废物产生单位在转移危险废物前，须按照国家有关规定报批危险废物转移计划；经批准后，产生单位应当向移出地环境保护行政主管部门申请领取联单。联单保存期限为十年。</w:t>
            </w:r>
          </w:p>
          <w:p w14:paraId="199FE4AA">
            <w:pPr>
              <w:tabs>
                <w:tab w:val="left" w:pos="2851"/>
              </w:tabs>
              <w:adjustRightInd w:val="0"/>
              <w:snapToGrid w:val="0"/>
              <w:spacing w:line="360" w:lineRule="auto"/>
              <w:ind w:firstLine="480" w:firstLineChars="200"/>
              <w:rPr>
                <w:rFonts w:cs="宋体"/>
                <w:color w:val="auto"/>
                <w:kern w:val="0"/>
                <w:sz w:val="24"/>
              </w:rPr>
            </w:pPr>
            <w:r>
              <w:rPr>
                <w:rFonts w:hint="eastAsia" w:cs="宋体"/>
                <w:color w:val="auto"/>
                <w:kern w:val="0"/>
                <w:sz w:val="24"/>
              </w:rPr>
              <w:t>③贮存场所处粘贴危险废物标签，并作好相应的记录。危险废物由危废处置单位定期清运处理，包装容器为密封容器，容器上粘贴标签，注明种类、成分、危险类别、产地、禁忌与安全措施等，并采用专用密闭车辆，保证运输过程无泄漏。</w:t>
            </w:r>
          </w:p>
          <w:p w14:paraId="3CD1ACD3">
            <w:pPr>
              <w:pStyle w:val="12"/>
              <w:spacing w:line="360" w:lineRule="auto"/>
              <w:ind w:left="0" w:leftChars="0" w:firstLine="480" w:firstLineChars="200"/>
              <w:rPr>
                <w:rFonts w:hint="default" w:ascii="Times New Roman" w:hAnsi="Times New Roman" w:cs="Times New Roman"/>
                <w:color w:val="000000"/>
                <w:sz w:val="24"/>
                <w:highlight w:val="none"/>
                <w:lang w:val="en-US" w:eastAsia="zh-CN"/>
              </w:rPr>
            </w:pPr>
            <w:r>
              <w:rPr>
                <w:rFonts w:hint="eastAsia" w:cs="宋体"/>
                <w:color w:val="auto"/>
                <w:kern w:val="0"/>
                <w:sz w:val="24"/>
              </w:rPr>
              <w:t>以上处置措施可保证项目产生的一般固废和危险废物均能得到安全和妥善的处理，不会因长期堆放而对周围环境造成不利影响，固废处置措施有效可行，能够做到资源化、无害化，不对外随意排放。综上所述，固体废弃物均得到妥善处理，对环境产生的影响较小</w:t>
            </w:r>
            <w:r>
              <w:rPr>
                <w:rFonts w:hint="default" w:ascii="Times New Roman" w:hAnsi="Times New Roman" w:eastAsia="宋体" w:cs="Times New Roman"/>
                <w:color w:val="000000"/>
                <w:spacing w:val="0"/>
                <w:sz w:val="24"/>
                <w:szCs w:val="22"/>
                <w:lang w:eastAsia="zh-CN"/>
              </w:rPr>
              <w:t>。</w:t>
            </w:r>
          </w:p>
          <w:p w14:paraId="4DBC5B31">
            <w:pPr>
              <w:numPr>
                <w:ilvl w:val="0"/>
                <w:numId w:val="0"/>
              </w:numPr>
              <w:adjustRightInd w:val="0"/>
              <w:snapToGrid w:val="0"/>
              <w:spacing w:line="360" w:lineRule="auto"/>
              <w:rPr>
                <w:rFonts w:hint="default" w:ascii="Times New Roman" w:hAnsi="Times New Roman" w:cs="Times New Roman"/>
                <w:b/>
                <w:bCs w:val="0"/>
                <w:spacing w:val="0"/>
                <w:sz w:val="24"/>
                <w:szCs w:val="24"/>
                <w:lang w:val="en-US" w:eastAsia="zh-CN"/>
              </w:rPr>
            </w:pPr>
            <w:r>
              <w:rPr>
                <w:rFonts w:hint="default" w:ascii="Times New Roman" w:hAnsi="Times New Roman" w:cs="Times New Roman"/>
                <w:b/>
                <w:bCs w:val="0"/>
                <w:spacing w:val="0"/>
                <w:sz w:val="24"/>
                <w:szCs w:val="24"/>
                <w:lang w:val="en-US" w:eastAsia="zh-CN"/>
              </w:rPr>
              <w:t>5、地下水、土壤</w:t>
            </w:r>
          </w:p>
          <w:p w14:paraId="55E40583">
            <w:pPr>
              <w:spacing w:line="360" w:lineRule="auto"/>
              <w:ind w:firstLine="480" w:firstLineChars="200"/>
              <w:rPr>
                <w:color w:val="auto"/>
                <w:kern w:val="0"/>
                <w:sz w:val="24"/>
                <w:lang w:val="de-DE"/>
              </w:rPr>
            </w:pPr>
            <w:r>
              <w:rPr>
                <w:rFonts w:hint="eastAsia"/>
                <w:color w:val="auto"/>
                <w:kern w:val="0"/>
                <w:sz w:val="24"/>
                <w:lang w:val="de-DE"/>
              </w:rPr>
              <w:t>本项目的建设不涉及地下水开采，不会影响当地地下水水位，不会产生地面沉降、塌陷等不良水文地质灾害，不会对地下水环境质量造成显著的不利影响。</w:t>
            </w:r>
          </w:p>
          <w:p w14:paraId="2F4021A5">
            <w:pPr>
              <w:tabs>
                <w:tab w:val="left" w:pos="2582"/>
              </w:tabs>
              <w:spacing w:line="360" w:lineRule="auto"/>
              <w:ind w:firstLine="480" w:firstLineChars="200"/>
              <w:jc w:val="left"/>
              <w:rPr>
                <w:rFonts w:hint="default" w:ascii="Times New Roman" w:hAnsi="Times New Roman" w:cs="Times New Roman"/>
                <w:b/>
                <w:bCs w:val="0"/>
                <w:spacing w:val="0"/>
                <w:sz w:val="24"/>
                <w:szCs w:val="24"/>
                <w:lang w:val="en-US" w:eastAsia="zh-CN"/>
              </w:rPr>
            </w:pPr>
            <w:r>
              <w:rPr>
                <w:rFonts w:hint="eastAsia"/>
                <w:color w:val="auto"/>
                <w:kern w:val="0"/>
                <w:sz w:val="24"/>
                <w:lang w:val="de-DE"/>
              </w:rPr>
              <w:t>本项目</w:t>
            </w:r>
            <w:r>
              <w:rPr>
                <w:rFonts w:hint="eastAsia"/>
                <w:color w:val="auto"/>
                <w:kern w:val="0"/>
                <w:sz w:val="24"/>
                <w:lang w:val="en-US" w:eastAsia="zh-CN"/>
              </w:rPr>
              <w:t>租用的厂房地面已进行了全地面防渗工作，</w:t>
            </w:r>
            <w:r>
              <w:rPr>
                <w:rFonts w:hint="eastAsia"/>
                <w:color w:val="auto"/>
                <w:kern w:val="0"/>
                <w:sz w:val="24"/>
                <w:lang w:val="de-DE"/>
              </w:rPr>
              <w:t>且项目地不存在地下水环境保护目标，故不存在地下水、土壤污染途径，不会对地下水、土壤环境造成不利影响</w:t>
            </w:r>
            <w:r>
              <w:rPr>
                <w:rFonts w:hint="default" w:ascii="Times New Roman" w:hAnsi="Times New Roman" w:eastAsia="宋体" w:cs="Times New Roman"/>
                <w:color w:val="000000"/>
                <w:sz w:val="24"/>
                <w:lang w:val="de-DE"/>
              </w:rPr>
              <w:t>。</w:t>
            </w:r>
          </w:p>
          <w:p w14:paraId="294D094B">
            <w:pPr>
              <w:numPr>
                <w:ilvl w:val="0"/>
                <w:numId w:val="0"/>
              </w:numPr>
              <w:adjustRightInd w:val="0"/>
              <w:snapToGrid w:val="0"/>
              <w:spacing w:line="360" w:lineRule="auto"/>
              <w:rPr>
                <w:rFonts w:hint="default" w:ascii="Times New Roman" w:hAnsi="Times New Roman" w:cs="Times New Roman"/>
                <w:bCs/>
                <w:spacing w:val="0"/>
                <w:sz w:val="24"/>
                <w:szCs w:val="24"/>
                <w:lang w:val="en-US" w:eastAsia="zh-CN"/>
              </w:rPr>
            </w:pPr>
            <w:r>
              <w:rPr>
                <w:rFonts w:hint="default" w:ascii="Times New Roman" w:hAnsi="Times New Roman" w:cs="Times New Roman"/>
                <w:b/>
                <w:bCs/>
                <w:spacing w:val="0"/>
                <w:kern w:val="2"/>
                <w:sz w:val="24"/>
                <w:szCs w:val="24"/>
                <w:lang w:val="en-US" w:eastAsia="zh-CN" w:bidi="ar-SA"/>
              </w:rPr>
              <w:t>6、</w:t>
            </w:r>
            <w:r>
              <w:rPr>
                <w:rFonts w:hint="default" w:ascii="Times New Roman" w:hAnsi="Times New Roman" w:cs="Times New Roman"/>
                <w:b/>
                <w:bCs w:val="0"/>
                <w:spacing w:val="0"/>
                <w:sz w:val="24"/>
                <w:szCs w:val="24"/>
                <w:lang w:val="en-US" w:eastAsia="zh-CN"/>
              </w:rPr>
              <w:t>环境风险</w:t>
            </w:r>
          </w:p>
          <w:p w14:paraId="0397A2B0">
            <w:pPr>
              <w:adjustRightInd w:val="0"/>
              <w:snapToGrid w:val="0"/>
              <w:spacing w:line="360" w:lineRule="auto"/>
              <w:ind w:firstLine="480" w:firstLineChars="200"/>
              <w:rPr>
                <w:bCs/>
                <w:color w:val="auto"/>
                <w:sz w:val="24"/>
              </w:rPr>
            </w:pPr>
            <w:r>
              <w:rPr>
                <w:bCs/>
                <w:color w:val="auto"/>
                <w:sz w:val="24"/>
              </w:rPr>
              <w:t>（1）风险物质识别</w:t>
            </w:r>
          </w:p>
          <w:p w14:paraId="3E68A4A2">
            <w:pPr>
              <w:adjustRightInd w:val="0"/>
              <w:snapToGrid w:val="0"/>
              <w:spacing w:line="360" w:lineRule="auto"/>
              <w:ind w:firstLine="480" w:firstLineChars="200"/>
              <w:rPr>
                <w:color w:val="auto"/>
              </w:rPr>
            </w:pPr>
            <w:r>
              <w:rPr>
                <w:bCs/>
                <w:color w:val="auto"/>
                <w:sz w:val="24"/>
              </w:rPr>
              <w:t>根据《建设项目环境风险评价技术导则》（HJ169-2018）附录B</w:t>
            </w:r>
            <w:r>
              <w:rPr>
                <w:rFonts w:hint="eastAsia"/>
                <w:bCs/>
                <w:color w:val="auto"/>
                <w:sz w:val="24"/>
                <w:lang w:val="en-US" w:eastAsia="zh-CN"/>
              </w:rPr>
              <w:t>和《企业突发环境事件风险分级方法》（HJ 941-2018）</w:t>
            </w:r>
            <w:r>
              <w:rPr>
                <w:bCs/>
                <w:color w:val="auto"/>
                <w:sz w:val="24"/>
              </w:rPr>
              <w:t>，对本项目使用的原辅料进行识别，属于风险物质的为</w:t>
            </w:r>
            <w:r>
              <w:rPr>
                <w:rFonts w:hint="eastAsia"/>
                <w:bCs/>
                <w:color w:val="auto"/>
                <w:sz w:val="24"/>
                <w:lang w:val="en-US" w:eastAsia="zh-CN"/>
              </w:rPr>
              <w:t>甲酸、甲醇、异丙醇、甲苯、氢气</w:t>
            </w:r>
            <w:r>
              <w:rPr>
                <w:bCs/>
                <w:color w:val="auto"/>
                <w:sz w:val="24"/>
              </w:rPr>
              <w:t>。存储位置为</w:t>
            </w:r>
            <w:r>
              <w:rPr>
                <w:rFonts w:hint="eastAsia"/>
                <w:bCs/>
                <w:color w:val="auto"/>
                <w:sz w:val="24"/>
                <w:lang w:val="en-US" w:eastAsia="zh-CN"/>
              </w:rPr>
              <w:t>仓库和实验室</w:t>
            </w:r>
            <w:r>
              <w:rPr>
                <w:bCs/>
                <w:color w:val="auto"/>
                <w:sz w:val="24"/>
              </w:rPr>
              <w:t>。</w:t>
            </w:r>
            <w:r>
              <w:rPr>
                <w:rFonts w:hint="eastAsia"/>
                <w:bCs/>
                <w:color w:val="auto"/>
                <w:sz w:val="24"/>
              </w:rPr>
              <w:t>风险物质存在量及临界量见下表：</w:t>
            </w:r>
          </w:p>
          <w:p w14:paraId="04F16102">
            <w:pPr>
              <w:adjustRightInd w:val="0"/>
              <w:snapToGrid w:val="0"/>
              <w:jc w:val="center"/>
              <w:rPr>
                <w:rFonts w:eastAsia="黑体"/>
                <w:color w:val="auto"/>
                <w:sz w:val="24"/>
                <w:szCs w:val="20"/>
              </w:rPr>
            </w:pPr>
            <w:r>
              <w:rPr>
                <w:b/>
                <w:color w:val="auto"/>
                <w:sz w:val="24"/>
              </w:rPr>
              <w:t>表4-</w:t>
            </w:r>
            <w:r>
              <w:rPr>
                <w:rFonts w:hint="eastAsia"/>
                <w:b/>
                <w:color w:val="auto"/>
                <w:sz w:val="24"/>
              </w:rPr>
              <w:t>1</w:t>
            </w:r>
            <w:r>
              <w:rPr>
                <w:rFonts w:hint="eastAsia"/>
                <w:b/>
                <w:color w:val="auto"/>
                <w:sz w:val="24"/>
                <w:lang w:val="en-US" w:eastAsia="zh-CN"/>
              </w:rPr>
              <w:t>4</w:t>
            </w:r>
            <w:r>
              <w:rPr>
                <w:rFonts w:hint="eastAsia"/>
                <w:b/>
                <w:color w:val="auto"/>
                <w:sz w:val="24"/>
              </w:rPr>
              <w:t xml:space="preserve"> </w:t>
            </w:r>
            <w:r>
              <w:rPr>
                <w:b/>
                <w:color w:val="auto"/>
                <w:sz w:val="24"/>
              </w:rPr>
              <w:t xml:space="preserve"> </w:t>
            </w:r>
            <w:r>
              <w:rPr>
                <w:rFonts w:hint="eastAsia"/>
                <w:b/>
                <w:color w:val="auto"/>
                <w:sz w:val="24"/>
              </w:rPr>
              <w:t>项目</w:t>
            </w:r>
            <w:r>
              <w:rPr>
                <w:b/>
                <w:color w:val="auto"/>
                <w:sz w:val="24"/>
              </w:rPr>
              <w:t>风险物质存在量一览表</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98"/>
              <w:gridCol w:w="2006"/>
              <w:gridCol w:w="2006"/>
              <w:gridCol w:w="2008"/>
            </w:tblGrid>
            <w:tr w14:paraId="3A5B89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7" w:type="pct"/>
                  <w:tcBorders>
                    <w:tl2br w:val="nil"/>
                    <w:tr2bl w:val="nil"/>
                  </w:tcBorders>
                  <w:noWrap w:val="0"/>
                  <w:vAlign w:val="center"/>
                </w:tcPr>
                <w:p w14:paraId="67590BAC">
                  <w:pPr>
                    <w:adjustRightInd w:val="0"/>
                    <w:snapToGrid w:val="0"/>
                    <w:jc w:val="center"/>
                    <w:rPr>
                      <w:b/>
                      <w:bCs w:val="0"/>
                      <w:color w:val="auto"/>
                      <w:kern w:val="21"/>
                      <w:szCs w:val="21"/>
                    </w:rPr>
                  </w:pPr>
                  <w:r>
                    <w:rPr>
                      <w:b/>
                      <w:bCs w:val="0"/>
                      <w:color w:val="auto"/>
                      <w:kern w:val="21"/>
                      <w:szCs w:val="21"/>
                    </w:rPr>
                    <w:t>类别</w:t>
                  </w:r>
                </w:p>
              </w:tc>
              <w:tc>
                <w:tcPr>
                  <w:tcW w:w="1220" w:type="pct"/>
                  <w:tcBorders>
                    <w:tl2br w:val="nil"/>
                    <w:tr2bl w:val="nil"/>
                  </w:tcBorders>
                  <w:noWrap w:val="0"/>
                  <w:vAlign w:val="center"/>
                </w:tcPr>
                <w:p w14:paraId="0914DFF9">
                  <w:pPr>
                    <w:adjustRightInd w:val="0"/>
                    <w:snapToGrid w:val="0"/>
                    <w:jc w:val="center"/>
                    <w:rPr>
                      <w:b/>
                      <w:bCs w:val="0"/>
                      <w:color w:val="auto"/>
                      <w:szCs w:val="21"/>
                    </w:rPr>
                  </w:pPr>
                  <w:r>
                    <w:rPr>
                      <w:b/>
                      <w:bCs w:val="0"/>
                      <w:color w:val="auto"/>
                      <w:kern w:val="21"/>
                      <w:szCs w:val="21"/>
                    </w:rPr>
                    <w:t>最大贮存量</w:t>
                  </w:r>
                </w:p>
              </w:tc>
              <w:tc>
                <w:tcPr>
                  <w:tcW w:w="1220" w:type="pct"/>
                  <w:tcBorders>
                    <w:tl2br w:val="nil"/>
                    <w:tr2bl w:val="nil"/>
                  </w:tcBorders>
                  <w:noWrap w:val="0"/>
                  <w:vAlign w:val="center"/>
                </w:tcPr>
                <w:p w14:paraId="2CB97BFF">
                  <w:pPr>
                    <w:adjustRightInd w:val="0"/>
                    <w:snapToGrid w:val="0"/>
                    <w:jc w:val="center"/>
                    <w:rPr>
                      <w:b/>
                      <w:bCs w:val="0"/>
                      <w:color w:val="auto"/>
                      <w:kern w:val="21"/>
                      <w:szCs w:val="21"/>
                    </w:rPr>
                  </w:pPr>
                  <w:r>
                    <w:rPr>
                      <w:b/>
                      <w:bCs w:val="0"/>
                      <w:color w:val="auto"/>
                      <w:kern w:val="21"/>
                      <w:szCs w:val="21"/>
                    </w:rPr>
                    <w:t>临界量</w:t>
                  </w:r>
                </w:p>
              </w:tc>
              <w:tc>
                <w:tcPr>
                  <w:tcW w:w="1221" w:type="pct"/>
                  <w:tcBorders>
                    <w:tl2br w:val="nil"/>
                    <w:tr2bl w:val="nil"/>
                  </w:tcBorders>
                  <w:noWrap w:val="0"/>
                  <w:vAlign w:val="center"/>
                </w:tcPr>
                <w:p w14:paraId="57E5B6D7">
                  <w:pPr>
                    <w:adjustRightInd w:val="0"/>
                    <w:snapToGrid w:val="0"/>
                    <w:jc w:val="center"/>
                    <w:rPr>
                      <w:b/>
                      <w:bCs w:val="0"/>
                      <w:color w:val="auto"/>
                      <w:kern w:val="21"/>
                      <w:szCs w:val="21"/>
                    </w:rPr>
                  </w:pPr>
                  <w:r>
                    <w:rPr>
                      <w:rFonts w:hint="eastAsia"/>
                      <w:b/>
                      <w:bCs w:val="0"/>
                      <w:color w:val="auto"/>
                      <w:kern w:val="21"/>
                      <w:szCs w:val="21"/>
                    </w:rPr>
                    <w:t>Q值</w:t>
                  </w:r>
                </w:p>
              </w:tc>
            </w:tr>
            <w:tr w14:paraId="651A53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7" w:type="pct"/>
                  <w:tcBorders>
                    <w:tl2br w:val="nil"/>
                    <w:tr2bl w:val="nil"/>
                  </w:tcBorders>
                  <w:noWrap w:val="0"/>
                  <w:vAlign w:val="center"/>
                </w:tcPr>
                <w:p w14:paraId="79ACA835">
                  <w:pPr>
                    <w:adjustRightInd w:val="0"/>
                    <w:snapToGrid w:val="0"/>
                    <w:jc w:val="center"/>
                    <w:rPr>
                      <w:rFonts w:hint="eastAsia" w:eastAsia="宋体"/>
                      <w:color w:val="auto"/>
                      <w:szCs w:val="21"/>
                      <w:lang w:eastAsia="zh-CN"/>
                    </w:rPr>
                  </w:pPr>
                  <w:r>
                    <w:rPr>
                      <w:rFonts w:hint="eastAsia"/>
                      <w:color w:val="auto"/>
                      <w:szCs w:val="21"/>
                      <w:lang w:val="en-US" w:eastAsia="zh-CN"/>
                    </w:rPr>
                    <w:t>甲酸</w:t>
                  </w:r>
                </w:p>
              </w:tc>
              <w:tc>
                <w:tcPr>
                  <w:tcW w:w="1220" w:type="pct"/>
                  <w:tcBorders>
                    <w:tl2br w:val="nil"/>
                    <w:tr2bl w:val="nil"/>
                  </w:tcBorders>
                  <w:noWrap w:val="0"/>
                  <w:vAlign w:val="center"/>
                </w:tcPr>
                <w:p w14:paraId="5E933C93">
                  <w:pPr>
                    <w:adjustRightInd w:val="0"/>
                    <w:snapToGrid w:val="0"/>
                    <w:jc w:val="center"/>
                    <w:rPr>
                      <w:color w:val="auto"/>
                      <w:szCs w:val="21"/>
                    </w:rPr>
                  </w:pPr>
                  <w:r>
                    <w:rPr>
                      <w:rFonts w:hint="eastAsia"/>
                      <w:color w:val="auto"/>
                      <w:szCs w:val="21"/>
                    </w:rPr>
                    <w:t> 0.00061 t</w:t>
                  </w:r>
                </w:p>
              </w:tc>
              <w:tc>
                <w:tcPr>
                  <w:tcW w:w="1220" w:type="pct"/>
                  <w:tcBorders>
                    <w:tl2br w:val="nil"/>
                    <w:tr2bl w:val="nil"/>
                  </w:tcBorders>
                  <w:noWrap w:val="0"/>
                  <w:vAlign w:val="center"/>
                </w:tcPr>
                <w:p w14:paraId="35919F83">
                  <w:pPr>
                    <w:adjustRightInd w:val="0"/>
                    <w:snapToGrid w:val="0"/>
                    <w:jc w:val="center"/>
                    <w:rPr>
                      <w:color w:val="auto"/>
                      <w:szCs w:val="21"/>
                    </w:rPr>
                  </w:pPr>
                  <w:r>
                    <w:rPr>
                      <w:rFonts w:hint="eastAsia"/>
                      <w:color w:val="auto"/>
                      <w:szCs w:val="21"/>
                      <w:lang w:val="en-US" w:eastAsia="zh-CN"/>
                    </w:rPr>
                    <w:t>10</w:t>
                  </w:r>
                  <w:r>
                    <w:rPr>
                      <w:rFonts w:hint="eastAsia"/>
                      <w:color w:val="auto"/>
                      <w:szCs w:val="21"/>
                    </w:rPr>
                    <w:t>t</w:t>
                  </w:r>
                </w:p>
              </w:tc>
              <w:tc>
                <w:tcPr>
                  <w:tcW w:w="1221" w:type="pct"/>
                  <w:tcBorders>
                    <w:tl2br w:val="nil"/>
                    <w:tr2bl w:val="nil"/>
                  </w:tcBorders>
                  <w:noWrap w:val="0"/>
                  <w:vAlign w:val="center"/>
                </w:tcPr>
                <w:p w14:paraId="5361264A">
                  <w:pPr>
                    <w:adjustRightInd w:val="0"/>
                    <w:snapToGrid w:val="0"/>
                    <w:jc w:val="center"/>
                    <w:rPr>
                      <w:rFonts w:hint="default" w:eastAsia="宋体"/>
                      <w:color w:val="auto"/>
                      <w:szCs w:val="21"/>
                      <w:lang w:val="en-US" w:eastAsia="zh-CN"/>
                    </w:rPr>
                  </w:pPr>
                  <w:r>
                    <w:rPr>
                      <w:rFonts w:hint="eastAsia"/>
                      <w:color w:val="auto"/>
                      <w:szCs w:val="21"/>
                      <w:lang w:val="en-US" w:eastAsia="zh-CN"/>
                    </w:rPr>
                    <w:t>0.000061</w:t>
                  </w:r>
                </w:p>
              </w:tc>
            </w:tr>
            <w:tr w14:paraId="56F8D2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7" w:type="pct"/>
                  <w:tcBorders>
                    <w:tl2br w:val="nil"/>
                    <w:tr2bl w:val="nil"/>
                  </w:tcBorders>
                  <w:noWrap w:val="0"/>
                  <w:vAlign w:val="center"/>
                </w:tcPr>
                <w:p w14:paraId="74879A15">
                  <w:pPr>
                    <w:adjustRightInd w:val="0"/>
                    <w:snapToGrid w:val="0"/>
                    <w:jc w:val="center"/>
                    <w:rPr>
                      <w:rFonts w:hint="eastAsia" w:eastAsia="宋体"/>
                      <w:color w:val="auto"/>
                      <w:szCs w:val="21"/>
                      <w:lang w:eastAsia="zh-CN"/>
                    </w:rPr>
                  </w:pPr>
                  <w:r>
                    <w:rPr>
                      <w:rFonts w:hint="eastAsia"/>
                      <w:color w:val="auto"/>
                      <w:szCs w:val="21"/>
                      <w:lang w:val="en-US" w:eastAsia="zh-CN"/>
                    </w:rPr>
                    <w:t>甲醇</w:t>
                  </w:r>
                </w:p>
              </w:tc>
              <w:tc>
                <w:tcPr>
                  <w:tcW w:w="1220" w:type="pct"/>
                  <w:tcBorders>
                    <w:tl2br w:val="nil"/>
                    <w:tr2bl w:val="nil"/>
                  </w:tcBorders>
                  <w:noWrap w:val="0"/>
                  <w:vAlign w:val="center"/>
                </w:tcPr>
                <w:p w14:paraId="697C2D89">
                  <w:pPr>
                    <w:adjustRightInd w:val="0"/>
                    <w:snapToGrid w:val="0"/>
                    <w:jc w:val="center"/>
                    <w:rPr>
                      <w:color w:val="auto"/>
                      <w:szCs w:val="21"/>
                    </w:rPr>
                  </w:pPr>
                  <w:r>
                    <w:rPr>
                      <w:rFonts w:hint="eastAsia"/>
                      <w:color w:val="auto"/>
                      <w:szCs w:val="21"/>
                    </w:rPr>
                    <w:t xml:space="preserve"> 0.0395t</w:t>
                  </w:r>
                </w:p>
              </w:tc>
              <w:tc>
                <w:tcPr>
                  <w:tcW w:w="1220" w:type="pct"/>
                  <w:tcBorders>
                    <w:tl2br w:val="nil"/>
                    <w:tr2bl w:val="nil"/>
                  </w:tcBorders>
                  <w:noWrap w:val="0"/>
                  <w:vAlign w:val="center"/>
                </w:tcPr>
                <w:p w14:paraId="670BD91F">
                  <w:pPr>
                    <w:adjustRightInd w:val="0"/>
                    <w:snapToGrid w:val="0"/>
                    <w:jc w:val="center"/>
                    <w:rPr>
                      <w:color w:val="auto"/>
                      <w:szCs w:val="21"/>
                    </w:rPr>
                  </w:pPr>
                  <w:r>
                    <w:rPr>
                      <w:rFonts w:hint="eastAsia"/>
                      <w:color w:val="auto"/>
                      <w:szCs w:val="21"/>
                      <w:lang w:val="en-US" w:eastAsia="zh-CN"/>
                    </w:rPr>
                    <w:t>10</w:t>
                  </w:r>
                  <w:r>
                    <w:rPr>
                      <w:rFonts w:hint="eastAsia"/>
                      <w:color w:val="auto"/>
                      <w:szCs w:val="21"/>
                    </w:rPr>
                    <w:t>t</w:t>
                  </w:r>
                </w:p>
              </w:tc>
              <w:tc>
                <w:tcPr>
                  <w:tcW w:w="1221" w:type="pct"/>
                  <w:tcBorders>
                    <w:tl2br w:val="nil"/>
                    <w:tr2bl w:val="nil"/>
                  </w:tcBorders>
                  <w:noWrap w:val="0"/>
                  <w:vAlign w:val="center"/>
                </w:tcPr>
                <w:p w14:paraId="7264FA37">
                  <w:pPr>
                    <w:adjustRightInd w:val="0"/>
                    <w:snapToGrid w:val="0"/>
                    <w:jc w:val="center"/>
                    <w:rPr>
                      <w:rFonts w:hint="default" w:eastAsia="宋体"/>
                      <w:color w:val="auto"/>
                      <w:szCs w:val="21"/>
                      <w:lang w:val="en-US" w:eastAsia="zh-CN"/>
                    </w:rPr>
                  </w:pPr>
                  <w:r>
                    <w:rPr>
                      <w:rFonts w:hint="eastAsia"/>
                      <w:color w:val="auto"/>
                      <w:szCs w:val="21"/>
                      <w:lang w:val="en-US" w:eastAsia="zh-CN"/>
                    </w:rPr>
                    <w:t>0.00395</w:t>
                  </w:r>
                </w:p>
              </w:tc>
            </w:tr>
            <w:tr w14:paraId="585A6F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7" w:type="pct"/>
                  <w:tcBorders>
                    <w:tl2br w:val="nil"/>
                    <w:tr2bl w:val="nil"/>
                  </w:tcBorders>
                  <w:noWrap w:val="0"/>
                  <w:vAlign w:val="center"/>
                </w:tcPr>
                <w:p w14:paraId="4A9E27F4">
                  <w:pPr>
                    <w:adjustRightInd w:val="0"/>
                    <w:snapToGrid w:val="0"/>
                    <w:jc w:val="center"/>
                    <w:rPr>
                      <w:rFonts w:hint="default"/>
                      <w:color w:val="auto"/>
                      <w:szCs w:val="21"/>
                      <w:lang w:val="en-US" w:eastAsia="zh-CN"/>
                    </w:rPr>
                  </w:pPr>
                  <w:r>
                    <w:rPr>
                      <w:rFonts w:hint="eastAsia"/>
                      <w:color w:val="auto"/>
                      <w:szCs w:val="21"/>
                      <w:lang w:val="en-US" w:eastAsia="zh-CN"/>
                    </w:rPr>
                    <w:t>异丙醇</w:t>
                  </w:r>
                </w:p>
              </w:tc>
              <w:tc>
                <w:tcPr>
                  <w:tcW w:w="1220" w:type="pct"/>
                  <w:tcBorders>
                    <w:tl2br w:val="nil"/>
                    <w:tr2bl w:val="nil"/>
                  </w:tcBorders>
                  <w:noWrap w:val="0"/>
                  <w:vAlign w:val="center"/>
                </w:tcPr>
                <w:p w14:paraId="3F5E7D26">
                  <w:pPr>
                    <w:adjustRightInd w:val="0"/>
                    <w:snapToGrid w:val="0"/>
                    <w:jc w:val="center"/>
                    <w:rPr>
                      <w:rFonts w:hint="default" w:eastAsia="宋体"/>
                      <w:color w:val="auto"/>
                      <w:szCs w:val="21"/>
                      <w:lang w:val="en-US" w:eastAsia="zh-CN"/>
                    </w:rPr>
                  </w:pPr>
                  <w:r>
                    <w:rPr>
                      <w:rFonts w:hint="eastAsia"/>
                      <w:color w:val="auto"/>
                      <w:szCs w:val="21"/>
                      <w:lang w:val="en-US" w:eastAsia="zh-CN"/>
                    </w:rPr>
                    <w:t>0.004t</w:t>
                  </w:r>
                </w:p>
              </w:tc>
              <w:tc>
                <w:tcPr>
                  <w:tcW w:w="1220" w:type="pct"/>
                  <w:tcBorders>
                    <w:tl2br w:val="nil"/>
                    <w:tr2bl w:val="nil"/>
                  </w:tcBorders>
                  <w:noWrap w:val="0"/>
                  <w:vAlign w:val="center"/>
                </w:tcPr>
                <w:p w14:paraId="37D3FFB1">
                  <w:pPr>
                    <w:adjustRightInd w:val="0"/>
                    <w:snapToGrid w:val="0"/>
                    <w:jc w:val="center"/>
                    <w:rPr>
                      <w:rFonts w:hint="eastAsia"/>
                      <w:color w:val="auto"/>
                      <w:szCs w:val="21"/>
                      <w:lang w:val="en-US" w:eastAsia="zh-CN"/>
                    </w:rPr>
                  </w:pPr>
                  <w:r>
                    <w:rPr>
                      <w:rFonts w:hint="eastAsia"/>
                      <w:color w:val="auto"/>
                      <w:szCs w:val="21"/>
                      <w:lang w:val="en-US" w:eastAsia="zh-CN"/>
                    </w:rPr>
                    <w:t>10</w:t>
                  </w:r>
                  <w:r>
                    <w:rPr>
                      <w:rFonts w:hint="eastAsia"/>
                      <w:color w:val="auto"/>
                      <w:szCs w:val="21"/>
                    </w:rPr>
                    <w:t>t</w:t>
                  </w:r>
                </w:p>
              </w:tc>
              <w:tc>
                <w:tcPr>
                  <w:tcW w:w="1221" w:type="pct"/>
                  <w:tcBorders>
                    <w:tl2br w:val="nil"/>
                    <w:tr2bl w:val="nil"/>
                  </w:tcBorders>
                  <w:noWrap w:val="0"/>
                  <w:vAlign w:val="center"/>
                </w:tcPr>
                <w:p w14:paraId="61150471">
                  <w:pPr>
                    <w:adjustRightInd w:val="0"/>
                    <w:snapToGrid w:val="0"/>
                    <w:jc w:val="center"/>
                    <w:rPr>
                      <w:rFonts w:hint="default" w:eastAsia="宋体"/>
                      <w:color w:val="auto"/>
                      <w:szCs w:val="21"/>
                      <w:lang w:val="en-US" w:eastAsia="zh-CN"/>
                    </w:rPr>
                  </w:pPr>
                  <w:r>
                    <w:rPr>
                      <w:rFonts w:hint="eastAsia"/>
                      <w:color w:val="auto"/>
                      <w:szCs w:val="21"/>
                      <w:lang w:val="en-US" w:eastAsia="zh-CN"/>
                    </w:rPr>
                    <w:t>0.0004</w:t>
                  </w:r>
                </w:p>
              </w:tc>
            </w:tr>
            <w:tr w14:paraId="4E0546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7" w:type="pct"/>
                  <w:tcBorders>
                    <w:tl2br w:val="nil"/>
                    <w:tr2bl w:val="nil"/>
                  </w:tcBorders>
                  <w:noWrap w:val="0"/>
                  <w:vAlign w:val="center"/>
                </w:tcPr>
                <w:p w14:paraId="28F2503C">
                  <w:pPr>
                    <w:adjustRightInd w:val="0"/>
                    <w:snapToGrid w:val="0"/>
                    <w:jc w:val="center"/>
                    <w:rPr>
                      <w:rFonts w:hint="default"/>
                      <w:color w:val="auto"/>
                      <w:szCs w:val="21"/>
                      <w:lang w:val="en-US" w:eastAsia="zh-CN"/>
                    </w:rPr>
                  </w:pPr>
                  <w:r>
                    <w:rPr>
                      <w:rFonts w:hint="eastAsia"/>
                      <w:color w:val="auto"/>
                      <w:szCs w:val="21"/>
                      <w:lang w:val="en-US" w:eastAsia="zh-CN"/>
                    </w:rPr>
                    <w:t>甲苯</w:t>
                  </w:r>
                </w:p>
              </w:tc>
              <w:tc>
                <w:tcPr>
                  <w:tcW w:w="1220" w:type="pct"/>
                  <w:tcBorders>
                    <w:tl2br w:val="nil"/>
                    <w:tr2bl w:val="nil"/>
                  </w:tcBorders>
                  <w:noWrap w:val="0"/>
                  <w:vAlign w:val="center"/>
                </w:tcPr>
                <w:p w14:paraId="0F4019CA">
                  <w:pPr>
                    <w:adjustRightInd w:val="0"/>
                    <w:snapToGrid w:val="0"/>
                    <w:jc w:val="center"/>
                    <w:rPr>
                      <w:rFonts w:hint="default" w:eastAsia="宋体"/>
                      <w:color w:val="auto"/>
                      <w:szCs w:val="21"/>
                      <w:lang w:val="en-US" w:eastAsia="zh-CN"/>
                    </w:rPr>
                  </w:pPr>
                  <w:r>
                    <w:rPr>
                      <w:rFonts w:hint="eastAsia"/>
                      <w:color w:val="auto"/>
                      <w:szCs w:val="21"/>
                      <w:lang w:val="en-US" w:eastAsia="zh-CN"/>
                    </w:rPr>
                    <w:t>0.02t</w:t>
                  </w:r>
                </w:p>
              </w:tc>
              <w:tc>
                <w:tcPr>
                  <w:tcW w:w="1220" w:type="pct"/>
                  <w:tcBorders>
                    <w:tl2br w:val="nil"/>
                    <w:tr2bl w:val="nil"/>
                  </w:tcBorders>
                  <w:noWrap w:val="0"/>
                  <w:vAlign w:val="center"/>
                </w:tcPr>
                <w:p w14:paraId="031F6205">
                  <w:pPr>
                    <w:adjustRightInd w:val="0"/>
                    <w:snapToGrid w:val="0"/>
                    <w:jc w:val="center"/>
                    <w:rPr>
                      <w:rFonts w:hint="eastAsia"/>
                      <w:color w:val="auto"/>
                      <w:szCs w:val="21"/>
                      <w:lang w:val="en-US" w:eastAsia="zh-CN"/>
                    </w:rPr>
                  </w:pPr>
                  <w:r>
                    <w:rPr>
                      <w:rFonts w:hint="eastAsia"/>
                      <w:color w:val="auto"/>
                      <w:szCs w:val="21"/>
                      <w:lang w:val="en-US" w:eastAsia="zh-CN"/>
                    </w:rPr>
                    <w:t>10</w:t>
                  </w:r>
                  <w:r>
                    <w:rPr>
                      <w:rFonts w:hint="eastAsia"/>
                      <w:color w:val="auto"/>
                      <w:szCs w:val="21"/>
                    </w:rPr>
                    <w:t>t</w:t>
                  </w:r>
                </w:p>
              </w:tc>
              <w:tc>
                <w:tcPr>
                  <w:tcW w:w="1221" w:type="pct"/>
                  <w:tcBorders>
                    <w:tl2br w:val="nil"/>
                    <w:tr2bl w:val="nil"/>
                  </w:tcBorders>
                  <w:noWrap w:val="0"/>
                  <w:vAlign w:val="center"/>
                </w:tcPr>
                <w:p w14:paraId="46CC5B75">
                  <w:pPr>
                    <w:adjustRightInd w:val="0"/>
                    <w:snapToGrid w:val="0"/>
                    <w:jc w:val="center"/>
                    <w:rPr>
                      <w:rFonts w:hint="default" w:eastAsia="宋体"/>
                      <w:color w:val="auto"/>
                      <w:szCs w:val="21"/>
                      <w:lang w:val="en-US" w:eastAsia="zh-CN"/>
                    </w:rPr>
                  </w:pPr>
                  <w:r>
                    <w:rPr>
                      <w:rFonts w:hint="eastAsia"/>
                      <w:color w:val="auto"/>
                      <w:szCs w:val="21"/>
                      <w:lang w:val="en-US" w:eastAsia="zh-CN"/>
                    </w:rPr>
                    <w:t>0.002</w:t>
                  </w:r>
                </w:p>
              </w:tc>
            </w:tr>
            <w:tr w14:paraId="47ED6D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7" w:type="pct"/>
                  <w:tcBorders>
                    <w:tl2br w:val="nil"/>
                    <w:tr2bl w:val="nil"/>
                  </w:tcBorders>
                  <w:noWrap w:val="0"/>
                  <w:vAlign w:val="center"/>
                </w:tcPr>
                <w:p w14:paraId="00D593C7">
                  <w:pPr>
                    <w:adjustRightInd w:val="0"/>
                    <w:snapToGrid w:val="0"/>
                    <w:jc w:val="center"/>
                    <w:rPr>
                      <w:rFonts w:hint="default"/>
                      <w:color w:val="auto"/>
                      <w:szCs w:val="21"/>
                      <w:lang w:val="en-US" w:eastAsia="zh-CN"/>
                    </w:rPr>
                  </w:pPr>
                  <w:r>
                    <w:rPr>
                      <w:rFonts w:hint="eastAsia"/>
                      <w:color w:val="auto"/>
                      <w:szCs w:val="21"/>
                      <w:lang w:val="en-US" w:eastAsia="zh-CN"/>
                    </w:rPr>
                    <w:t>氢气</w:t>
                  </w:r>
                </w:p>
              </w:tc>
              <w:tc>
                <w:tcPr>
                  <w:tcW w:w="1220" w:type="pct"/>
                  <w:tcBorders>
                    <w:tl2br w:val="nil"/>
                    <w:tr2bl w:val="nil"/>
                  </w:tcBorders>
                  <w:noWrap w:val="0"/>
                  <w:vAlign w:val="center"/>
                </w:tcPr>
                <w:p w14:paraId="1B61D190">
                  <w:pPr>
                    <w:adjustRightInd w:val="0"/>
                    <w:snapToGrid w:val="0"/>
                    <w:jc w:val="center"/>
                    <w:rPr>
                      <w:rFonts w:hint="default"/>
                      <w:color w:val="auto"/>
                      <w:szCs w:val="21"/>
                      <w:lang w:val="en-US" w:eastAsia="zh-CN"/>
                    </w:rPr>
                  </w:pPr>
                  <w:r>
                    <w:rPr>
                      <w:rFonts w:hint="eastAsia"/>
                      <w:color w:val="auto"/>
                      <w:szCs w:val="21"/>
                      <w:lang w:val="en-US" w:eastAsia="zh-CN"/>
                    </w:rPr>
                    <w:t>0.000009t</w:t>
                  </w:r>
                </w:p>
              </w:tc>
              <w:tc>
                <w:tcPr>
                  <w:tcW w:w="1220" w:type="pct"/>
                  <w:tcBorders>
                    <w:tl2br w:val="nil"/>
                    <w:tr2bl w:val="nil"/>
                  </w:tcBorders>
                  <w:noWrap w:val="0"/>
                  <w:vAlign w:val="center"/>
                </w:tcPr>
                <w:p w14:paraId="0324A921">
                  <w:pPr>
                    <w:adjustRightInd w:val="0"/>
                    <w:snapToGrid w:val="0"/>
                    <w:jc w:val="center"/>
                    <w:rPr>
                      <w:rFonts w:hint="eastAsia"/>
                      <w:color w:val="auto"/>
                      <w:szCs w:val="21"/>
                      <w:lang w:val="en-US" w:eastAsia="zh-CN"/>
                    </w:rPr>
                  </w:pPr>
                  <w:r>
                    <w:rPr>
                      <w:rFonts w:hint="eastAsia"/>
                      <w:color w:val="auto"/>
                      <w:szCs w:val="21"/>
                      <w:lang w:val="en-US" w:eastAsia="zh-CN"/>
                    </w:rPr>
                    <w:t>10</w:t>
                  </w:r>
                  <w:r>
                    <w:rPr>
                      <w:rFonts w:hint="eastAsia"/>
                      <w:color w:val="auto"/>
                      <w:szCs w:val="21"/>
                    </w:rPr>
                    <w:t>t</w:t>
                  </w:r>
                </w:p>
              </w:tc>
              <w:tc>
                <w:tcPr>
                  <w:tcW w:w="1221" w:type="pct"/>
                  <w:tcBorders>
                    <w:tl2br w:val="nil"/>
                    <w:tr2bl w:val="nil"/>
                  </w:tcBorders>
                  <w:noWrap w:val="0"/>
                  <w:vAlign w:val="center"/>
                </w:tcPr>
                <w:p w14:paraId="0937266B">
                  <w:pPr>
                    <w:adjustRightInd w:val="0"/>
                    <w:snapToGrid w:val="0"/>
                    <w:jc w:val="center"/>
                    <w:rPr>
                      <w:rFonts w:hint="default"/>
                      <w:color w:val="auto"/>
                      <w:szCs w:val="21"/>
                      <w:lang w:val="en-US" w:eastAsia="zh-CN"/>
                    </w:rPr>
                  </w:pPr>
                  <w:r>
                    <w:rPr>
                      <w:rFonts w:hint="eastAsia"/>
                      <w:color w:val="auto"/>
                      <w:szCs w:val="21"/>
                      <w:lang w:val="en-US" w:eastAsia="zh-CN"/>
                    </w:rPr>
                    <w:t>0.0000009</w:t>
                  </w:r>
                </w:p>
              </w:tc>
            </w:tr>
          </w:tbl>
          <w:p w14:paraId="1B8BFBD9">
            <w:pPr>
              <w:adjustRightInd w:val="0"/>
              <w:snapToGrid w:val="0"/>
              <w:spacing w:line="360" w:lineRule="auto"/>
              <w:ind w:firstLine="480" w:firstLineChars="200"/>
              <w:rPr>
                <w:color w:val="auto"/>
                <w:sz w:val="24"/>
              </w:rPr>
            </w:pPr>
            <w:r>
              <w:rPr>
                <w:rFonts w:hint="eastAsia"/>
                <w:color w:val="auto"/>
                <w:sz w:val="24"/>
              </w:rPr>
              <w:t>根据上表计算项目风险物质Q值为</w:t>
            </w:r>
            <w:r>
              <w:rPr>
                <w:rFonts w:hint="eastAsia"/>
                <w:color w:val="auto"/>
                <w:sz w:val="24"/>
                <w:lang w:val="en-US" w:eastAsia="zh-CN"/>
              </w:rPr>
              <w:t>0.0064119</w:t>
            </w:r>
            <w:r>
              <w:rPr>
                <w:rFonts w:hint="eastAsia"/>
                <w:color w:val="auto"/>
                <w:sz w:val="24"/>
              </w:rPr>
              <w:t>＜1，故本项目环境风险评价等级为简单分析。</w:t>
            </w:r>
          </w:p>
          <w:p w14:paraId="0198F14E">
            <w:pPr>
              <w:spacing w:line="360" w:lineRule="auto"/>
              <w:ind w:firstLine="480" w:firstLineChars="200"/>
              <w:rPr>
                <w:color w:val="auto"/>
                <w:sz w:val="24"/>
              </w:rPr>
            </w:pPr>
            <w:r>
              <w:rPr>
                <w:rFonts w:hint="eastAsia"/>
                <w:color w:val="auto"/>
                <w:sz w:val="24"/>
              </w:rPr>
              <w:t>本项目</w:t>
            </w:r>
            <w:r>
              <w:rPr>
                <w:rFonts w:hint="eastAsia"/>
                <w:color w:val="auto"/>
                <w:sz w:val="24"/>
                <w:lang w:val="en-US" w:eastAsia="zh-CN"/>
              </w:rPr>
              <w:t>风险物质</w:t>
            </w:r>
            <w:r>
              <w:rPr>
                <w:rFonts w:hint="eastAsia"/>
                <w:color w:val="auto"/>
                <w:sz w:val="24"/>
              </w:rPr>
              <w:t>库存量较小，使用周期短，同时</w:t>
            </w:r>
            <w:r>
              <w:rPr>
                <w:rFonts w:hint="eastAsia"/>
                <w:color w:val="auto"/>
                <w:sz w:val="24"/>
                <w:lang w:val="en-US" w:eastAsia="zh-CN"/>
              </w:rPr>
              <w:t>配</w:t>
            </w:r>
            <w:r>
              <w:rPr>
                <w:rFonts w:hint="eastAsia"/>
                <w:color w:val="auto"/>
                <w:sz w:val="24"/>
              </w:rPr>
              <w:t>有专人保管，有严格的购置、存储、使用等操作规程，</w:t>
            </w:r>
            <w:r>
              <w:rPr>
                <w:rFonts w:hint="eastAsia"/>
                <w:color w:val="auto"/>
                <w:sz w:val="24"/>
                <w:lang w:val="en-US" w:eastAsia="zh-CN"/>
              </w:rPr>
              <w:t>故</w:t>
            </w:r>
            <w:r>
              <w:rPr>
                <w:rFonts w:hint="eastAsia"/>
                <w:color w:val="auto"/>
                <w:sz w:val="24"/>
              </w:rPr>
              <w:t>风险可控</w:t>
            </w:r>
            <w:r>
              <w:rPr>
                <w:color w:val="auto"/>
                <w:sz w:val="24"/>
              </w:rPr>
              <w:t>。</w:t>
            </w:r>
          </w:p>
          <w:p w14:paraId="452A9818">
            <w:pPr>
              <w:spacing w:line="360" w:lineRule="auto"/>
              <w:ind w:firstLine="480" w:firstLineChars="200"/>
              <w:rPr>
                <w:bCs/>
                <w:color w:val="auto"/>
                <w:sz w:val="24"/>
              </w:rPr>
            </w:pPr>
            <w:r>
              <w:rPr>
                <w:bCs/>
                <w:color w:val="auto"/>
                <w:sz w:val="24"/>
              </w:rPr>
              <w:t>（</w:t>
            </w:r>
            <w:r>
              <w:rPr>
                <w:rFonts w:hint="eastAsia"/>
                <w:bCs/>
                <w:color w:val="auto"/>
                <w:sz w:val="24"/>
              </w:rPr>
              <w:t>2</w:t>
            </w:r>
            <w:r>
              <w:rPr>
                <w:bCs/>
                <w:color w:val="auto"/>
                <w:sz w:val="24"/>
              </w:rPr>
              <w:t>）</w:t>
            </w:r>
            <w:r>
              <w:rPr>
                <w:rFonts w:hint="eastAsia"/>
                <w:bCs/>
                <w:color w:val="auto"/>
                <w:sz w:val="24"/>
              </w:rPr>
              <w:t>风险源分布及可能影响途径</w:t>
            </w:r>
          </w:p>
          <w:p w14:paraId="3787191D">
            <w:pPr>
              <w:spacing w:line="360" w:lineRule="auto"/>
              <w:ind w:firstLine="480" w:firstLineChars="200"/>
              <w:rPr>
                <w:bCs/>
                <w:color w:val="auto"/>
                <w:sz w:val="24"/>
              </w:rPr>
            </w:pPr>
            <w:r>
              <w:rPr>
                <w:rFonts w:hint="eastAsia"/>
                <w:color w:val="auto"/>
                <w:sz w:val="24"/>
              </w:rPr>
              <w:t>本项目存在的环境风险主要是试剂的泄漏可能引起的腐蚀、中毒和火灾。在储存和使用过程中，由于操作不当等因素，可能会导致试剂的泄漏。由于项目使用化学品数量较少，可及时收集全部泄漏物，并转移到空置的容器内；或可及时用抹布或专用毡布进行擦洗，不会引起环境污染。对于腐蚀性物质和易燃物质，只要进行妥善收集处理，事先做好防护工作，则产生较严重环境污染和人员健康损害事故的可能性很小</w:t>
            </w:r>
            <w:r>
              <w:rPr>
                <w:rFonts w:hint="eastAsia"/>
                <w:bCs/>
                <w:color w:val="auto"/>
                <w:sz w:val="24"/>
              </w:rPr>
              <w:t>。</w:t>
            </w:r>
          </w:p>
          <w:p w14:paraId="2AFAC166">
            <w:pPr>
              <w:spacing w:line="360" w:lineRule="auto"/>
              <w:ind w:firstLine="480" w:firstLineChars="200"/>
              <w:rPr>
                <w:bCs/>
                <w:color w:val="auto"/>
                <w:sz w:val="24"/>
              </w:rPr>
            </w:pPr>
            <w:r>
              <w:rPr>
                <w:bCs/>
                <w:color w:val="auto"/>
                <w:sz w:val="24"/>
              </w:rPr>
              <w:t>（</w:t>
            </w:r>
            <w:r>
              <w:rPr>
                <w:rFonts w:hint="eastAsia"/>
                <w:bCs/>
                <w:color w:val="auto"/>
                <w:sz w:val="24"/>
              </w:rPr>
              <w:t>3</w:t>
            </w:r>
            <w:r>
              <w:rPr>
                <w:bCs/>
                <w:color w:val="auto"/>
                <w:sz w:val="24"/>
              </w:rPr>
              <w:t>）建议采取以下环境风险防范措施</w:t>
            </w:r>
          </w:p>
          <w:p w14:paraId="0F3FB203">
            <w:pPr>
              <w:spacing w:line="360" w:lineRule="auto"/>
              <w:ind w:firstLine="480" w:firstLineChars="200"/>
              <w:rPr>
                <w:color w:val="auto"/>
                <w:sz w:val="24"/>
              </w:rPr>
            </w:pPr>
            <w:r>
              <w:rPr>
                <w:rFonts w:hint="eastAsia"/>
                <w:color w:val="auto"/>
                <w:sz w:val="24"/>
              </w:rPr>
              <w:t xml:space="preserve">为使环境风险减小到最低限度，必须加强安全管理，制定完备、有效的防范措施，尽可能降低项目环境风险事故发生的概率。 </w:t>
            </w:r>
          </w:p>
          <w:p w14:paraId="2BCB9E84">
            <w:pPr>
              <w:spacing w:line="360" w:lineRule="auto"/>
              <w:ind w:firstLine="480" w:firstLineChars="200"/>
              <w:rPr>
                <w:color w:val="auto"/>
                <w:sz w:val="24"/>
              </w:rPr>
            </w:pPr>
            <w:r>
              <w:rPr>
                <w:rFonts w:hint="eastAsia"/>
                <w:color w:val="auto"/>
                <w:sz w:val="24"/>
              </w:rPr>
              <w:t>①严格按照相关设计规范和要求落实防护设施，制定安全操作规章制度，加强安全意识教育，加强监督管理，消除事故隐患；</w:t>
            </w:r>
          </w:p>
          <w:p w14:paraId="40561E56">
            <w:pPr>
              <w:spacing w:line="360" w:lineRule="auto"/>
              <w:ind w:firstLine="480" w:firstLineChars="200"/>
              <w:rPr>
                <w:color w:val="auto"/>
                <w:sz w:val="24"/>
              </w:rPr>
            </w:pPr>
            <w:r>
              <w:rPr>
                <w:rFonts w:hint="eastAsia"/>
                <w:color w:val="auto"/>
                <w:sz w:val="24"/>
              </w:rPr>
              <w:t>②各类液体化学品应包装完好无损，不同化学品之间应隔开存放。</w:t>
            </w:r>
          </w:p>
          <w:p w14:paraId="4287822E">
            <w:pPr>
              <w:widowControl/>
              <w:spacing w:line="360" w:lineRule="auto"/>
              <w:ind w:firstLine="480" w:firstLineChars="200"/>
              <w:rPr>
                <w:color w:val="auto"/>
                <w:sz w:val="24"/>
              </w:rPr>
            </w:pPr>
            <w:r>
              <w:rPr>
                <w:rFonts w:hint="eastAsia"/>
                <w:color w:val="auto"/>
                <w:sz w:val="24"/>
              </w:rPr>
              <w:t>③加强巡视检查，建立系统规范的评估、审批、作业、监护、应急程序、事故报告等管理制度。</w:t>
            </w:r>
          </w:p>
          <w:p w14:paraId="4AA650CA">
            <w:pPr>
              <w:spacing w:line="360" w:lineRule="auto"/>
              <w:ind w:firstLine="480" w:firstLineChars="200"/>
              <w:rPr>
                <w:color w:val="auto"/>
                <w:sz w:val="24"/>
                <w:szCs w:val="24"/>
              </w:rPr>
            </w:pPr>
            <w:r>
              <w:rPr>
                <w:rFonts w:hint="eastAsia"/>
                <w:color w:val="auto"/>
                <w:sz w:val="24"/>
                <w:szCs w:val="24"/>
              </w:rPr>
              <w:t>④编制突发环境事件应急预案，并按要求定期进行演练。</w:t>
            </w:r>
          </w:p>
          <w:p w14:paraId="1968BBF3">
            <w:pPr>
              <w:adjustRightInd w:val="0"/>
              <w:snapToGrid w:val="0"/>
              <w:spacing w:line="360" w:lineRule="auto"/>
              <w:ind w:firstLine="480" w:firstLineChars="200"/>
              <w:rPr>
                <w:bCs/>
                <w:color w:val="auto"/>
                <w:sz w:val="24"/>
                <w:szCs w:val="24"/>
              </w:rPr>
            </w:pPr>
            <w:r>
              <w:rPr>
                <w:bCs/>
                <w:color w:val="auto"/>
                <w:sz w:val="24"/>
                <w:szCs w:val="24"/>
              </w:rPr>
              <w:t>（</w:t>
            </w:r>
            <w:r>
              <w:rPr>
                <w:rFonts w:hint="eastAsia"/>
                <w:bCs/>
                <w:color w:val="auto"/>
                <w:sz w:val="24"/>
                <w:szCs w:val="24"/>
              </w:rPr>
              <w:t>4</w:t>
            </w:r>
            <w:r>
              <w:rPr>
                <w:bCs/>
                <w:color w:val="auto"/>
                <w:sz w:val="24"/>
                <w:szCs w:val="24"/>
              </w:rPr>
              <w:t>）分析结论</w:t>
            </w:r>
          </w:p>
          <w:p w14:paraId="4F22453E">
            <w:pPr>
              <w:numPr>
                <w:ilvl w:val="0"/>
                <w:numId w:val="0"/>
              </w:numPr>
              <w:adjustRightInd w:val="0"/>
              <w:snapToGrid w:val="0"/>
              <w:spacing w:line="360" w:lineRule="auto"/>
              <w:ind w:leftChars="0" w:firstLine="480" w:firstLineChars="200"/>
              <w:rPr>
                <w:rFonts w:hint="default" w:ascii="Times New Roman" w:hAnsi="Times New Roman" w:cs="Times New Roman"/>
                <w:bCs/>
                <w:spacing w:val="0"/>
                <w:sz w:val="24"/>
                <w:szCs w:val="24"/>
                <w:lang w:val="en-US" w:eastAsia="zh-CN"/>
              </w:rPr>
            </w:pPr>
            <w:r>
              <w:rPr>
                <w:bCs/>
                <w:color w:val="auto"/>
                <w:sz w:val="24"/>
                <w:szCs w:val="24"/>
              </w:rPr>
              <w:t>通过采取以上环境风险防范措施，本项目环境风险能够控制在可接受范围之内</w:t>
            </w:r>
            <w:r>
              <w:rPr>
                <w:rFonts w:hint="default" w:ascii="Times New Roman" w:hAnsi="Times New Roman" w:eastAsia="宋体" w:cs="Times New Roman"/>
                <w:color w:val="000000"/>
                <w:sz w:val="24"/>
                <w:szCs w:val="24"/>
                <w:lang w:val="en-US" w:eastAsia="zh-CN"/>
              </w:rPr>
              <w:t>。</w:t>
            </w:r>
          </w:p>
        </w:tc>
      </w:tr>
    </w:tbl>
    <w:p w14:paraId="274076DD">
      <w:pPr>
        <w:adjustRightInd w:val="0"/>
        <w:snapToGrid w:val="0"/>
        <w:spacing w:line="360" w:lineRule="auto"/>
        <w:rPr>
          <w:rFonts w:hint="default" w:ascii="Times New Roman" w:hAnsi="Times New Roman" w:cs="Times New Roman"/>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58FAE546">
      <w:pPr>
        <w:pStyle w:val="23"/>
        <w:jc w:val="center"/>
        <w:outlineLvl w:val="0"/>
        <w:rPr>
          <w:rFonts w:hint="default" w:ascii="Times New Roman" w:hAnsi="Times New Roman" w:eastAsia="黑体" w:cs="Times New Roman"/>
          <w:snapToGrid w:val="0"/>
          <w:sz w:val="30"/>
          <w:szCs w:val="30"/>
        </w:rPr>
      </w:pPr>
      <w:bookmarkStart w:id="20" w:name="_Toc2420"/>
      <w:r>
        <w:rPr>
          <w:rFonts w:hint="default" w:ascii="Times New Roman" w:hAnsi="Times New Roman" w:eastAsia="黑体" w:cs="Times New Roman"/>
          <w:snapToGrid w:val="0"/>
          <w:sz w:val="30"/>
          <w:szCs w:val="30"/>
        </w:rPr>
        <w:t>五、</w:t>
      </w:r>
      <w:bookmarkStart w:id="21" w:name="_Hlk54167917"/>
      <w:r>
        <w:rPr>
          <w:rFonts w:hint="default" w:ascii="Times New Roman" w:hAnsi="Times New Roman" w:eastAsia="黑体" w:cs="Times New Roman"/>
          <w:snapToGrid w:val="0"/>
          <w:sz w:val="30"/>
          <w:szCs w:val="30"/>
        </w:rPr>
        <w:t>环境保护措施监督检查清单</w:t>
      </w:r>
      <w:bookmarkEnd w:id="20"/>
      <w:bookmarkEnd w:id="21"/>
    </w:p>
    <w:tbl>
      <w:tblPr>
        <w:tblStyle w:val="26"/>
        <w:tblW w:w="5002"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67"/>
        <w:gridCol w:w="1891"/>
        <w:gridCol w:w="1349"/>
        <w:gridCol w:w="1830"/>
        <w:gridCol w:w="2627"/>
      </w:tblGrid>
      <w:tr w14:paraId="5C590B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754" w:type="pct"/>
            <w:tcBorders>
              <w:tl2br w:val="single" w:color="auto" w:sz="4" w:space="0"/>
            </w:tcBorders>
            <w:noWrap w:val="0"/>
            <w:vAlign w:val="center"/>
          </w:tcPr>
          <w:p w14:paraId="484DBF7D">
            <w:pPr>
              <w:widowControl/>
              <w:jc w:val="center"/>
              <w:rPr>
                <w:b/>
                <w:bCs/>
                <w:szCs w:val="21"/>
              </w:rPr>
            </w:pPr>
            <w:r>
              <w:rPr>
                <w:rFonts w:hint="eastAsia"/>
                <w:b/>
                <w:bCs/>
                <w:szCs w:val="21"/>
              </w:rPr>
              <w:t xml:space="preserve">      </w:t>
            </w:r>
            <w:r>
              <w:rPr>
                <w:b/>
                <w:bCs/>
                <w:szCs w:val="21"/>
              </w:rPr>
              <w:t>内容</w:t>
            </w:r>
          </w:p>
          <w:p w14:paraId="655863B2">
            <w:pPr>
              <w:widowControl/>
              <w:rPr>
                <w:b/>
                <w:bCs/>
                <w:szCs w:val="21"/>
              </w:rPr>
            </w:pPr>
            <w:r>
              <w:rPr>
                <w:b/>
                <w:bCs/>
                <w:szCs w:val="21"/>
              </w:rPr>
              <w:t>要素</w:t>
            </w:r>
          </w:p>
        </w:tc>
        <w:tc>
          <w:tcPr>
            <w:tcW w:w="1043" w:type="pct"/>
            <w:noWrap w:val="0"/>
            <w:vAlign w:val="center"/>
          </w:tcPr>
          <w:p w14:paraId="036A9445">
            <w:pPr>
              <w:widowControl/>
              <w:jc w:val="center"/>
              <w:rPr>
                <w:b/>
                <w:bCs/>
                <w:szCs w:val="21"/>
              </w:rPr>
            </w:pPr>
            <w:r>
              <w:rPr>
                <w:b/>
                <w:bCs/>
                <w:szCs w:val="21"/>
              </w:rPr>
              <w:t>排放口(编号、</w:t>
            </w:r>
          </w:p>
          <w:p w14:paraId="52476EF1">
            <w:pPr>
              <w:widowControl/>
              <w:jc w:val="center"/>
              <w:rPr>
                <w:b/>
                <w:bCs/>
                <w:szCs w:val="21"/>
              </w:rPr>
            </w:pPr>
            <w:r>
              <w:rPr>
                <w:b/>
                <w:bCs/>
                <w:szCs w:val="21"/>
              </w:rPr>
              <w:t>名称)/污染源</w:t>
            </w:r>
          </w:p>
        </w:tc>
        <w:tc>
          <w:tcPr>
            <w:tcW w:w="744" w:type="pct"/>
            <w:noWrap w:val="0"/>
            <w:vAlign w:val="center"/>
          </w:tcPr>
          <w:p w14:paraId="626EBED2">
            <w:pPr>
              <w:widowControl/>
              <w:jc w:val="center"/>
              <w:rPr>
                <w:b/>
                <w:bCs/>
                <w:szCs w:val="21"/>
              </w:rPr>
            </w:pPr>
            <w:r>
              <w:rPr>
                <w:b/>
                <w:bCs/>
                <w:szCs w:val="21"/>
              </w:rPr>
              <w:t>污染物项目</w:t>
            </w:r>
          </w:p>
        </w:tc>
        <w:tc>
          <w:tcPr>
            <w:tcW w:w="1009" w:type="pct"/>
            <w:noWrap w:val="0"/>
            <w:vAlign w:val="center"/>
          </w:tcPr>
          <w:p w14:paraId="3D7EB8BD">
            <w:pPr>
              <w:widowControl/>
              <w:jc w:val="center"/>
              <w:rPr>
                <w:b/>
                <w:bCs/>
                <w:szCs w:val="21"/>
              </w:rPr>
            </w:pPr>
            <w:r>
              <w:rPr>
                <w:b/>
                <w:bCs/>
                <w:szCs w:val="21"/>
              </w:rPr>
              <w:t>环境保护措施</w:t>
            </w:r>
          </w:p>
        </w:tc>
        <w:tc>
          <w:tcPr>
            <w:tcW w:w="1449" w:type="pct"/>
            <w:noWrap w:val="0"/>
            <w:vAlign w:val="center"/>
          </w:tcPr>
          <w:p w14:paraId="1E3946DB">
            <w:pPr>
              <w:widowControl/>
              <w:jc w:val="center"/>
              <w:rPr>
                <w:b/>
                <w:bCs/>
                <w:szCs w:val="21"/>
              </w:rPr>
            </w:pPr>
            <w:r>
              <w:rPr>
                <w:b/>
                <w:bCs/>
                <w:szCs w:val="21"/>
              </w:rPr>
              <w:t>执行标准</w:t>
            </w:r>
          </w:p>
        </w:tc>
      </w:tr>
      <w:tr w14:paraId="6F6225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54" w:type="pct"/>
            <w:vMerge w:val="restart"/>
            <w:noWrap w:val="0"/>
            <w:vAlign w:val="center"/>
          </w:tcPr>
          <w:p w14:paraId="5161D60A">
            <w:pPr>
              <w:widowControl/>
              <w:jc w:val="center"/>
              <w:rPr>
                <w:szCs w:val="21"/>
              </w:rPr>
            </w:pPr>
            <w:r>
              <w:rPr>
                <w:szCs w:val="21"/>
              </w:rPr>
              <w:t>大气环境</w:t>
            </w:r>
          </w:p>
        </w:tc>
        <w:tc>
          <w:tcPr>
            <w:tcW w:w="1043" w:type="pct"/>
            <w:noWrap w:val="0"/>
            <w:vAlign w:val="center"/>
          </w:tcPr>
          <w:p w14:paraId="34334BA5">
            <w:pPr>
              <w:adjustRightInd w:val="0"/>
              <w:snapToGrid w:val="0"/>
              <w:jc w:val="center"/>
              <w:rPr>
                <w:szCs w:val="21"/>
              </w:rPr>
            </w:pPr>
            <w:r>
              <w:rPr>
                <w:rFonts w:hint="eastAsia"/>
                <w:szCs w:val="21"/>
              </w:rPr>
              <w:t>DA001</w:t>
            </w:r>
          </w:p>
        </w:tc>
        <w:tc>
          <w:tcPr>
            <w:tcW w:w="744" w:type="pct"/>
            <w:noWrap w:val="0"/>
            <w:vAlign w:val="center"/>
          </w:tcPr>
          <w:p w14:paraId="0A7E9FCE">
            <w:pPr>
              <w:widowControl/>
              <w:jc w:val="center"/>
              <w:rPr>
                <w:szCs w:val="21"/>
              </w:rPr>
            </w:pPr>
            <w:r>
              <w:rPr>
                <w:rFonts w:hint="eastAsia"/>
              </w:rPr>
              <w:t>非甲烷总烃</w:t>
            </w:r>
          </w:p>
        </w:tc>
        <w:tc>
          <w:tcPr>
            <w:tcW w:w="1009" w:type="pct"/>
            <w:noWrap w:val="0"/>
            <w:vAlign w:val="center"/>
          </w:tcPr>
          <w:p w14:paraId="0CF1FB29">
            <w:pPr>
              <w:widowControl/>
              <w:jc w:val="center"/>
              <w:rPr>
                <w:szCs w:val="21"/>
              </w:rPr>
            </w:pPr>
            <w:r>
              <w:rPr>
                <w:rFonts w:hint="eastAsia"/>
                <w:szCs w:val="21"/>
              </w:rPr>
              <w:t>通风橱</w:t>
            </w:r>
            <w:r>
              <w:rPr>
                <w:rFonts w:hint="eastAsia"/>
                <w:szCs w:val="21"/>
                <w:lang w:val="en-US" w:eastAsia="zh-CN"/>
              </w:rPr>
              <w:t>/密闭式管道</w:t>
            </w:r>
            <w:r>
              <w:rPr>
                <w:rFonts w:hint="eastAsia"/>
                <w:szCs w:val="21"/>
              </w:rPr>
              <w:t>+二级活性炭吸附</w:t>
            </w:r>
            <w:r>
              <w:rPr>
                <w:szCs w:val="21"/>
              </w:rPr>
              <w:t>+</w:t>
            </w:r>
            <w:r>
              <w:rPr>
                <w:rFonts w:hint="eastAsia"/>
                <w:szCs w:val="21"/>
                <w:lang w:val="en-US" w:eastAsia="zh-CN"/>
              </w:rPr>
              <w:t>17m</w:t>
            </w:r>
            <w:r>
              <w:rPr>
                <w:szCs w:val="21"/>
              </w:rPr>
              <w:t>排气筒</w:t>
            </w:r>
            <w:r>
              <w:rPr>
                <w:rFonts w:hint="eastAsia"/>
              </w:rPr>
              <w:t>（DA001）</w:t>
            </w:r>
          </w:p>
        </w:tc>
        <w:tc>
          <w:tcPr>
            <w:tcW w:w="1449" w:type="pct"/>
            <w:noWrap w:val="0"/>
            <w:vAlign w:val="center"/>
          </w:tcPr>
          <w:p w14:paraId="1DFB1F51">
            <w:pPr>
              <w:jc w:val="center"/>
              <w:rPr>
                <w:color w:val="auto"/>
                <w:szCs w:val="21"/>
                <w:highlight w:val="none"/>
              </w:rPr>
            </w:pPr>
            <w:r>
              <w:rPr>
                <w:rFonts w:hint="eastAsia"/>
                <w:color w:val="auto"/>
                <w:kern w:val="24"/>
                <w:highlight w:val="none"/>
                <w:lang w:val="en-US" w:eastAsia="zh-CN"/>
              </w:rPr>
              <w:t>《大气污染物综合排放标准》（GB16297-1996）表2二级标准</w:t>
            </w:r>
          </w:p>
        </w:tc>
      </w:tr>
      <w:tr w14:paraId="521FA7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2" w:hRule="atLeast"/>
        </w:trPr>
        <w:tc>
          <w:tcPr>
            <w:tcW w:w="754" w:type="pct"/>
            <w:vMerge w:val="continue"/>
            <w:noWrap w:val="0"/>
            <w:vAlign w:val="center"/>
          </w:tcPr>
          <w:p w14:paraId="32D99681">
            <w:pPr>
              <w:adjustRightInd w:val="0"/>
              <w:snapToGrid w:val="0"/>
              <w:jc w:val="center"/>
            </w:pPr>
          </w:p>
        </w:tc>
        <w:tc>
          <w:tcPr>
            <w:tcW w:w="1043" w:type="pct"/>
            <w:noWrap w:val="0"/>
            <w:vAlign w:val="center"/>
          </w:tcPr>
          <w:p w14:paraId="1B4C170A">
            <w:pPr>
              <w:adjustRightInd w:val="0"/>
              <w:snapToGrid w:val="0"/>
              <w:jc w:val="center"/>
              <w:rPr>
                <w:szCs w:val="21"/>
              </w:rPr>
            </w:pPr>
            <w:r>
              <w:rPr>
                <w:rFonts w:hint="eastAsia"/>
              </w:rPr>
              <w:t>无组织废气</w:t>
            </w:r>
          </w:p>
        </w:tc>
        <w:tc>
          <w:tcPr>
            <w:tcW w:w="744" w:type="pct"/>
            <w:noWrap w:val="0"/>
            <w:vAlign w:val="center"/>
          </w:tcPr>
          <w:p w14:paraId="530340B3">
            <w:pPr>
              <w:jc w:val="center"/>
              <w:rPr>
                <w:szCs w:val="21"/>
              </w:rPr>
            </w:pPr>
            <w:r>
              <w:rPr>
                <w:rFonts w:hint="eastAsia"/>
              </w:rPr>
              <w:t>非甲烷总烃</w:t>
            </w:r>
          </w:p>
        </w:tc>
        <w:tc>
          <w:tcPr>
            <w:tcW w:w="1009" w:type="pct"/>
            <w:noWrap w:val="0"/>
            <w:vAlign w:val="center"/>
          </w:tcPr>
          <w:p w14:paraId="2D62ECF1">
            <w:pPr>
              <w:adjustRightInd w:val="0"/>
              <w:snapToGrid w:val="0"/>
              <w:jc w:val="center"/>
            </w:pPr>
            <w:r>
              <w:rPr>
                <w:rFonts w:hint="eastAsia"/>
              </w:rPr>
              <w:t>室内通风，无组织排出</w:t>
            </w:r>
          </w:p>
        </w:tc>
        <w:tc>
          <w:tcPr>
            <w:tcW w:w="1449" w:type="pct"/>
            <w:noWrap w:val="0"/>
            <w:vAlign w:val="center"/>
          </w:tcPr>
          <w:p w14:paraId="609B13BC">
            <w:pPr>
              <w:adjustRightInd w:val="0"/>
              <w:snapToGrid w:val="0"/>
              <w:jc w:val="center"/>
              <w:rPr>
                <w:color w:val="auto"/>
                <w:highlight w:val="none"/>
              </w:rPr>
            </w:pPr>
            <w:r>
              <w:rPr>
                <w:rFonts w:hint="eastAsia"/>
                <w:color w:val="auto"/>
                <w:kern w:val="24"/>
                <w:highlight w:val="none"/>
                <w:lang w:val="en-US" w:eastAsia="zh-CN"/>
              </w:rPr>
              <w:t>《挥发性有机物无组织排放控制标准》（GB37822-2019）附录A厂区内VOCs特别排放限值、</w:t>
            </w:r>
            <w:r>
              <w:rPr>
                <w:rFonts w:hint="eastAsia"/>
                <w:color w:val="auto"/>
                <w:szCs w:val="21"/>
                <w:highlight w:val="none"/>
                <w:lang w:val="en-US" w:eastAsia="zh-CN"/>
              </w:rPr>
              <w:t>《大气污染物综合排放标准》（GB16297-1996）表2</w:t>
            </w:r>
            <w:r>
              <w:rPr>
                <w:rFonts w:hint="eastAsia"/>
                <w:color w:val="auto"/>
                <w:szCs w:val="21"/>
                <w:highlight w:val="none"/>
              </w:rPr>
              <w:t>排放限值</w:t>
            </w:r>
          </w:p>
        </w:tc>
      </w:tr>
      <w:tr w14:paraId="185059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754" w:type="pct"/>
            <w:noWrap w:val="0"/>
            <w:vAlign w:val="center"/>
          </w:tcPr>
          <w:p w14:paraId="3386CE26">
            <w:pPr>
              <w:widowControl/>
              <w:jc w:val="center"/>
              <w:rPr>
                <w:szCs w:val="21"/>
              </w:rPr>
            </w:pPr>
            <w:r>
              <w:rPr>
                <w:szCs w:val="21"/>
              </w:rPr>
              <w:t>声环境</w:t>
            </w:r>
          </w:p>
        </w:tc>
        <w:tc>
          <w:tcPr>
            <w:tcW w:w="1043" w:type="pct"/>
            <w:noWrap w:val="0"/>
            <w:vAlign w:val="center"/>
          </w:tcPr>
          <w:p w14:paraId="4BF9ADC3">
            <w:pPr>
              <w:widowControl/>
              <w:jc w:val="center"/>
              <w:rPr>
                <w:szCs w:val="21"/>
              </w:rPr>
            </w:pPr>
            <w:r>
              <w:rPr>
                <w:szCs w:val="21"/>
              </w:rPr>
              <w:t>生产设备及辅助设备</w:t>
            </w:r>
          </w:p>
        </w:tc>
        <w:tc>
          <w:tcPr>
            <w:tcW w:w="744" w:type="pct"/>
            <w:noWrap w:val="0"/>
            <w:vAlign w:val="center"/>
          </w:tcPr>
          <w:p w14:paraId="15992727">
            <w:pPr>
              <w:widowControl/>
              <w:jc w:val="center"/>
              <w:rPr>
                <w:szCs w:val="21"/>
              </w:rPr>
            </w:pPr>
            <w:r>
              <w:rPr>
                <w:szCs w:val="21"/>
              </w:rPr>
              <w:t>噪声</w:t>
            </w:r>
          </w:p>
        </w:tc>
        <w:tc>
          <w:tcPr>
            <w:tcW w:w="1009" w:type="pct"/>
            <w:noWrap w:val="0"/>
            <w:vAlign w:val="center"/>
          </w:tcPr>
          <w:p w14:paraId="55C26053">
            <w:pPr>
              <w:widowControl/>
              <w:jc w:val="center"/>
              <w:rPr>
                <w:szCs w:val="21"/>
              </w:rPr>
            </w:pPr>
            <w:r>
              <w:rPr>
                <w:szCs w:val="21"/>
              </w:rPr>
              <w:t>设备基础减振、</w:t>
            </w:r>
            <w:r>
              <w:rPr>
                <w:rFonts w:hint="eastAsia"/>
                <w:szCs w:val="21"/>
              </w:rPr>
              <w:t>室内</w:t>
            </w:r>
            <w:r>
              <w:rPr>
                <w:szCs w:val="21"/>
              </w:rPr>
              <w:t>隔声等</w:t>
            </w:r>
          </w:p>
        </w:tc>
        <w:tc>
          <w:tcPr>
            <w:tcW w:w="1449" w:type="pct"/>
            <w:noWrap w:val="0"/>
            <w:vAlign w:val="center"/>
          </w:tcPr>
          <w:p w14:paraId="37AD5B51">
            <w:pPr>
              <w:widowControl/>
              <w:jc w:val="center"/>
              <w:rPr>
                <w:color w:val="auto"/>
                <w:szCs w:val="21"/>
              </w:rPr>
            </w:pPr>
            <w:r>
              <w:rPr>
                <w:color w:val="auto"/>
                <w:szCs w:val="21"/>
              </w:rPr>
              <w:t>《工业企业厂界环境噪声排放标准》（GB12348-2008）</w:t>
            </w:r>
            <w:r>
              <w:rPr>
                <w:rFonts w:hint="eastAsia"/>
                <w:color w:val="auto"/>
                <w:szCs w:val="21"/>
                <w:lang w:val="en-US" w:eastAsia="zh-CN"/>
              </w:rPr>
              <w:t>3</w:t>
            </w:r>
            <w:r>
              <w:rPr>
                <w:color w:val="auto"/>
                <w:szCs w:val="21"/>
              </w:rPr>
              <w:t>类标准</w:t>
            </w:r>
          </w:p>
        </w:tc>
      </w:tr>
      <w:tr w14:paraId="126806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754" w:type="pct"/>
            <w:vMerge w:val="restart"/>
            <w:noWrap w:val="0"/>
            <w:vAlign w:val="center"/>
          </w:tcPr>
          <w:p w14:paraId="44F9710D">
            <w:pPr>
              <w:widowControl/>
              <w:jc w:val="center"/>
              <w:rPr>
                <w:szCs w:val="21"/>
              </w:rPr>
            </w:pPr>
            <w:r>
              <w:rPr>
                <w:szCs w:val="21"/>
              </w:rPr>
              <w:t>地表水环境</w:t>
            </w:r>
          </w:p>
        </w:tc>
        <w:tc>
          <w:tcPr>
            <w:tcW w:w="1043" w:type="pct"/>
            <w:vMerge w:val="restart"/>
            <w:noWrap w:val="0"/>
            <w:vAlign w:val="center"/>
          </w:tcPr>
          <w:p w14:paraId="717D5D7D">
            <w:pPr>
              <w:widowControl/>
              <w:jc w:val="center"/>
              <w:rPr>
                <w:szCs w:val="21"/>
              </w:rPr>
            </w:pPr>
            <w:r>
              <w:rPr>
                <w:rFonts w:hint="eastAsia"/>
                <w:szCs w:val="21"/>
                <w:lang w:val="en-US" w:eastAsia="zh-CN"/>
              </w:rPr>
              <w:t>生产</w:t>
            </w:r>
            <w:r>
              <w:rPr>
                <w:rFonts w:hint="eastAsia"/>
                <w:szCs w:val="21"/>
              </w:rPr>
              <w:t>废水</w:t>
            </w:r>
          </w:p>
        </w:tc>
        <w:tc>
          <w:tcPr>
            <w:tcW w:w="744" w:type="pct"/>
            <w:noWrap w:val="0"/>
            <w:vAlign w:val="center"/>
          </w:tcPr>
          <w:p w14:paraId="3C9A33F2">
            <w:pPr>
              <w:widowControl/>
              <w:jc w:val="center"/>
              <w:rPr>
                <w:szCs w:val="21"/>
              </w:rPr>
            </w:pPr>
            <w:r>
              <w:rPr>
                <w:rFonts w:hint="eastAsia"/>
                <w:szCs w:val="21"/>
                <w:lang w:val="en-US" w:eastAsia="zh-CN"/>
              </w:rPr>
              <w:t>实验室器皿后段清洗废水</w:t>
            </w:r>
          </w:p>
        </w:tc>
        <w:tc>
          <w:tcPr>
            <w:tcW w:w="2458" w:type="pct"/>
            <w:gridSpan w:val="2"/>
            <w:noWrap w:val="0"/>
            <w:vAlign w:val="center"/>
          </w:tcPr>
          <w:p w14:paraId="4106F9BF">
            <w:pPr>
              <w:widowControl/>
              <w:jc w:val="center"/>
              <w:rPr>
                <w:szCs w:val="21"/>
              </w:rPr>
            </w:pPr>
            <w:r>
              <w:rPr>
                <w:rFonts w:hint="eastAsia"/>
                <w:szCs w:val="21"/>
              </w:rPr>
              <w:t>经pH调节池收集处理后排入化粪池，处理后排入市政污水管网</w:t>
            </w:r>
          </w:p>
        </w:tc>
      </w:tr>
      <w:tr w14:paraId="15D149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54" w:type="pct"/>
            <w:vMerge w:val="continue"/>
            <w:noWrap w:val="0"/>
            <w:vAlign w:val="center"/>
          </w:tcPr>
          <w:p w14:paraId="103424A1">
            <w:pPr>
              <w:widowControl/>
              <w:jc w:val="center"/>
            </w:pPr>
          </w:p>
        </w:tc>
        <w:tc>
          <w:tcPr>
            <w:tcW w:w="1043" w:type="pct"/>
            <w:vMerge w:val="continue"/>
            <w:noWrap w:val="0"/>
            <w:vAlign w:val="center"/>
          </w:tcPr>
          <w:p w14:paraId="73F49D8E">
            <w:pPr>
              <w:widowControl/>
              <w:jc w:val="center"/>
            </w:pPr>
          </w:p>
        </w:tc>
        <w:tc>
          <w:tcPr>
            <w:tcW w:w="744" w:type="pct"/>
            <w:noWrap w:val="0"/>
            <w:vAlign w:val="center"/>
          </w:tcPr>
          <w:p w14:paraId="1F7CD742">
            <w:pPr>
              <w:widowControl/>
              <w:jc w:val="center"/>
              <w:rPr>
                <w:rFonts w:hint="eastAsia"/>
                <w:szCs w:val="21"/>
                <w:lang w:val="en-US" w:eastAsia="zh-CN"/>
              </w:rPr>
            </w:pPr>
            <w:r>
              <w:rPr>
                <w:rFonts w:hint="eastAsia"/>
                <w:szCs w:val="21"/>
                <w:lang w:val="en-US" w:eastAsia="zh-CN"/>
              </w:rPr>
              <w:t>纯水机浓水</w:t>
            </w:r>
          </w:p>
        </w:tc>
        <w:tc>
          <w:tcPr>
            <w:tcW w:w="2458" w:type="pct"/>
            <w:gridSpan w:val="2"/>
            <w:vMerge w:val="restart"/>
            <w:noWrap w:val="0"/>
            <w:vAlign w:val="center"/>
          </w:tcPr>
          <w:p w14:paraId="1B0D8CF8">
            <w:pPr>
              <w:widowControl/>
              <w:jc w:val="center"/>
              <w:rPr>
                <w:szCs w:val="21"/>
              </w:rPr>
            </w:pPr>
            <w:r>
              <w:rPr>
                <w:rFonts w:hint="eastAsia"/>
                <w:szCs w:val="21"/>
              </w:rPr>
              <w:t>经化粪池处理后排入市政污水管网</w:t>
            </w:r>
          </w:p>
        </w:tc>
      </w:tr>
      <w:tr w14:paraId="0887AF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754" w:type="pct"/>
            <w:vMerge w:val="continue"/>
            <w:noWrap w:val="0"/>
            <w:vAlign w:val="center"/>
          </w:tcPr>
          <w:p w14:paraId="5293B46D">
            <w:pPr>
              <w:widowControl/>
              <w:jc w:val="center"/>
              <w:rPr>
                <w:szCs w:val="21"/>
              </w:rPr>
            </w:pPr>
          </w:p>
        </w:tc>
        <w:tc>
          <w:tcPr>
            <w:tcW w:w="1043" w:type="pct"/>
            <w:noWrap w:val="0"/>
            <w:vAlign w:val="center"/>
          </w:tcPr>
          <w:p w14:paraId="12B1328E">
            <w:pPr>
              <w:widowControl/>
              <w:jc w:val="center"/>
              <w:rPr>
                <w:szCs w:val="21"/>
              </w:rPr>
            </w:pPr>
            <w:r>
              <w:rPr>
                <w:rFonts w:hint="eastAsia"/>
                <w:szCs w:val="21"/>
              </w:rPr>
              <w:t>生活污水</w:t>
            </w:r>
          </w:p>
        </w:tc>
        <w:tc>
          <w:tcPr>
            <w:tcW w:w="744" w:type="pct"/>
            <w:noWrap w:val="0"/>
            <w:vAlign w:val="center"/>
          </w:tcPr>
          <w:p w14:paraId="2B6A8286">
            <w:pPr>
              <w:widowControl/>
              <w:jc w:val="center"/>
              <w:rPr>
                <w:szCs w:val="21"/>
              </w:rPr>
            </w:pPr>
            <w:r>
              <w:rPr>
                <w:rFonts w:hint="eastAsia"/>
                <w:szCs w:val="21"/>
              </w:rPr>
              <w:t>生活污水</w:t>
            </w:r>
          </w:p>
        </w:tc>
        <w:tc>
          <w:tcPr>
            <w:tcW w:w="2458" w:type="pct"/>
            <w:gridSpan w:val="2"/>
            <w:vMerge w:val="continue"/>
            <w:noWrap w:val="0"/>
            <w:vAlign w:val="center"/>
          </w:tcPr>
          <w:p w14:paraId="475D2D62">
            <w:pPr>
              <w:widowControl/>
              <w:jc w:val="center"/>
              <w:rPr>
                <w:szCs w:val="21"/>
              </w:rPr>
            </w:pPr>
          </w:p>
        </w:tc>
      </w:tr>
      <w:tr w14:paraId="18A84F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754" w:type="pct"/>
            <w:vMerge w:val="restart"/>
            <w:noWrap w:val="0"/>
            <w:vAlign w:val="center"/>
          </w:tcPr>
          <w:p w14:paraId="528DF2B0">
            <w:pPr>
              <w:widowControl/>
              <w:jc w:val="center"/>
              <w:rPr>
                <w:szCs w:val="21"/>
              </w:rPr>
            </w:pPr>
            <w:r>
              <w:rPr>
                <w:szCs w:val="21"/>
              </w:rPr>
              <w:t>固体废物</w:t>
            </w:r>
          </w:p>
        </w:tc>
        <w:tc>
          <w:tcPr>
            <w:tcW w:w="1787" w:type="pct"/>
            <w:gridSpan w:val="2"/>
            <w:noWrap w:val="0"/>
            <w:vAlign w:val="center"/>
          </w:tcPr>
          <w:p w14:paraId="3FA44B62">
            <w:pPr>
              <w:jc w:val="center"/>
              <w:rPr>
                <w:szCs w:val="21"/>
              </w:rPr>
            </w:pPr>
            <w:r>
              <w:rPr>
                <w:rFonts w:hint="eastAsia"/>
                <w:szCs w:val="21"/>
              </w:rPr>
              <w:t>生活垃圾</w:t>
            </w:r>
          </w:p>
        </w:tc>
        <w:tc>
          <w:tcPr>
            <w:tcW w:w="1009" w:type="pct"/>
            <w:noWrap w:val="0"/>
            <w:vAlign w:val="center"/>
          </w:tcPr>
          <w:p w14:paraId="6A3076F5">
            <w:pPr>
              <w:jc w:val="center"/>
              <w:rPr>
                <w:szCs w:val="21"/>
              </w:rPr>
            </w:pPr>
            <w:r>
              <w:rPr>
                <w:rFonts w:hint="eastAsia"/>
                <w:kern w:val="0"/>
                <w:szCs w:val="21"/>
                <w:lang w:bidi="ar"/>
              </w:rPr>
              <w:t>分类收集后统一交由环卫部门处置</w:t>
            </w:r>
          </w:p>
        </w:tc>
        <w:tc>
          <w:tcPr>
            <w:tcW w:w="1449" w:type="pct"/>
            <w:noWrap w:val="0"/>
            <w:vAlign w:val="center"/>
          </w:tcPr>
          <w:p w14:paraId="41CEB81E">
            <w:pPr>
              <w:widowControl/>
              <w:jc w:val="center"/>
              <w:rPr>
                <w:szCs w:val="21"/>
              </w:rPr>
            </w:pPr>
            <w:r>
              <w:rPr>
                <w:szCs w:val="21"/>
              </w:rPr>
              <w:t>处置率100%</w:t>
            </w:r>
          </w:p>
        </w:tc>
      </w:tr>
      <w:tr w14:paraId="461541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754" w:type="pct"/>
            <w:vMerge w:val="continue"/>
            <w:noWrap w:val="0"/>
            <w:vAlign w:val="center"/>
          </w:tcPr>
          <w:p w14:paraId="08F1C14B">
            <w:pPr>
              <w:widowControl/>
              <w:jc w:val="center"/>
              <w:rPr>
                <w:szCs w:val="21"/>
              </w:rPr>
            </w:pPr>
          </w:p>
        </w:tc>
        <w:tc>
          <w:tcPr>
            <w:tcW w:w="1787" w:type="pct"/>
            <w:gridSpan w:val="2"/>
            <w:noWrap w:val="0"/>
            <w:vAlign w:val="center"/>
          </w:tcPr>
          <w:p w14:paraId="016D5D6A">
            <w:pPr>
              <w:jc w:val="center"/>
              <w:rPr>
                <w:szCs w:val="21"/>
              </w:rPr>
            </w:pPr>
            <w:r>
              <w:rPr>
                <w:rFonts w:hint="eastAsia"/>
                <w:szCs w:val="21"/>
                <w:lang w:val="en-US" w:eastAsia="zh-CN"/>
              </w:rPr>
              <w:t>废</w:t>
            </w:r>
            <w:r>
              <w:rPr>
                <w:rFonts w:hint="default"/>
                <w:szCs w:val="21"/>
                <w:lang w:val="en-US" w:eastAsia="zh-CN"/>
              </w:rPr>
              <w:t>边角料</w:t>
            </w:r>
            <w:r>
              <w:rPr>
                <w:rFonts w:hint="eastAsia"/>
                <w:szCs w:val="21"/>
                <w:lang w:val="en-US" w:eastAsia="zh-CN"/>
              </w:rPr>
              <w:t>、</w:t>
            </w:r>
            <w:r>
              <w:rPr>
                <w:rFonts w:hint="default"/>
                <w:szCs w:val="21"/>
                <w:lang w:val="en-US" w:eastAsia="zh-CN"/>
              </w:rPr>
              <w:t>废包装</w:t>
            </w:r>
            <w:r>
              <w:rPr>
                <w:rFonts w:hint="eastAsia"/>
                <w:szCs w:val="21"/>
                <w:lang w:val="en-US" w:eastAsia="zh-CN"/>
              </w:rPr>
              <w:t>材料、不合格品、废反渗透膜</w:t>
            </w:r>
          </w:p>
        </w:tc>
        <w:tc>
          <w:tcPr>
            <w:tcW w:w="1009" w:type="pct"/>
            <w:noWrap w:val="0"/>
            <w:vAlign w:val="center"/>
          </w:tcPr>
          <w:p w14:paraId="7719B9FD">
            <w:pPr>
              <w:widowControl/>
              <w:jc w:val="center"/>
              <w:rPr>
                <w:szCs w:val="21"/>
              </w:rPr>
            </w:pPr>
            <w:r>
              <w:rPr>
                <w:rFonts w:hint="eastAsia"/>
                <w:szCs w:val="21"/>
                <w:lang w:val="en-US" w:eastAsia="zh-CN"/>
              </w:rPr>
              <w:t>废</w:t>
            </w:r>
            <w:r>
              <w:rPr>
                <w:rFonts w:hint="default"/>
                <w:szCs w:val="21"/>
                <w:lang w:val="en-US" w:eastAsia="zh-CN"/>
              </w:rPr>
              <w:t>边角料</w:t>
            </w:r>
            <w:r>
              <w:rPr>
                <w:rFonts w:hint="eastAsia"/>
                <w:szCs w:val="21"/>
                <w:lang w:val="en-US" w:eastAsia="zh-CN"/>
              </w:rPr>
              <w:t>、</w:t>
            </w:r>
            <w:r>
              <w:rPr>
                <w:rFonts w:hint="default"/>
                <w:szCs w:val="21"/>
                <w:lang w:val="en-US" w:eastAsia="zh-CN"/>
              </w:rPr>
              <w:t>废包装</w:t>
            </w:r>
            <w:r>
              <w:rPr>
                <w:rFonts w:hint="eastAsia"/>
                <w:szCs w:val="21"/>
                <w:lang w:val="en-US" w:eastAsia="zh-CN"/>
              </w:rPr>
              <w:t>材料、不合格品</w:t>
            </w:r>
            <w:r>
              <w:rPr>
                <w:rFonts w:hint="default" w:ascii="Times New Roman" w:hAnsi="Times New Roman"/>
                <w:color w:val="auto"/>
                <w:sz w:val="21"/>
                <w:szCs w:val="21"/>
                <w:lang w:val="en-US" w:eastAsia="zh-CN"/>
              </w:rPr>
              <w:t>集中收集后外售</w:t>
            </w:r>
            <w:r>
              <w:rPr>
                <w:rFonts w:hint="eastAsia" w:ascii="Times New Roman" w:hAnsi="Times New Roman"/>
                <w:color w:val="auto"/>
                <w:sz w:val="21"/>
                <w:szCs w:val="21"/>
                <w:lang w:val="en-US" w:eastAsia="zh-CN"/>
              </w:rPr>
              <w:t>，</w:t>
            </w:r>
            <w:r>
              <w:rPr>
                <w:rFonts w:hint="eastAsia"/>
                <w:szCs w:val="21"/>
                <w:lang w:val="en-US" w:eastAsia="zh-CN"/>
              </w:rPr>
              <w:t>废反渗透膜</w:t>
            </w:r>
            <w:r>
              <w:rPr>
                <w:rFonts w:hint="eastAsia"/>
                <w:color w:val="auto"/>
                <w:sz w:val="21"/>
                <w:szCs w:val="21"/>
                <w:lang w:val="en-US" w:eastAsia="zh-CN"/>
              </w:rPr>
              <w:t>交供应商回收利用</w:t>
            </w:r>
          </w:p>
        </w:tc>
        <w:tc>
          <w:tcPr>
            <w:tcW w:w="1449" w:type="pct"/>
            <w:noWrap w:val="0"/>
            <w:vAlign w:val="center"/>
          </w:tcPr>
          <w:p w14:paraId="2D131FBD">
            <w:pPr>
              <w:widowControl/>
              <w:jc w:val="center"/>
              <w:rPr>
                <w:szCs w:val="21"/>
              </w:rPr>
            </w:pPr>
            <w:r>
              <w:rPr>
                <w:rFonts w:hint="eastAsia"/>
                <w:szCs w:val="21"/>
                <w:lang w:eastAsia="zh-CN"/>
              </w:rPr>
              <w:t>《中华人民共和国固体废物污染环境防治法》（</w:t>
            </w:r>
            <w:r>
              <w:rPr>
                <w:rFonts w:hint="eastAsia"/>
                <w:szCs w:val="21"/>
                <w:lang w:val="en-US" w:eastAsia="zh-CN"/>
              </w:rPr>
              <w:t>2020年修订</w:t>
            </w:r>
            <w:r>
              <w:rPr>
                <w:rFonts w:hint="eastAsia"/>
                <w:szCs w:val="21"/>
                <w:lang w:eastAsia="zh-CN"/>
              </w:rPr>
              <w:t>）、</w:t>
            </w:r>
            <w:r>
              <w:rPr>
                <w:szCs w:val="21"/>
              </w:rPr>
              <w:t>《一般工业固体废物贮存和填埋污染控制标准》（GB18599-2020）</w:t>
            </w:r>
          </w:p>
        </w:tc>
      </w:tr>
      <w:tr w14:paraId="7BEB56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754" w:type="pct"/>
            <w:vMerge w:val="continue"/>
            <w:noWrap w:val="0"/>
            <w:vAlign w:val="center"/>
          </w:tcPr>
          <w:p w14:paraId="7A4A9E41">
            <w:pPr>
              <w:widowControl/>
              <w:jc w:val="center"/>
              <w:rPr>
                <w:szCs w:val="21"/>
              </w:rPr>
            </w:pPr>
          </w:p>
        </w:tc>
        <w:tc>
          <w:tcPr>
            <w:tcW w:w="1787" w:type="pct"/>
            <w:gridSpan w:val="2"/>
            <w:noWrap w:val="0"/>
            <w:vAlign w:val="center"/>
          </w:tcPr>
          <w:p w14:paraId="14BAB315">
            <w:pPr>
              <w:widowControl/>
              <w:jc w:val="center"/>
              <w:rPr>
                <w:szCs w:val="21"/>
              </w:rPr>
            </w:pPr>
            <w:r>
              <w:rPr>
                <w:rFonts w:hint="eastAsia"/>
                <w:szCs w:val="21"/>
                <w:lang w:val="en-US" w:eastAsia="zh-CN"/>
              </w:rPr>
              <w:t>实</w:t>
            </w:r>
            <w:r>
              <w:rPr>
                <w:rFonts w:hint="eastAsia"/>
                <w:szCs w:val="21"/>
              </w:rPr>
              <w:t>验废液</w:t>
            </w:r>
            <w:r>
              <w:rPr>
                <w:rFonts w:hint="eastAsia"/>
                <w:szCs w:val="21"/>
                <w:lang w:eastAsia="zh-CN"/>
              </w:rPr>
              <w:t>、</w:t>
            </w:r>
            <w:r>
              <w:rPr>
                <w:rFonts w:hint="eastAsia"/>
                <w:szCs w:val="21"/>
                <w:lang w:val="en-US" w:eastAsia="zh-CN"/>
              </w:rPr>
              <w:t>废试剂瓶、</w:t>
            </w:r>
            <w:r>
              <w:rPr>
                <w:rFonts w:hint="default"/>
                <w:szCs w:val="21"/>
              </w:rPr>
              <w:t>废活性炭</w:t>
            </w:r>
          </w:p>
        </w:tc>
        <w:tc>
          <w:tcPr>
            <w:tcW w:w="1009" w:type="pct"/>
            <w:noWrap w:val="0"/>
            <w:vAlign w:val="center"/>
          </w:tcPr>
          <w:p w14:paraId="00EE99A0">
            <w:pPr>
              <w:widowControl/>
              <w:jc w:val="center"/>
              <w:rPr>
                <w:szCs w:val="21"/>
              </w:rPr>
            </w:pPr>
            <w:r>
              <w:rPr>
                <w:rFonts w:hint="eastAsia"/>
                <w:szCs w:val="21"/>
              </w:rPr>
              <w:t>危废贮存库暂存，定期交有资质单位处置</w:t>
            </w:r>
          </w:p>
        </w:tc>
        <w:tc>
          <w:tcPr>
            <w:tcW w:w="1449" w:type="pct"/>
            <w:noWrap w:val="0"/>
            <w:vAlign w:val="center"/>
          </w:tcPr>
          <w:p w14:paraId="70066F47">
            <w:pPr>
              <w:widowControl/>
              <w:jc w:val="center"/>
              <w:rPr>
                <w:szCs w:val="21"/>
              </w:rPr>
            </w:pPr>
            <w:r>
              <w:rPr>
                <w:szCs w:val="21"/>
              </w:rPr>
              <w:t>《危险废物贮存污染控制标准》（GB 18597-2023）、《危险废物收集贮存运输技术规范》（HJ 2025-2012）中相关规定</w:t>
            </w:r>
          </w:p>
        </w:tc>
      </w:tr>
      <w:tr w14:paraId="080E4D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754" w:type="pct"/>
            <w:noWrap w:val="0"/>
            <w:vAlign w:val="center"/>
          </w:tcPr>
          <w:p w14:paraId="0717281F">
            <w:pPr>
              <w:widowControl/>
              <w:jc w:val="center"/>
              <w:rPr>
                <w:szCs w:val="21"/>
              </w:rPr>
            </w:pPr>
            <w:r>
              <w:rPr>
                <w:szCs w:val="21"/>
              </w:rPr>
              <w:t>土壤及地下水污染防治措施</w:t>
            </w:r>
          </w:p>
        </w:tc>
        <w:tc>
          <w:tcPr>
            <w:tcW w:w="4245" w:type="pct"/>
            <w:gridSpan w:val="4"/>
            <w:noWrap w:val="0"/>
            <w:vAlign w:val="center"/>
          </w:tcPr>
          <w:p w14:paraId="25DC1C80">
            <w:pPr>
              <w:widowControl/>
              <w:jc w:val="center"/>
              <w:rPr>
                <w:szCs w:val="21"/>
              </w:rPr>
            </w:pPr>
            <w:r>
              <w:rPr>
                <w:szCs w:val="21"/>
              </w:rPr>
              <w:t>地面进行防渗</w:t>
            </w:r>
            <w:r>
              <w:rPr>
                <w:rFonts w:hint="eastAsia"/>
                <w:szCs w:val="21"/>
              </w:rPr>
              <w:t>防腐处理</w:t>
            </w:r>
          </w:p>
        </w:tc>
      </w:tr>
      <w:tr w14:paraId="471762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754" w:type="pct"/>
            <w:noWrap w:val="0"/>
            <w:vAlign w:val="center"/>
          </w:tcPr>
          <w:p w14:paraId="0F29E8B5">
            <w:pPr>
              <w:widowControl/>
              <w:jc w:val="center"/>
              <w:rPr>
                <w:szCs w:val="21"/>
              </w:rPr>
            </w:pPr>
            <w:r>
              <w:rPr>
                <w:szCs w:val="21"/>
              </w:rPr>
              <w:t>生态保</w:t>
            </w:r>
          </w:p>
          <w:p w14:paraId="303EA182">
            <w:pPr>
              <w:widowControl/>
              <w:jc w:val="center"/>
              <w:rPr>
                <w:szCs w:val="21"/>
              </w:rPr>
            </w:pPr>
            <w:r>
              <w:rPr>
                <w:szCs w:val="21"/>
              </w:rPr>
              <w:t>护措施</w:t>
            </w:r>
          </w:p>
        </w:tc>
        <w:tc>
          <w:tcPr>
            <w:tcW w:w="4245" w:type="pct"/>
            <w:gridSpan w:val="4"/>
            <w:noWrap w:val="0"/>
            <w:vAlign w:val="center"/>
          </w:tcPr>
          <w:p w14:paraId="7C401F75">
            <w:pPr>
              <w:widowControl/>
              <w:jc w:val="center"/>
              <w:rPr>
                <w:szCs w:val="21"/>
              </w:rPr>
            </w:pPr>
            <w:r>
              <w:rPr>
                <w:rFonts w:hint="eastAsia"/>
                <w:szCs w:val="21"/>
              </w:rPr>
              <w:t>无，不存在生态环境问题</w:t>
            </w:r>
          </w:p>
        </w:tc>
      </w:tr>
      <w:tr w14:paraId="3F270E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54" w:type="pct"/>
            <w:noWrap w:val="0"/>
            <w:vAlign w:val="center"/>
          </w:tcPr>
          <w:p w14:paraId="1A26172B">
            <w:pPr>
              <w:widowControl/>
              <w:jc w:val="center"/>
              <w:rPr>
                <w:szCs w:val="21"/>
              </w:rPr>
            </w:pPr>
            <w:r>
              <w:rPr>
                <w:szCs w:val="21"/>
              </w:rPr>
              <w:t>环境风险</w:t>
            </w:r>
          </w:p>
          <w:p w14:paraId="042E13CE">
            <w:pPr>
              <w:widowControl/>
              <w:jc w:val="center"/>
              <w:rPr>
                <w:szCs w:val="21"/>
              </w:rPr>
            </w:pPr>
            <w:r>
              <w:rPr>
                <w:szCs w:val="21"/>
              </w:rPr>
              <w:t>防范措施</w:t>
            </w:r>
          </w:p>
        </w:tc>
        <w:tc>
          <w:tcPr>
            <w:tcW w:w="4245" w:type="pct"/>
            <w:gridSpan w:val="4"/>
            <w:noWrap w:val="0"/>
            <w:vAlign w:val="center"/>
          </w:tcPr>
          <w:p w14:paraId="1099525A">
            <w:pPr>
              <w:pStyle w:val="68"/>
              <w:spacing w:before="24" w:beforeLines="10" w:line="360" w:lineRule="auto"/>
              <w:jc w:val="left"/>
              <w:rPr>
                <w:rFonts w:ascii="宋体" w:hAnsi="宋体" w:cs="宋体"/>
              </w:rPr>
            </w:pPr>
            <w:r>
              <w:rPr>
                <w:rFonts w:ascii="宋体" w:hAnsi="宋体" w:cs="宋体"/>
              </w:rPr>
              <w:t>①</w:t>
            </w:r>
            <w:r>
              <w:rPr>
                <w:rFonts w:hint="eastAsia" w:ascii="宋体" w:hAnsi="宋体" w:cs="宋体"/>
              </w:rPr>
              <w:t>工作</w:t>
            </w:r>
            <w:r>
              <w:rPr>
                <w:rFonts w:ascii="宋体" w:hAnsi="宋体" w:cs="宋体"/>
              </w:rPr>
              <w:t>人员定时巡视，一旦发现泄漏情况立即启动应急报警系统。</w:t>
            </w:r>
          </w:p>
          <w:p w14:paraId="63D7454D">
            <w:pPr>
              <w:pStyle w:val="68"/>
              <w:spacing w:before="24" w:beforeLines="10" w:line="360" w:lineRule="auto"/>
              <w:jc w:val="left"/>
              <w:rPr>
                <w:rFonts w:ascii="宋体" w:hAnsi="宋体" w:cs="宋体"/>
              </w:rPr>
            </w:pPr>
            <w:r>
              <w:rPr>
                <w:rFonts w:ascii="宋体" w:hAnsi="宋体" w:cs="宋体"/>
              </w:rPr>
              <w:t>②加强安全管理，制定相应的定期检查制度，定期检查装置各</w:t>
            </w:r>
            <w:r>
              <w:rPr>
                <w:rFonts w:hint="eastAsia" w:ascii="宋体" w:hAnsi="宋体" w:cs="宋体"/>
              </w:rPr>
              <w:t>设备</w:t>
            </w:r>
            <w:r>
              <w:rPr>
                <w:rFonts w:ascii="宋体" w:hAnsi="宋体" w:cs="宋体"/>
              </w:rPr>
              <w:t>有无渗漏。</w:t>
            </w:r>
          </w:p>
          <w:p w14:paraId="68D4FB03">
            <w:pPr>
              <w:pStyle w:val="68"/>
              <w:spacing w:before="24" w:beforeLines="10" w:line="360" w:lineRule="auto"/>
              <w:jc w:val="left"/>
              <w:rPr>
                <w:rFonts w:ascii="宋体" w:hAnsi="宋体" w:cs="宋体"/>
              </w:rPr>
            </w:pPr>
            <w:r>
              <w:rPr>
                <w:rFonts w:ascii="宋体" w:hAnsi="宋体" w:cs="宋体"/>
              </w:rPr>
              <w:t>③建立完善的安全生产制度和安全操作规范，并做到制度上墙。</w:t>
            </w:r>
          </w:p>
          <w:p w14:paraId="309DE7E3">
            <w:pPr>
              <w:pStyle w:val="68"/>
              <w:spacing w:before="24" w:beforeLines="10" w:line="360" w:lineRule="auto"/>
              <w:jc w:val="left"/>
              <w:rPr>
                <w:rFonts w:ascii="宋体" w:hAnsi="宋体" w:cs="宋体"/>
              </w:rPr>
            </w:pPr>
            <w:r>
              <w:rPr>
                <w:rFonts w:ascii="宋体" w:hAnsi="宋体" w:cs="宋体"/>
              </w:rPr>
              <w:t>④</w:t>
            </w:r>
            <w:r>
              <w:rPr>
                <w:rFonts w:hint="eastAsia" w:ascii="宋体" w:hAnsi="宋体" w:cs="宋体"/>
                <w:highlight w:val="none"/>
                <w:lang w:val="en-US" w:eastAsia="zh-CN"/>
              </w:rPr>
              <w:t>厂房</w:t>
            </w:r>
            <w:r>
              <w:rPr>
                <w:rFonts w:ascii="宋体" w:hAnsi="宋体" w:cs="宋体"/>
              </w:rPr>
              <w:t>设置禁止火源等标识。</w:t>
            </w:r>
          </w:p>
          <w:p w14:paraId="75034BDB">
            <w:pPr>
              <w:widowControl/>
              <w:spacing w:line="360" w:lineRule="auto"/>
              <w:rPr>
                <w:szCs w:val="21"/>
              </w:rPr>
            </w:pPr>
            <w:r>
              <w:rPr>
                <w:rFonts w:ascii="宋体" w:hAnsi="宋体" w:cs="宋体"/>
                <w:szCs w:val="20"/>
              </w:rPr>
              <w:t>⑤按照规定配备灭火器。</w:t>
            </w:r>
          </w:p>
        </w:tc>
      </w:tr>
      <w:tr w14:paraId="006598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754" w:type="pct"/>
            <w:noWrap w:val="0"/>
            <w:vAlign w:val="center"/>
          </w:tcPr>
          <w:p w14:paraId="08DE79DB">
            <w:pPr>
              <w:widowControl/>
              <w:jc w:val="center"/>
              <w:rPr>
                <w:szCs w:val="21"/>
                <w:lang w:bidi="ar"/>
              </w:rPr>
            </w:pPr>
            <w:r>
              <w:rPr>
                <w:szCs w:val="21"/>
                <w:lang w:bidi="ar"/>
              </w:rPr>
              <w:t>其他环境</w:t>
            </w:r>
          </w:p>
          <w:p w14:paraId="66139E98">
            <w:pPr>
              <w:widowControl/>
              <w:jc w:val="center"/>
              <w:rPr>
                <w:szCs w:val="21"/>
                <w:lang w:bidi="ar"/>
              </w:rPr>
            </w:pPr>
            <w:r>
              <w:rPr>
                <w:szCs w:val="21"/>
                <w:lang w:bidi="ar"/>
              </w:rPr>
              <w:t>管理要求</w:t>
            </w:r>
          </w:p>
        </w:tc>
        <w:tc>
          <w:tcPr>
            <w:tcW w:w="4245" w:type="pct"/>
            <w:gridSpan w:val="4"/>
            <w:noWrap w:val="0"/>
            <w:vAlign w:val="center"/>
          </w:tcPr>
          <w:p w14:paraId="2E10AD9B">
            <w:pPr>
              <w:snapToGrid w:val="0"/>
              <w:spacing w:line="360" w:lineRule="auto"/>
              <w:rPr>
                <w:color w:val="auto"/>
                <w:szCs w:val="21"/>
                <w:lang w:bidi="ar"/>
              </w:rPr>
            </w:pPr>
            <w:r>
              <w:rPr>
                <w:color w:val="auto"/>
                <w:szCs w:val="21"/>
                <w:lang w:bidi="ar"/>
              </w:rPr>
              <w:t>建立环保档案，</w:t>
            </w:r>
            <w:r>
              <w:rPr>
                <w:rFonts w:hint="eastAsia"/>
                <w:color w:val="auto"/>
                <w:szCs w:val="21"/>
                <w:lang w:bidi="ar"/>
              </w:rPr>
              <w:t>设置厂内人员（可兼职）进行</w:t>
            </w:r>
            <w:r>
              <w:rPr>
                <w:color w:val="auto"/>
                <w:szCs w:val="21"/>
                <w:lang w:bidi="ar"/>
              </w:rPr>
              <w:t>环境管理</w:t>
            </w:r>
            <w:r>
              <w:rPr>
                <w:rFonts w:hint="eastAsia"/>
                <w:color w:val="auto"/>
                <w:szCs w:val="21"/>
                <w:lang w:bidi="ar"/>
              </w:rPr>
              <w:t>，</w:t>
            </w:r>
            <w:r>
              <w:rPr>
                <w:color w:val="auto"/>
                <w:szCs w:val="21"/>
                <w:lang w:bidi="ar"/>
              </w:rPr>
              <w:t>具体内容如下：</w:t>
            </w:r>
          </w:p>
          <w:p w14:paraId="3ADC5040">
            <w:pPr>
              <w:snapToGrid w:val="0"/>
              <w:spacing w:line="360" w:lineRule="auto"/>
              <w:rPr>
                <w:rFonts w:hint="eastAsia"/>
                <w:color w:val="auto"/>
                <w:szCs w:val="21"/>
                <w:lang w:bidi="ar"/>
              </w:rPr>
            </w:pPr>
            <w:r>
              <w:rPr>
                <w:rFonts w:hint="eastAsia"/>
                <w:color w:val="auto"/>
                <w:szCs w:val="21"/>
                <w:lang w:bidi="ar"/>
              </w:rPr>
              <w:t>①“三同时”制度：</w:t>
            </w:r>
          </w:p>
          <w:p w14:paraId="595F01FF">
            <w:pPr>
              <w:snapToGrid w:val="0"/>
              <w:spacing w:line="360" w:lineRule="auto"/>
              <w:rPr>
                <w:rFonts w:hint="eastAsia"/>
                <w:color w:val="auto"/>
                <w:szCs w:val="21"/>
                <w:lang w:bidi="ar"/>
              </w:rPr>
            </w:pPr>
            <w:r>
              <w:rPr>
                <w:rFonts w:hint="eastAsia"/>
                <w:color w:val="auto"/>
                <w:szCs w:val="21"/>
                <w:lang w:bidi="ar"/>
              </w:rPr>
              <w:t>建设单位认真落实废气、污（废）水、固废、噪声等防治措施。</w:t>
            </w:r>
          </w:p>
          <w:p w14:paraId="5D0ED2F5">
            <w:pPr>
              <w:snapToGrid w:val="0"/>
              <w:spacing w:line="360" w:lineRule="auto"/>
              <w:rPr>
                <w:rFonts w:hint="eastAsia"/>
                <w:color w:val="auto"/>
                <w:szCs w:val="21"/>
                <w:lang w:bidi="ar"/>
              </w:rPr>
            </w:pPr>
            <w:r>
              <w:rPr>
                <w:rFonts w:hint="eastAsia"/>
                <w:color w:val="auto"/>
                <w:szCs w:val="21"/>
                <w:lang w:bidi="ar"/>
              </w:rPr>
              <w:t>②环境管理制度：</w:t>
            </w:r>
          </w:p>
          <w:p w14:paraId="1E4A8AC6">
            <w:pPr>
              <w:snapToGrid w:val="0"/>
              <w:spacing w:line="360" w:lineRule="auto"/>
              <w:rPr>
                <w:rFonts w:hint="eastAsia"/>
                <w:color w:val="auto"/>
                <w:szCs w:val="21"/>
                <w:lang w:bidi="ar"/>
              </w:rPr>
            </w:pPr>
            <w:r>
              <w:rPr>
                <w:rFonts w:hint="eastAsia"/>
                <w:color w:val="auto"/>
                <w:szCs w:val="21"/>
                <w:lang w:bidi="ar"/>
              </w:rPr>
              <w:t>加强环保设施的管理，落实废气、固废等的治理。建立岗位责任制和工作台账制度，对污染防治情况进行定时监测，及时掌握污染治理设施的运行情况，做好各项污染物的达标排放工作。</w:t>
            </w:r>
          </w:p>
          <w:p w14:paraId="6B14712B">
            <w:pPr>
              <w:snapToGrid w:val="0"/>
              <w:spacing w:line="360" w:lineRule="auto"/>
              <w:rPr>
                <w:rFonts w:hint="eastAsia"/>
                <w:color w:val="auto"/>
                <w:szCs w:val="21"/>
                <w:lang w:bidi="ar"/>
              </w:rPr>
            </w:pPr>
            <w:r>
              <w:rPr>
                <w:rFonts w:hint="eastAsia"/>
                <w:color w:val="auto"/>
                <w:szCs w:val="21"/>
                <w:lang w:bidi="ar"/>
              </w:rPr>
              <w:t>③排污许可制度：</w:t>
            </w:r>
          </w:p>
          <w:p w14:paraId="27EE1E4D">
            <w:pPr>
              <w:snapToGrid w:val="0"/>
              <w:spacing w:line="360" w:lineRule="auto"/>
              <w:rPr>
                <w:rFonts w:hint="eastAsia"/>
                <w:color w:val="auto"/>
                <w:szCs w:val="21"/>
                <w:lang w:bidi="ar"/>
              </w:rPr>
            </w:pPr>
            <w:r>
              <w:rPr>
                <w:rFonts w:hint="eastAsia"/>
                <w:color w:val="auto"/>
                <w:szCs w:val="21"/>
                <w:lang w:bidi="ar"/>
              </w:rPr>
              <w:t>根据《固定污染源排污许可分类管理名录（2019年版）》要求，建设单位应及时完成排污许可手续，合法排污。</w:t>
            </w:r>
          </w:p>
          <w:p w14:paraId="050CAD46">
            <w:pPr>
              <w:snapToGrid w:val="0"/>
              <w:spacing w:line="360" w:lineRule="auto"/>
              <w:rPr>
                <w:rFonts w:hint="eastAsia"/>
                <w:color w:val="auto"/>
                <w:szCs w:val="21"/>
                <w:lang w:bidi="ar"/>
              </w:rPr>
            </w:pPr>
            <w:r>
              <w:rPr>
                <w:rFonts w:hint="eastAsia"/>
                <w:color w:val="auto"/>
                <w:szCs w:val="21"/>
                <w:lang w:bidi="ar"/>
              </w:rPr>
              <w:t>④环境监测：</w:t>
            </w:r>
          </w:p>
          <w:p w14:paraId="3867469E">
            <w:pPr>
              <w:snapToGrid w:val="0"/>
              <w:spacing w:line="360" w:lineRule="auto"/>
              <w:rPr>
                <w:rFonts w:hint="eastAsia"/>
                <w:color w:val="auto"/>
                <w:szCs w:val="21"/>
                <w:lang w:bidi="ar"/>
              </w:rPr>
            </w:pPr>
            <w:r>
              <w:rPr>
                <w:rFonts w:hint="eastAsia"/>
                <w:color w:val="auto"/>
                <w:szCs w:val="21"/>
                <w:lang w:bidi="ar"/>
              </w:rPr>
              <w:t>按照监测计划的频次和要求进行监测，并保留监测原始记录，每次数据应及时由专人整理、统计，如有异常，立即向上级有关部门通报，并做好监测资料的归档、备查工作，建议建设单位定期将监测数据上墙公示，接受公众监督。</w:t>
            </w:r>
          </w:p>
          <w:p w14:paraId="47C7D1EC">
            <w:pPr>
              <w:snapToGrid w:val="0"/>
              <w:spacing w:line="360" w:lineRule="auto"/>
              <w:rPr>
                <w:rFonts w:hint="eastAsia"/>
                <w:color w:val="auto"/>
                <w:szCs w:val="21"/>
                <w:lang w:bidi="ar"/>
              </w:rPr>
            </w:pPr>
            <w:r>
              <w:rPr>
                <w:rFonts w:hint="eastAsia"/>
                <w:color w:val="auto"/>
                <w:szCs w:val="21"/>
                <w:lang w:bidi="ar"/>
              </w:rPr>
              <w:t>⑤竣工验收</w:t>
            </w:r>
          </w:p>
          <w:p w14:paraId="10980D89">
            <w:pPr>
              <w:snapToGrid w:val="0"/>
              <w:spacing w:line="360" w:lineRule="auto"/>
              <w:rPr>
                <w:rFonts w:hint="eastAsia"/>
                <w:color w:val="auto"/>
                <w:szCs w:val="21"/>
                <w:lang w:bidi="ar"/>
              </w:rPr>
            </w:pPr>
            <w:r>
              <w:rPr>
                <w:rFonts w:hint="eastAsia"/>
                <w:color w:val="auto"/>
                <w:szCs w:val="21"/>
                <w:lang w:bidi="ar"/>
              </w:rPr>
              <w:t>根据《建设项目竣工环境保护验收暂行办法》（国环规环评〔2017〕4号），建设单位自行验收。验收合格后，方可投入生产或使用。</w:t>
            </w:r>
          </w:p>
          <w:p w14:paraId="28CCBD07">
            <w:pPr>
              <w:snapToGrid w:val="0"/>
              <w:spacing w:line="360" w:lineRule="auto"/>
              <w:rPr>
                <w:color w:val="auto"/>
                <w:szCs w:val="21"/>
                <w:lang w:bidi="ar"/>
              </w:rPr>
            </w:pPr>
            <w:r>
              <w:rPr>
                <w:rFonts w:hint="eastAsia"/>
                <w:color w:val="auto"/>
                <w:szCs w:val="21"/>
                <w:lang w:bidi="ar"/>
              </w:rPr>
              <w:t>⑥突发环境事件应急预案</w:t>
            </w:r>
          </w:p>
          <w:p w14:paraId="02385F5F">
            <w:pPr>
              <w:snapToGrid w:val="0"/>
              <w:spacing w:line="360" w:lineRule="auto"/>
              <w:rPr>
                <w:rFonts w:hint="eastAsia"/>
                <w:color w:val="auto"/>
                <w:szCs w:val="21"/>
                <w:lang w:bidi="ar"/>
              </w:rPr>
            </w:pPr>
            <w:r>
              <w:rPr>
                <w:rFonts w:hint="eastAsia"/>
                <w:color w:val="auto"/>
                <w:szCs w:val="21"/>
                <w:lang w:val="en-US" w:eastAsia="zh-CN" w:bidi="ar"/>
              </w:rPr>
              <w:t>及时编制企业</w:t>
            </w:r>
            <w:r>
              <w:rPr>
                <w:rFonts w:hint="eastAsia"/>
                <w:color w:val="auto"/>
                <w:szCs w:val="21"/>
                <w:lang w:bidi="ar"/>
              </w:rPr>
              <w:t>突发环境事件应急预案。</w:t>
            </w:r>
          </w:p>
          <w:p w14:paraId="2EB1004F">
            <w:pPr>
              <w:snapToGrid w:val="0"/>
              <w:spacing w:line="360" w:lineRule="auto"/>
              <w:rPr>
                <w:rFonts w:hint="eastAsia"/>
                <w:color w:val="auto"/>
                <w:szCs w:val="21"/>
                <w:lang w:bidi="ar"/>
              </w:rPr>
            </w:pPr>
            <w:r>
              <w:rPr>
                <w:rFonts w:hint="eastAsia"/>
                <w:color w:val="auto"/>
                <w:szCs w:val="21"/>
                <w:lang w:bidi="ar"/>
              </w:rPr>
              <w:t>⑦环境信息公开的要求</w:t>
            </w:r>
          </w:p>
          <w:p w14:paraId="0D914661">
            <w:pPr>
              <w:snapToGrid w:val="0"/>
              <w:spacing w:line="360" w:lineRule="auto"/>
              <w:rPr>
                <w:szCs w:val="21"/>
                <w:lang w:bidi="ar"/>
              </w:rPr>
            </w:pPr>
            <w:r>
              <w:rPr>
                <w:rFonts w:hint="eastAsia"/>
                <w:color w:val="auto"/>
                <w:szCs w:val="21"/>
                <w:lang w:bidi="ar"/>
              </w:rPr>
              <w:t>按照《建设项目环境影响评价政府信息公开指南（试行）》有关要求进行信息公开。</w:t>
            </w:r>
          </w:p>
        </w:tc>
      </w:tr>
    </w:tbl>
    <w:p w14:paraId="69F4D269">
      <w:pPr>
        <w:pStyle w:val="23"/>
        <w:jc w:val="center"/>
        <w:outlineLvl w:val="0"/>
        <w:rPr>
          <w:rFonts w:hint="default" w:ascii="Times New Roman" w:hAnsi="Times New Roman" w:eastAsia="黑体" w:cs="Times New Roman"/>
          <w:snapToGrid w:val="0"/>
          <w:sz w:val="30"/>
          <w:szCs w:val="30"/>
        </w:rPr>
      </w:pPr>
      <w:r>
        <w:rPr>
          <w:rFonts w:hint="default" w:ascii="Times New Roman" w:hAnsi="Times New Roman" w:cs="Times New Roman"/>
          <w:snapToGrid w:val="0"/>
        </w:rPr>
        <w:br w:type="page"/>
      </w:r>
      <w:bookmarkStart w:id="22" w:name="_Toc10658"/>
      <w:r>
        <w:rPr>
          <w:rFonts w:hint="default" w:ascii="Times New Roman" w:hAnsi="Times New Roman" w:eastAsia="黑体" w:cs="Times New Roman"/>
          <w:snapToGrid w:val="0"/>
          <w:sz w:val="30"/>
          <w:szCs w:val="30"/>
        </w:rPr>
        <w:t>六、结论</w:t>
      </w:r>
      <w:bookmarkEnd w:id="22"/>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77F41A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67A69995">
            <w:pPr>
              <w:spacing w:line="360" w:lineRule="auto"/>
              <w:ind w:firstLine="480" w:firstLineChars="200"/>
              <w:jc w:val="both"/>
              <w:rPr>
                <w:rFonts w:hint="default" w:ascii="Times New Roman" w:hAnsi="Times New Roman" w:cs="Times New Roman"/>
                <w:sz w:val="24"/>
              </w:rPr>
            </w:pPr>
            <w:r>
              <w:rPr>
                <w:rFonts w:hint="eastAsia"/>
                <w:kern w:val="0"/>
                <w:sz w:val="24"/>
                <w:lang w:val="en-US" w:eastAsia="zh-CN" w:bidi="ar"/>
              </w:rPr>
              <w:t>综上，</w:t>
            </w:r>
            <w:r>
              <w:rPr>
                <w:rFonts w:hint="eastAsia"/>
                <w:kern w:val="0"/>
                <w:sz w:val="24"/>
                <w:lang w:bidi="ar"/>
              </w:rPr>
              <w:t>从环境保护角度分析，该项目建设环境影响可行。</w:t>
            </w:r>
          </w:p>
        </w:tc>
      </w:tr>
    </w:tbl>
    <w:p w14:paraId="74548E0C">
      <w:pPr>
        <w:rPr>
          <w:rFonts w:hint="default" w:ascii="Times New Roman" w:hAnsi="Times New Roman" w:cs="Times New Roman"/>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2E243D0C">
      <w:pPr>
        <w:pStyle w:val="23"/>
        <w:adjustRightInd w:val="0"/>
        <w:snapToGrid w:val="0"/>
        <w:spacing w:before="0" w:beforeAutospacing="0" w:after="0" w:afterAutospacing="0" w:line="240" w:lineRule="auto"/>
        <w:outlineLvl w:val="0"/>
        <w:rPr>
          <w:rFonts w:hint="default" w:ascii="Times New Roman" w:hAnsi="Times New Roman" w:eastAsia="黑体" w:cs="Times New Roman"/>
          <w:snapToGrid w:val="0"/>
          <w:sz w:val="32"/>
          <w:szCs w:val="32"/>
        </w:rPr>
      </w:pPr>
      <w:bookmarkStart w:id="23" w:name="_Toc11661"/>
      <w:r>
        <w:rPr>
          <w:rFonts w:hint="default" w:ascii="Times New Roman" w:hAnsi="Times New Roman" w:eastAsia="黑体" w:cs="Times New Roman"/>
          <w:snapToGrid w:val="0"/>
          <w:sz w:val="32"/>
          <w:szCs w:val="32"/>
        </w:rPr>
        <w:t>附表</w:t>
      </w:r>
      <w:bookmarkEnd w:id="23"/>
    </w:p>
    <w:p w14:paraId="5CA252E5">
      <w:pPr>
        <w:pStyle w:val="23"/>
        <w:adjustRightInd w:val="0"/>
        <w:snapToGrid w:val="0"/>
        <w:spacing w:before="0" w:beforeAutospacing="0" w:after="0" w:afterAutospacing="0" w:line="240" w:lineRule="auto"/>
        <w:jc w:val="center"/>
        <w:outlineLvl w:val="0"/>
        <w:rPr>
          <w:rFonts w:hint="default" w:ascii="Times New Roman" w:hAnsi="Times New Roman" w:eastAsia="方正小标宋_GBK" w:cs="Times New Roman"/>
          <w:snapToGrid w:val="0"/>
          <w:color w:val="auto"/>
          <w:sz w:val="28"/>
          <w:szCs w:val="28"/>
        </w:rPr>
      </w:pPr>
      <w:bookmarkStart w:id="24" w:name="_Toc26906"/>
      <w:r>
        <w:rPr>
          <w:rFonts w:hint="default" w:ascii="Times New Roman" w:hAnsi="Times New Roman" w:eastAsia="方正小标宋_GBK" w:cs="Times New Roman"/>
          <w:snapToGrid w:val="0"/>
          <w:color w:val="auto"/>
          <w:sz w:val="28"/>
          <w:szCs w:val="28"/>
        </w:rPr>
        <w:t>建设项目污染物排放量汇总表</w:t>
      </w:r>
      <w:bookmarkEnd w:id="24"/>
    </w:p>
    <w:tbl>
      <w:tblPr>
        <w:tblStyle w:val="26"/>
        <w:tblW w:w="1365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1935"/>
        <w:gridCol w:w="1592"/>
        <w:gridCol w:w="1263"/>
        <w:gridCol w:w="1570"/>
        <w:gridCol w:w="1650"/>
        <w:gridCol w:w="1615"/>
        <w:gridCol w:w="1817"/>
        <w:gridCol w:w="1080"/>
      </w:tblGrid>
      <w:tr w14:paraId="00E951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33" w:type="dxa"/>
            <w:tcBorders>
              <w:tl2br w:val="single" w:color="auto" w:sz="4" w:space="0"/>
            </w:tcBorders>
            <w:noWrap w:val="0"/>
            <w:tcMar>
              <w:left w:w="28" w:type="dxa"/>
              <w:right w:w="28" w:type="dxa"/>
            </w:tcMar>
            <w:vAlign w:val="center"/>
          </w:tcPr>
          <w:p w14:paraId="6D59B5F6">
            <w:pPr>
              <w:pStyle w:val="50"/>
              <w:spacing w:beforeLines="0" w:afterLines="0" w:line="240" w:lineRule="auto"/>
              <w:jc w:val="center"/>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lang w:val="en-US" w:eastAsia="zh-CN"/>
              </w:rPr>
              <w:t xml:space="preserve">     </w:t>
            </w:r>
            <w:r>
              <w:rPr>
                <w:rFonts w:hint="default" w:ascii="Times New Roman" w:hAnsi="Times New Roman" w:eastAsia="宋体" w:cs="Times New Roman"/>
                <w:b/>
                <w:bCs/>
                <w:snapToGrid w:val="0"/>
                <w:color w:val="auto"/>
                <w:spacing w:val="-6"/>
                <w:kern w:val="21"/>
                <w:sz w:val="21"/>
                <w:szCs w:val="21"/>
              </w:rPr>
              <w:t>项目</w:t>
            </w:r>
          </w:p>
          <w:p w14:paraId="486FB6FD">
            <w:pPr>
              <w:pStyle w:val="50"/>
              <w:spacing w:beforeLines="0" w:afterLines="0" w:line="240" w:lineRule="auto"/>
              <w:ind w:firstLine="199" w:firstLineChars="100"/>
              <w:jc w:val="both"/>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分类</w:t>
            </w:r>
          </w:p>
        </w:tc>
        <w:tc>
          <w:tcPr>
            <w:tcW w:w="1935" w:type="dxa"/>
            <w:noWrap w:val="0"/>
            <w:tcMar>
              <w:left w:w="28" w:type="dxa"/>
              <w:right w:w="28" w:type="dxa"/>
            </w:tcMar>
            <w:vAlign w:val="center"/>
          </w:tcPr>
          <w:p w14:paraId="68FA7344">
            <w:pPr>
              <w:pStyle w:val="50"/>
              <w:spacing w:beforeLines="0" w:afterLines="0" w:line="240" w:lineRule="auto"/>
              <w:jc w:val="center"/>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污染物名称</w:t>
            </w:r>
          </w:p>
        </w:tc>
        <w:tc>
          <w:tcPr>
            <w:tcW w:w="1592" w:type="dxa"/>
            <w:noWrap w:val="0"/>
            <w:tcMar>
              <w:left w:w="28" w:type="dxa"/>
              <w:right w:w="28" w:type="dxa"/>
            </w:tcMar>
            <w:vAlign w:val="center"/>
          </w:tcPr>
          <w:p w14:paraId="6440348E">
            <w:pPr>
              <w:pStyle w:val="50"/>
              <w:spacing w:beforeLines="0" w:afterLines="0" w:line="240" w:lineRule="auto"/>
              <w:jc w:val="center"/>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现有工程</w:t>
            </w:r>
          </w:p>
          <w:p w14:paraId="2E60D872">
            <w:pPr>
              <w:pStyle w:val="50"/>
              <w:spacing w:beforeLines="0" w:afterLines="0" w:line="240" w:lineRule="auto"/>
              <w:jc w:val="center"/>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排放量（固体废物产生量）</w:t>
            </w:r>
            <w:r>
              <w:rPr>
                <w:rFonts w:hint="default" w:ascii="Times New Roman" w:hAnsi="Times New Roman" w:eastAsia="宋体" w:cs="Times New Roman"/>
                <w:b/>
                <w:bCs/>
                <w:snapToGrid w:val="0"/>
                <w:color w:val="auto"/>
                <w:spacing w:val="-6"/>
                <w:kern w:val="21"/>
                <w:sz w:val="21"/>
                <w:szCs w:val="21"/>
              </w:rPr>
              <w:fldChar w:fldCharType="begin"/>
            </w:r>
            <w:r>
              <w:rPr>
                <w:rFonts w:hint="default" w:ascii="Times New Roman" w:hAnsi="Times New Roman" w:eastAsia="宋体" w:cs="Times New Roman"/>
                <w:b/>
                <w:bCs/>
                <w:snapToGrid w:val="0"/>
                <w:color w:val="auto"/>
                <w:spacing w:val="-6"/>
                <w:kern w:val="21"/>
                <w:sz w:val="21"/>
                <w:szCs w:val="21"/>
              </w:rPr>
              <w:instrText xml:space="preserve"> = 1 \* GB3 \* MERGEFORMAT </w:instrText>
            </w:r>
            <w:r>
              <w:rPr>
                <w:rFonts w:hint="default" w:ascii="Times New Roman" w:hAnsi="Times New Roman" w:eastAsia="宋体" w:cs="Times New Roman"/>
                <w:b/>
                <w:bCs/>
                <w:snapToGrid w:val="0"/>
                <w:color w:val="auto"/>
                <w:spacing w:val="-6"/>
                <w:kern w:val="21"/>
                <w:sz w:val="21"/>
                <w:szCs w:val="21"/>
              </w:rPr>
              <w:fldChar w:fldCharType="separate"/>
            </w:r>
            <w:r>
              <w:rPr>
                <w:rFonts w:hint="default" w:ascii="Times New Roman" w:hAnsi="Times New Roman" w:eastAsia="宋体" w:cs="Times New Roman"/>
                <w:b/>
                <w:bCs/>
                <w:color w:val="auto"/>
                <w:kern w:val="2"/>
                <w:sz w:val="21"/>
                <w:szCs w:val="21"/>
              </w:rPr>
              <w:t>①</w:t>
            </w:r>
            <w:r>
              <w:rPr>
                <w:rFonts w:hint="default" w:ascii="Times New Roman" w:hAnsi="Times New Roman" w:eastAsia="宋体" w:cs="Times New Roman"/>
                <w:b/>
                <w:bCs/>
                <w:snapToGrid w:val="0"/>
                <w:color w:val="auto"/>
                <w:spacing w:val="-6"/>
                <w:kern w:val="21"/>
                <w:sz w:val="21"/>
                <w:szCs w:val="21"/>
              </w:rPr>
              <w:fldChar w:fldCharType="end"/>
            </w:r>
          </w:p>
        </w:tc>
        <w:tc>
          <w:tcPr>
            <w:tcW w:w="1263" w:type="dxa"/>
            <w:noWrap w:val="0"/>
            <w:tcMar>
              <w:left w:w="28" w:type="dxa"/>
              <w:right w:w="28" w:type="dxa"/>
            </w:tcMar>
            <w:vAlign w:val="center"/>
          </w:tcPr>
          <w:p w14:paraId="428DF0BC">
            <w:pPr>
              <w:pStyle w:val="50"/>
              <w:spacing w:beforeLines="0" w:afterLines="0" w:line="240" w:lineRule="auto"/>
              <w:jc w:val="center"/>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现有工程</w:t>
            </w:r>
          </w:p>
          <w:p w14:paraId="5B94C447">
            <w:pPr>
              <w:pStyle w:val="50"/>
              <w:spacing w:beforeLines="0" w:afterLines="0" w:line="240" w:lineRule="auto"/>
              <w:jc w:val="center"/>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许可排放量</w:t>
            </w:r>
          </w:p>
          <w:p w14:paraId="3E8C0B3E">
            <w:pPr>
              <w:pStyle w:val="50"/>
              <w:spacing w:beforeLines="0" w:afterLines="0"/>
              <w:jc w:val="center"/>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fldChar w:fldCharType="begin"/>
            </w:r>
            <w:r>
              <w:rPr>
                <w:rFonts w:hint="default" w:ascii="Times New Roman" w:hAnsi="Times New Roman" w:eastAsia="宋体" w:cs="Times New Roman"/>
                <w:b/>
                <w:bCs/>
                <w:snapToGrid w:val="0"/>
                <w:color w:val="auto"/>
                <w:spacing w:val="-6"/>
                <w:kern w:val="21"/>
                <w:sz w:val="21"/>
                <w:szCs w:val="21"/>
              </w:rPr>
              <w:instrText xml:space="preserve"> = 2 \* GB3 \* MERGEFORMAT </w:instrText>
            </w:r>
            <w:r>
              <w:rPr>
                <w:rFonts w:hint="default" w:ascii="Times New Roman" w:hAnsi="Times New Roman" w:eastAsia="宋体" w:cs="Times New Roman"/>
                <w:b/>
                <w:bCs/>
                <w:snapToGrid w:val="0"/>
                <w:color w:val="auto"/>
                <w:spacing w:val="-6"/>
                <w:kern w:val="21"/>
                <w:sz w:val="21"/>
                <w:szCs w:val="21"/>
              </w:rPr>
              <w:fldChar w:fldCharType="separate"/>
            </w:r>
            <w:r>
              <w:rPr>
                <w:rFonts w:hint="default" w:ascii="Times New Roman" w:hAnsi="Times New Roman" w:eastAsia="宋体" w:cs="Times New Roman"/>
                <w:b/>
                <w:bCs/>
                <w:snapToGrid w:val="0"/>
                <w:color w:val="auto"/>
                <w:spacing w:val="-6"/>
                <w:kern w:val="21"/>
                <w:sz w:val="21"/>
                <w:szCs w:val="21"/>
              </w:rPr>
              <w:t>②</w:t>
            </w:r>
            <w:r>
              <w:rPr>
                <w:rFonts w:hint="default" w:ascii="Times New Roman" w:hAnsi="Times New Roman" w:eastAsia="宋体" w:cs="Times New Roman"/>
                <w:b/>
                <w:bCs/>
                <w:snapToGrid w:val="0"/>
                <w:color w:val="auto"/>
                <w:spacing w:val="-6"/>
                <w:kern w:val="21"/>
                <w:sz w:val="21"/>
                <w:szCs w:val="21"/>
              </w:rPr>
              <w:fldChar w:fldCharType="end"/>
            </w:r>
          </w:p>
        </w:tc>
        <w:tc>
          <w:tcPr>
            <w:tcW w:w="1570" w:type="dxa"/>
            <w:noWrap w:val="0"/>
            <w:tcMar>
              <w:left w:w="28" w:type="dxa"/>
              <w:right w:w="28" w:type="dxa"/>
            </w:tcMar>
            <w:vAlign w:val="center"/>
          </w:tcPr>
          <w:p w14:paraId="61BB985D">
            <w:pPr>
              <w:pStyle w:val="50"/>
              <w:spacing w:beforeLines="0" w:afterLines="0" w:line="240" w:lineRule="auto"/>
              <w:jc w:val="center"/>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在建工程</w:t>
            </w:r>
          </w:p>
          <w:p w14:paraId="4AB5073E">
            <w:pPr>
              <w:pStyle w:val="50"/>
              <w:spacing w:beforeLines="0" w:afterLines="0" w:line="240" w:lineRule="auto"/>
              <w:jc w:val="center"/>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排放量（固体废物产生量）</w:t>
            </w:r>
            <w:r>
              <w:rPr>
                <w:rFonts w:hint="default" w:ascii="Times New Roman" w:hAnsi="Times New Roman" w:eastAsia="宋体" w:cs="Times New Roman"/>
                <w:b/>
                <w:bCs/>
                <w:snapToGrid w:val="0"/>
                <w:color w:val="auto"/>
                <w:spacing w:val="-6"/>
                <w:kern w:val="21"/>
                <w:sz w:val="21"/>
                <w:szCs w:val="21"/>
              </w:rPr>
              <w:fldChar w:fldCharType="begin"/>
            </w:r>
            <w:r>
              <w:rPr>
                <w:rFonts w:hint="default" w:ascii="Times New Roman" w:hAnsi="Times New Roman" w:eastAsia="宋体" w:cs="Times New Roman"/>
                <w:b/>
                <w:bCs/>
                <w:snapToGrid w:val="0"/>
                <w:color w:val="auto"/>
                <w:spacing w:val="-6"/>
                <w:kern w:val="21"/>
                <w:sz w:val="21"/>
                <w:szCs w:val="21"/>
              </w:rPr>
              <w:instrText xml:space="preserve"> = 3 \* GB3 \* MERGEFORMAT </w:instrText>
            </w:r>
            <w:r>
              <w:rPr>
                <w:rFonts w:hint="default" w:ascii="Times New Roman" w:hAnsi="Times New Roman" w:eastAsia="宋体" w:cs="Times New Roman"/>
                <w:b/>
                <w:bCs/>
                <w:snapToGrid w:val="0"/>
                <w:color w:val="auto"/>
                <w:spacing w:val="-6"/>
                <w:kern w:val="21"/>
                <w:sz w:val="21"/>
                <w:szCs w:val="21"/>
              </w:rPr>
              <w:fldChar w:fldCharType="separate"/>
            </w:r>
            <w:r>
              <w:rPr>
                <w:rFonts w:hint="default" w:ascii="Times New Roman" w:hAnsi="Times New Roman" w:eastAsia="宋体" w:cs="Times New Roman"/>
                <w:b/>
                <w:bCs/>
                <w:color w:val="auto"/>
                <w:kern w:val="2"/>
                <w:sz w:val="21"/>
                <w:szCs w:val="21"/>
              </w:rPr>
              <w:t>③</w:t>
            </w:r>
            <w:r>
              <w:rPr>
                <w:rFonts w:hint="default" w:ascii="Times New Roman" w:hAnsi="Times New Roman" w:eastAsia="宋体" w:cs="Times New Roman"/>
                <w:b/>
                <w:bCs/>
                <w:snapToGrid w:val="0"/>
                <w:color w:val="auto"/>
                <w:spacing w:val="-6"/>
                <w:kern w:val="21"/>
                <w:sz w:val="21"/>
                <w:szCs w:val="21"/>
              </w:rPr>
              <w:fldChar w:fldCharType="end"/>
            </w:r>
          </w:p>
        </w:tc>
        <w:tc>
          <w:tcPr>
            <w:tcW w:w="1650" w:type="dxa"/>
            <w:noWrap w:val="0"/>
            <w:tcMar>
              <w:left w:w="28" w:type="dxa"/>
              <w:right w:w="28" w:type="dxa"/>
            </w:tcMar>
            <w:vAlign w:val="center"/>
          </w:tcPr>
          <w:p w14:paraId="4ACF2C82">
            <w:pPr>
              <w:pStyle w:val="50"/>
              <w:spacing w:beforeLines="0" w:afterLines="0" w:line="240" w:lineRule="auto"/>
              <w:jc w:val="center"/>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本项目</w:t>
            </w:r>
          </w:p>
          <w:p w14:paraId="5CB43E36">
            <w:pPr>
              <w:pStyle w:val="50"/>
              <w:spacing w:beforeLines="0" w:afterLines="0" w:line="240" w:lineRule="auto"/>
              <w:jc w:val="center"/>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排放量（固体废物产生量）</w:t>
            </w:r>
            <w:r>
              <w:rPr>
                <w:rFonts w:hint="default" w:ascii="Times New Roman" w:hAnsi="Times New Roman" w:eastAsia="宋体" w:cs="Times New Roman"/>
                <w:b/>
                <w:bCs/>
                <w:snapToGrid w:val="0"/>
                <w:color w:val="auto"/>
                <w:spacing w:val="-6"/>
                <w:kern w:val="21"/>
                <w:sz w:val="21"/>
                <w:szCs w:val="21"/>
              </w:rPr>
              <w:fldChar w:fldCharType="begin"/>
            </w:r>
            <w:r>
              <w:rPr>
                <w:rFonts w:hint="default" w:ascii="Times New Roman" w:hAnsi="Times New Roman" w:eastAsia="宋体" w:cs="Times New Roman"/>
                <w:b/>
                <w:bCs/>
                <w:snapToGrid w:val="0"/>
                <w:color w:val="auto"/>
                <w:spacing w:val="-6"/>
                <w:kern w:val="21"/>
                <w:sz w:val="21"/>
                <w:szCs w:val="21"/>
              </w:rPr>
              <w:instrText xml:space="preserve"> = 4 \* GB3 \* MERGEFORMAT </w:instrText>
            </w:r>
            <w:r>
              <w:rPr>
                <w:rFonts w:hint="default" w:ascii="Times New Roman" w:hAnsi="Times New Roman" w:eastAsia="宋体" w:cs="Times New Roman"/>
                <w:b/>
                <w:bCs/>
                <w:snapToGrid w:val="0"/>
                <w:color w:val="auto"/>
                <w:spacing w:val="-6"/>
                <w:kern w:val="21"/>
                <w:sz w:val="21"/>
                <w:szCs w:val="21"/>
              </w:rPr>
              <w:fldChar w:fldCharType="separate"/>
            </w:r>
            <w:r>
              <w:rPr>
                <w:rFonts w:hint="default" w:ascii="Times New Roman" w:hAnsi="Times New Roman" w:eastAsia="宋体" w:cs="Times New Roman"/>
                <w:b/>
                <w:bCs/>
                <w:color w:val="auto"/>
                <w:kern w:val="2"/>
                <w:sz w:val="21"/>
                <w:szCs w:val="21"/>
              </w:rPr>
              <w:t>④</w:t>
            </w:r>
            <w:r>
              <w:rPr>
                <w:rFonts w:hint="default" w:ascii="Times New Roman" w:hAnsi="Times New Roman" w:eastAsia="宋体" w:cs="Times New Roman"/>
                <w:b/>
                <w:bCs/>
                <w:snapToGrid w:val="0"/>
                <w:color w:val="auto"/>
                <w:spacing w:val="-6"/>
                <w:kern w:val="21"/>
                <w:sz w:val="21"/>
                <w:szCs w:val="21"/>
              </w:rPr>
              <w:fldChar w:fldCharType="end"/>
            </w:r>
          </w:p>
        </w:tc>
        <w:tc>
          <w:tcPr>
            <w:tcW w:w="1615" w:type="dxa"/>
            <w:noWrap w:val="0"/>
            <w:tcMar>
              <w:left w:w="28" w:type="dxa"/>
              <w:right w:w="28" w:type="dxa"/>
            </w:tcMar>
            <w:vAlign w:val="center"/>
          </w:tcPr>
          <w:p w14:paraId="126B50E6">
            <w:pPr>
              <w:pStyle w:val="50"/>
              <w:spacing w:beforeLines="0" w:afterLines="0" w:line="240" w:lineRule="auto"/>
              <w:jc w:val="center"/>
              <w:rPr>
                <w:rFonts w:hint="default" w:ascii="Times New Roman" w:hAnsi="Times New Roman" w:eastAsia="宋体" w:cs="Times New Roman"/>
                <w:b/>
                <w:bCs/>
                <w:snapToGrid w:val="0"/>
                <w:color w:val="auto"/>
                <w:spacing w:val="-16"/>
                <w:kern w:val="21"/>
                <w:sz w:val="21"/>
                <w:szCs w:val="21"/>
              </w:rPr>
            </w:pPr>
            <w:r>
              <w:rPr>
                <w:rFonts w:hint="default" w:ascii="Times New Roman" w:hAnsi="Times New Roman" w:eastAsia="宋体" w:cs="Times New Roman"/>
                <w:b/>
                <w:bCs/>
                <w:snapToGrid w:val="0"/>
                <w:color w:val="auto"/>
                <w:spacing w:val="-16"/>
                <w:kern w:val="21"/>
                <w:sz w:val="21"/>
                <w:szCs w:val="21"/>
              </w:rPr>
              <w:t>以新带老削减量</w:t>
            </w:r>
          </w:p>
          <w:p w14:paraId="1A0B2F6B">
            <w:pPr>
              <w:pStyle w:val="50"/>
              <w:spacing w:beforeLines="0" w:afterLines="0" w:line="240" w:lineRule="auto"/>
              <w:jc w:val="center"/>
              <w:rPr>
                <w:rFonts w:hint="default" w:ascii="Times New Roman" w:hAnsi="Times New Roman" w:eastAsia="宋体" w:cs="Times New Roman"/>
                <w:b/>
                <w:bCs/>
                <w:snapToGrid w:val="0"/>
                <w:color w:val="auto"/>
                <w:spacing w:val="-16"/>
                <w:kern w:val="21"/>
                <w:sz w:val="21"/>
                <w:szCs w:val="21"/>
              </w:rPr>
            </w:pPr>
            <w:r>
              <w:rPr>
                <w:rFonts w:hint="default" w:ascii="Times New Roman" w:hAnsi="Times New Roman" w:eastAsia="宋体" w:cs="Times New Roman"/>
                <w:b/>
                <w:bCs/>
                <w:snapToGrid w:val="0"/>
                <w:color w:val="auto"/>
                <w:spacing w:val="-16"/>
                <w:kern w:val="21"/>
                <w:sz w:val="21"/>
                <w:szCs w:val="21"/>
              </w:rPr>
              <w:t>（新建项目不填）</w:t>
            </w:r>
          </w:p>
          <w:p w14:paraId="4BC0519A">
            <w:pPr>
              <w:pStyle w:val="50"/>
              <w:spacing w:beforeLines="0" w:afterLines="0" w:line="240" w:lineRule="auto"/>
              <w:jc w:val="center"/>
              <w:rPr>
                <w:rFonts w:hint="default" w:ascii="Times New Roman" w:hAnsi="Times New Roman" w:eastAsia="宋体" w:cs="Times New Roman"/>
                <w:b/>
                <w:bCs/>
                <w:snapToGrid w:val="0"/>
                <w:color w:val="auto"/>
                <w:spacing w:val="-16"/>
                <w:kern w:val="21"/>
                <w:sz w:val="21"/>
                <w:szCs w:val="21"/>
              </w:rPr>
            </w:pPr>
            <w:r>
              <w:rPr>
                <w:rFonts w:hint="default" w:ascii="Times New Roman" w:hAnsi="Times New Roman" w:eastAsia="宋体" w:cs="Times New Roman"/>
                <w:b/>
                <w:bCs/>
                <w:snapToGrid w:val="0"/>
                <w:color w:val="auto"/>
                <w:spacing w:val="-16"/>
                <w:kern w:val="21"/>
                <w:sz w:val="21"/>
                <w:szCs w:val="21"/>
              </w:rPr>
              <w:fldChar w:fldCharType="begin"/>
            </w:r>
            <w:r>
              <w:rPr>
                <w:rFonts w:hint="default" w:ascii="Times New Roman" w:hAnsi="Times New Roman" w:eastAsia="宋体" w:cs="Times New Roman"/>
                <w:b/>
                <w:bCs/>
                <w:snapToGrid w:val="0"/>
                <w:color w:val="auto"/>
                <w:spacing w:val="-16"/>
                <w:kern w:val="21"/>
                <w:sz w:val="21"/>
                <w:szCs w:val="21"/>
              </w:rPr>
              <w:instrText xml:space="preserve"> = 5 \* GB3 \* MERGEFORMAT </w:instrText>
            </w:r>
            <w:r>
              <w:rPr>
                <w:rFonts w:hint="default" w:ascii="Times New Roman" w:hAnsi="Times New Roman" w:eastAsia="宋体" w:cs="Times New Roman"/>
                <w:b/>
                <w:bCs/>
                <w:snapToGrid w:val="0"/>
                <w:color w:val="auto"/>
                <w:spacing w:val="-16"/>
                <w:kern w:val="21"/>
                <w:sz w:val="21"/>
                <w:szCs w:val="21"/>
              </w:rPr>
              <w:fldChar w:fldCharType="separate"/>
            </w:r>
            <w:r>
              <w:rPr>
                <w:rFonts w:hint="default" w:ascii="Times New Roman" w:hAnsi="Times New Roman" w:eastAsia="宋体" w:cs="Times New Roman"/>
                <w:b/>
                <w:bCs/>
                <w:color w:val="auto"/>
                <w:kern w:val="2"/>
                <w:sz w:val="21"/>
                <w:szCs w:val="21"/>
              </w:rPr>
              <w:t>⑤</w:t>
            </w:r>
            <w:r>
              <w:rPr>
                <w:rFonts w:hint="default" w:ascii="Times New Roman" w:hAnsi="Times New Roman" w:eastAsia="宋体" w:cs="Times New Roman"/>
                <w:b/>
                <w:bCs/>
                <w:snapToGrid w:val="0"/>
                <w:color w:val="auto"/>
                <w:spacing w:val="-16"/>
                <w:kern w:val="21"/>
                <w:sz w:val="21"/>
                <w:szCs w:val="21"/>
              </w:rPr>
              <w:fldChar w:fldCharType="end"/>
            </w:r>
          </w:p>
        </w:tc>
        <w:tc>
          <w:tcPr>
            <w:tcW w:w="1817" w:type="dxa"/>
            <w:noWrap w:val="0"/>
            <w:tcMar>
              <w:left w:w="28" w:type="dxa"/>
              <w:right w:w="28" w:type="dxa"/>
            </w:tcMar>
            <w:vAlign w:val="center"/>
          </w:tcPr>
          <w:p w14:paraId="2469904F">
            <w:pPr>
              <w:pStyle w:val="50"/>
              <w:spacing w:beforeLines="0" w:afterLines="0" w:line="240" w:lineRule="auto"/>
              <w:jc w:val="center"/>
              <w:rPr>
                <w:rFonts w:hint="default" w:ascii="Times New Roman" w:hAnsi="Times New Roman" w:eastAsia="宋体" w:cs="Times New Roman"/>
                <w:b/>
                <w:bCs/>
                <w:snapToGrid w:val="0"/>
                <w:color w:val="auto"/>
                <w:spacing w:val="-16"/>
                <w:kern w:val="21"/>
                <w:sz w:val="21"/>
                <w:szCs w:val="21"/>
              </w:rPr>
            </w:pPr>
            <w:r>
              <w:rPr>
                <w:rFonts w:hint="default" w:ascii="Times New Roman" w:hAnsi="Times New Roman" w:eastAsia="宋体" w:cs="Times New Roman"/>
                <w:b/>
                <w:bCs/>
                <w:snapToGrid w:val="0"/>
                <w:color w:val="auto"/>
                <w:spacing w:val="-16"/>
                <w:kern w:val="21"/>
                <w:sz w:val="21"/>
                <w:szCs w:val="21"/>
              </w:rPr>
              <w:t>本项目建成后</w:t>
            </w:r>
          </w:p>
          <w:p w14:paraId="51564DBC">
            <w:pPr>
              <w:pStyle w:val="50"/>
              <w:spacing w:beforeLines="0" w:afterLines="0" w:line="240" w:lineRule="auto"/>
              <w:jc w:val="center"/>
              <w:rPr>
                <w:rFonts w:hint="default" w:ascii="Times New Roman" w:hAnsi="Times New Roman" w:eastAsia="宋体" w:cs="Times New Roman"/>
                <w:b/>
                <w:bCs/>
                <w:snapToGrid w:val="0"/>
                <w:color w:val="auto"/>
                <w:spacing w:val="-16"/>
                <w:kern w:val="21"/>
                <w:sz w:val="21"/>
                <w:szCs w:val="21"/>
              </w:rPr>
            </w:pPr>
            <w:r>
              <w:rPr>
                <w:rFonts w:hint="default" w:ascii="Times New Roman" w:hAnsi="Times New Roman" w:eastAsia="宋体" w:cs="Times New Roman"/>
                <w:b/>
                <w:bCs/>
                <w:snapToGrid w:val="0"/>
                <w:color w:val="auto"/>
                <w:spacing w:val="-16"/>
                <w:kern w:val="21"/>
                <w:sz w:val="21"/>
                <w:szCs w:val="21"/>
              </w:rPr>
              <w:t>全厂排放量（固体废物产生量）</w:t>
            </w:r>
            <w:r>
              <w:rPr>
                <w:rFonts w:hint="default" w:ascii="Times New Roman" w:hAnsi="Times New Roman" w:eastAsia="宋体" w:cs="Times New Roman"/>
                <w:b/>
                <w:bCs/>
                <w:snapToGrid w:val="0"/>
                <w:color w:val="auto"/>
                <w:spacing w:val="-16"/>
                <w:kern w:val="21"/>
                <w:sz w:val="21"/>
                <w:szCs w:val="21"/>
              </w:rPr>
              <w:fldChar w:fldCharType="begin"/>
            </w:r>
            <w:r>
              <w:rPr>
                <w:rFonts w:hint="default" w:ascii="Times New Roman" w:hAnsi="Times New Roman" w:eastAsia="宋体" w:cs="Times New Roman"/>
                <w:b/>
                <w:bCs/>
                <w:snapToGrid w:val="0"/>
                <w:color w:val="auto"/>
                <w:spacing w:val="-16"/>
                <w:kern w:val="21"/>
                <w:sz w:val="21"/>
                <w:szCs w:val="21"/>
              </w:rPr>
              <w:instrText xml:space="preserve"> = 6 \* GB3 \* MERGEFORMAT </w:instrText>
            </w:r>
            <w:r>
              <w:rPr>
                <w:rFonts w:hint="default" w:ascii="Times New Roman" w:hAnsi="Times New Roman" w:eastAsia="宋体" w:cs="Times New Roman"/>
                <w:b/>
                <w:bCs/>
                <w:snapToGrid w:val="0"/>
                <w:color w:val="auto"/>
                <w:spacing w:val="-16"/>
                <w:kern w:val="21"/>
                <w:sz w:val="21"/>
                <w:szCs w:val="21"/>
              </w:rPr>
              <w:fldChar w:fldCharType="separate"/>
            </w:r>
            <w:r>
              <w:rPr>
                <w:rFonts w:hint="default" w:ascii="Times New Roman" w:hAnsi="Times New Roman" w:eastAsia="宋体" w:cs="Times New Roman"/>
                <w:b/>
                <w:bCs/>
                <w:color w:val="auto"/>
                <w:kern w:val="2"/>
                <w:sz w:val="21"/>
                <w:szCs w:val="21"/>
              </w:rPr>
              <w:t>⑥</w:t>
            </w:r>
            <w:r>
              <w:rPr>
                <w:rFonts w:hint="default" w:ascii="Times New Roman" w:hAnsi="Times New Roman" w:eastAsia="宋体" w:cs="Times New Roman"/>
                <w:b/>
                <w:bCs/>
                <w:snapToGrid w:val="0"/>
                <w:color w:val="auto"/>
                <w:spacing w:val="-16"/>
                <w:kern w:val="21"/>
                <w:sz w:val="21"/>
                <w:szCs w:val="21"/>
              </w:rPr>
              <w:fldChar w:fldCharType="end"/>
            </w:r>
          </w:p>
        </w:tc>
        <w:tc>
          <w:tcPr>
            <w:tcW w:w="1080" w:type="dxa"/>
            <w:noWrap w:val="0"/>
            <w:tcMar>
              <w:left w:w="28" w:type="dxa"/>
              <w:right w:w="28" w:type="dxa"/>
            </w:tcMar>
            <w:vAlign w:val="center"/>
          </w:tcPr>
          <w:p w14:paraId="21D54350">
            <w:pPr>
              <w:pStyle w:val="50"/>
              <w:spacing w:beforeLines="0" w:afterLines="0" w:line="240" w:lineRule="auto"/>
              <w:jc w:val="center"/>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变化量</w:t>
            </w:r>
          </w:p>
          <w:p w14:paraId="7E639D65">
            <w:pPr>
              <w:pStyle w:val="50"/>
              <w:spacing w:beforeLines="0" w:afterLines="0" w:line="240" w:lineRule="auto"/>
              <w:jc w:val="center"/>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fldChar w:fldCharType="begin"/>
            </w:r>
            <w:r>
              <w:rPr>
                <w:rFonts w:hint="default" w:ascii="Times New Roman" w:hAnsi="Times New Roman" w:eastAsia="宋体" w:cs="Times New Roman"/>
                <w:b/>
                <w:bCs/>
                <w:snapToGrid w:val="0"/>
                <w:color w:val="auto"/>
                <w:spacing w:val="-6"/>
                <w:kern w:val="21"/>
                <w:sz w:val="21"/>
                <w:szCs w:val="21"/>
              </w:rPr>
              <w:instrText xml:space="preserve"> = 7 \* GB3 \* MERGEFORMAT </w:instrText>
            </w:r>
            <w:r>
              <w:rPr>
                <w:rFonts w:hint="default" w:ascii="Times New Roman" w:hAnsi="Times New Roman" w:eastAsia="宋体" w:cs="Times New Roman"/>
                <w:b/>
                <w:bCs/>
                <w:snapToGrid w:val="0"/>
                <w:color w:val="auto"/>
                <w:spacing w:val="-6"/>
                <w:kern w:val="21"/>
                <w:sz w:val="21"/>
                <w:szCs w:val="21"/>
              </w:rPr>
              <w:fldChar w:fldCharType="separate"/>
            </w:r>
            <w:r>
              <w:rPr>
                <w:rFonts w:hint="default" w:ascii="Times New Roman" w:hAnsi="Times New Roman" w:eastAsia="宋体" w:cs="Times New Roman"/>
                <w:b/>
                <w:bCs/>
                <w:color w:val="auto"/>
                <w:kern w:val="2"/>
                <w:sz w:val="21"/>
                <w:szCs w:val="21"/>
              </w:rPr>
              <w:t>⑦</w:t>
            </w:r>
            <w:r>
              <w:rPr>
                <w:rFonts w:hint="default" w:ascii="Times New Roman" w:hAnsi="Times New Roman" w:eastAsia="宋体" w:cs="Times New Roman"/>
                <w:b/>
                <w:bCs/>
                <w:snapToGrid w:val="0"/>
                <w:color w:val="auto"/>
                <w:spacing w:val="-6"/>
                <w:kern w:val="21"/>
                <w:sz w:val="21"/>
                <w:szCs w:val="21"/>
              </w:rPr>
              <w:fldChar w:fldCharType="end"/>
            </w:r>
          </w:p>
        </w:tc>
      </w:tr>
      <w:tr w14:paraId="197D68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33" w:type="dxa"/>
            <w:noWrap w:val="0"/>
            <w:vAlign w:val="center"/>
          </w:tcPr>
          <w:p w14:paraId="6513E93C">
            <w:pPr>
              <w:pStyle w:val="50"/>
              <w:spacing w:beforeLines="0" w:afterLines="0" w:line="240" w:lineRule="auto"/>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废气</w:t>
            </w:r>
          </w:p>
        </w:tc>
        <w:tc>
          <w:tcPr>
            <w:tcW w:w="1935" w:type="dxa"/>
            <w:noWrap w:val="0"/>
            <w:vAlign w:val="center"/>
          </w:tcPr>
          <w:p w14:paraId="7BE94408">
            <w:pPr>
              <w:pStyle w:val="50"/>
              <w:spacing w:beforeLines="0" w:afterLines="0" w:line="240" w:lineRule="auto"/>
              <w:jc w:val="center"/>
              <w:rPr>
                <w:rFonts w:hint="default" w:ascii="Times New Roman" w:hAnsi="Times New Roman" w:eastAsia="宋体" w:cs="Times New Roman"/>
                <w:snapToGrid w:val="0"/>
                <w:color w:val="auto"/>
                <w:kern w:val="21"/>
                <w:sz w:val="21"/>
                <w:szCs w:val="21"/>
                <w:highlight w:val="none"/>
                <w:lang w:eastAsia="zh-CN"/>
              </w:rPr>
            </w:pPr>
            <w:r>
              <w:rPr>
                <w:rFonts w:hint="default" w:ascii="Times New Roman" w:hAnsi="Times New Roman" w:eastAsia="宋体" w:cs="Times New Roman"/>
                <w:snapToGrid w:val="0"/>
                <w:color w:val="auto"/>
                <w:kern w:val="21"/>
                <w:sz w:val="21"/>
                <w:szCs w:val="21"/>
                <w:highlight w:val="none"/>
                <w:lang w:eastAsia="zh-CN"/>
              </w:rPr>
              <w:t>非甲烷总烃</w:t>
            </w:r>
          </w:p>
        </w:tc>
        <w:tc>
          <w:tcPr>
            <w:tcW w:w="1592" w:type="dxa"/>
            <w:noWrap w:val="0"/>
            <w:vAlign w:val="center"/>
          </w:tcPr>
          <w:p w14:paraId="7D465519">
            <w:pPr>
              <w:spacing w:beforeLines="0" w:afterLines="0" w:line="240" w:lineRule="auto"/>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263" w:type="dxa"/>
            <w:noWrap w:val="0"/>
            <w:vAlign w:val="center"/>
          </w:tcPr>
          <w:p w14:paraId="21356010">
            <w:pPr>
              <w:spacing w:beforeLines="0" w:afterLines="0" w:line="240" w:lineRule="auto"/>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1570" w:type="dxa"/>
            <w:noWrap w:val="0"/>
            <w:vAlign w:val="center"/>
          </w:tcPr>
          <w:p w14:paraId="71E503F0">
            <w:pPr>
              <w:spacing w:beforeLines="0" w:afterLines="0" w:line="240" w:lineRule="auto"/>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1650" w:type="dxa"/>
            <w:noWrap w:val="0"/>
            <w:vAlign w:val="center"/>
          </w:tcPr>
          <w:p w14:paraId="1B4E62DE">
            <w:pPr>
              <w:keepNext w:val="0"/>
              <w:keepLines w:val="0"/>
              <w:widowControl/>
              <w:suppressLineNumbers w:val="0"/>
              <w:jc w:val="center"/>
              <w:textAlignment w:val="center"/>
              <w:rPr>
                <w:rFonts w:hint="default" w:ascii="Times New Roman" w:hAnsi="Times New Roman" w:cs="Times New Roman"/>
                <w:color w:val="auto"/>
                <w:lang w:val="en-US" w:eastAsia="zh-CN"/>
              </w:rPr>
            </w:pPr>
            <w:r>
              <w:rPr>
                <w:rFonts w:hint="eastAsia"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4001</w:t>
            </w:r>
            <w:r>
              <w:rPr>
                <w:rFonts w:hint="default" w:ascii="Times New Roman" w:hAnsi="Times New Roman" w:eastAsia="宋体" w:cs="Times New Roman"/>
                <w:i w:val="0"/>
                <w:iCs w:val="0"/>
                <w:color w:val="auto"/>
                <w:kern w:val="0"/>
                <w:sz w:val="21"/>
                <w:szCs w:val="21"/>
                <w:u w:val="none"/>
                <w:lang w:val="en-US" w:eastAsia="zh-CN" w:bidi="ar"/>
              </w:rPr>
              <w:t>t/a</w:t>
            </w:r>
          </w:p>
        </w:tc>
        <w:tc>
          <w:tcPr>
            <w:tcW w:w="1615" w:type="dxa"/>
            <w:noWrap w:val="0"/>
            <w:vAlign w:val="center"/>
          </w:tcPr>
          <w:p w14:paraId="57704FE7">
            <w:pPr>
              <w:spacing w:beforeLines="0" w:afterLines="0" w:line="240" w:lineRule="auto"/>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1817" w:type="dxa"/>
            <w:noWrap w:val="0"/>
            <w:vAlign w:val="center"/>
          </w:tcPr>
          <w:p w14:paraId="3FF6B81C">
            <w:pPr>
              <w:keepNext w:val="0"/>
              <w:keepLines w:val="0"/>
              <w:widowControl/>
              <w:suppressLineNumbers w:val="0"/>
              <w:jc w:val="center"/>
              <w:textAlignment w:val="center"/>
              <w:rPr>
                <w:rFonts w:hint="default" w:ascii="Times New Roman" w:hAnsi="Times New Roman" w:cs="Times New Roman"/>
                <w:color w:val="auto"/>
                <w:kern w:val="2"/>
                <w:sz w:val="21"/>
                <w:szCs w:val="24"/>
                <w:lang w:val="en-US" w:eastAsia="zh-CN" w:bidi="ar-SA"/>
              </w:rPr>
            </w:pPr>
            <w:r>
              <w:rPr>
                <w:rFonts w:hint="eastAsia" w:cs="Times New Roman"/>
                <w:i w:val="0"/>
                <w:iCs w:val="0"/>
                <w:color w:val="auto"/>
                <w:kern w:val="0"/>
                <w:sz w:val="21"/>
                <w:szCs w:val="21"/>
                <w:u w:val="none"/>
                <w:lang w:val="en-US" w:eastAsia="zh-CN" w:bidi="ar"/>
              </w:rPr>
              <w:t>0.4001</w:t>
            </w:r>
            <w:r>
              <w:rPr>
                <w:rFonts w:hint="default" w:ascii="Times New Roman" w:hAnsi="Times New Roman" w:eastAsia="宋体" w:cs="Times New Roman"/>
                <w:i w:val="0"/>
                <w:iCs w:val="0"/>
                <w:color w:val="auto"/>
                <w:kern w:val="0"/>
                <w:sz w:val="21"/>
                <w:szCs w:val="21"/>
                <w:u w:val="none"/>
                <w:lang w:val="en-US" w:eastAsia="zh-CN" w:bidi="ar"/>
              </w:rPr>
              <w:t>t/a</w:t>
            </w:r>
          </w:p>
        </w:tc>
        <w:tc>
          <w:tcPr>
            <w:tcW w:w="1080" w:type="dxa"/>
            <w:noWrap w:val="0"/>
            <w:vAlign w:val="center"/>
          </w:tcPr>
          <w:p w14:paraId="4ABDE9A4">
            <w:pPr>
              <w:spacing w:beforeLines="0" w:afterLines="0" w:line="240" w:lineRule="auto"/>
              <w:jc w:val="center"/>
              <w:rPr>
                <w:rFonts w:hint="default" w:ascii="Times New Roman" w:hAnsi="Times New Roman" w:eastAsia="宋体" w:cs="Times New Roman"/>
                <w:snapToGrid w:val="0"/>
                <w:color w:val="FF0000"/>
                <w:kern w:val="21"/>
                <w:sz w:val="21"/>
                <w:szCs w:val="21"/>
                <w:highlight w:val="none"/>
              </w:rPr>
            </w:pPr>
            <w:r>
              <w:rPr>
                <w:rFonts w:hint="default" w:ascii="Times New Roman" w:hAnsi="Times New Roman" w:eastAsia="宋体" w:cs="Times New Roman"/>
                <w:snapToGrid w:val="0"/>
                <w:color w:val="FF0000"/>
                <w:kern w:val="21"/>
                <w:sz w:val="21"/>
                <w:szCs w:val="21"/>
                <w:highlight w:val="none"/>
                <w:lang w:val="en-US" w:eastAsia="zh-CN"/>
              </w:rPr>
              <w:t>/</w:t>
            </w:r>
          </w:p>
        </w:tc>
      </w:tr>
      <w:tr w14:paraId="6E1C49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33" w:type="dxa"/>
            <w:vMerge w:val="restart"/>
            <w:noWrap w:val="0"/>
            <w:vAlign w:val="center"/>
          </w:tcPr>
          <w:p w14:paraId="1DB1B66D">
            <w:pPr>
              <w:pStyle w:val="50"/>
              <w:spacing w:beforeLines="0" w:afterLines="0" w:line="240" w:lineRule="auto"/>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废水</w:t>
            </w:r>
          </w:p>
        </w:tc>
        <w:tc>
          <w:tcPr>
            <w:tcW w:w="1935" w:type="dxa"/>
            <w:noWrap w:val="0"/>
            <w:vAlign w:val="center"/>
          </w:tcPr>
          <w:p w14:paraId="187B0AFB">
            <w:pPr>
              <w:pStyle w:val="1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水量</w:t>
            </w:r>
          </w:p>
        </w:tc>
        <w:tc>
          <w:tcPr>
            <w:tcW w:w="1592" w:type="dxa"/>
            <w:shd w:val="clear" w:color="auto" w:fill="auto"/>
            <w:noWrap w:val="0"/>
            <w:vAlign w:val="center"/>
          </w:tcPr>
          <w:p w14:paraId="1C13C56D">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b/>
                <w:bCs/>
                <w:color w:val="auto"/>
                <w:kern w:val="0"/>
                <w:sz w:val="21"/>
                <w:szCs w:val="21"/>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263" w:type="dxa"/>
            <w:shd w:val="clear" w:color="auto" w:fill="auto"/>
            <w:noWrap w:val="0"/>
            <w:vAlign w:val="center"/>
          </w:tcPr>
          <w:p w14:paraId="2A8CE54E">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570" w:type="dxa"/>
            <w:shd w:val="clear" w:color="auto" w:fill="auto"/>
            <w:noWrap w:val="0"/>
            <w:vAlign w:val="center"/>
          </w:tcPr>
          <w:p w14:paraId="4A5E55F1">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650" w:type="dxa"/>
            <w:noWrap w:val="0"/>
            <w:vAlign w:val="center"/>
          </w:tcPr>
          <w:p w14:paraId="16EB3673">
            <w:pPr>
              <w:pStyle w:val="68"/>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snapToGrid w:val="0"/>
                <w:color w:val="auto"/>
                <w:kern w:val="21"/>
                <w:sz w:val="21"/>
                <w:szCs w:val="21"/>
                <w:highlight w:val="none"/>
                <w:lang w:val="en-US" w:eastAsia="zh-CN"/>
              </w:rPr>
              <w:t>203.7</w:t>
            </w:r>
            <w:r>
              <w:rPr>
                <w:rFonts w:hint="default" w:ascii="Times New Roman" w:hAnsi="Times New Roman" w:eastAsia="宋体" w:cs="Times New Roman"/>
                <w:i w:val="0"/>
                <w:iCs w:val="0"/>
                <w:color w:val="auto"/>
                <w:kern w:val="0"/>
                <w:sz w:val="21"/>
                <w:szCs w:val="21"/>
                <w:u w:val="none"/>
                <w:lang w:val="en-US" w:eastAsia="zh-CN" w:bidi="ar"/>
              </w:rPr>
              <w:t>t/a</w:t>
            </w:r>
          </w:p>
        </w:tc>
        <w:tc>
          <w:tcPr>
            <w:tcW w:w="1615" w:type="dxa"/>
            <w:shd w:val="clear" w:color="auto" w:fill="auto"/>
            <w:noWrap w:val="0"/>
            <w:vAlign w:val="center"/>
          </w:tcPr>
          <w:p w14:paraId="0055E506">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817" w:type="dxa"/>
            <w:noWrap w:val="0"/>
            <w:vAlign w:val="center"/>
          </w:tcPr>
          <w:p w14:paraId="30B69208">
            <w:pPr>
              <w:pStyle w:val="68"/>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snapToGrid w:val="0"/>
                <w:color w:val="auto"/>
                <w:kern w:val="21"/>
                <w:sz w:val="21"/>
                <w:szCs w:val="21"/>
                <w:highlight w:val="none"/>
                <w:lang w:val="en-US" w:eastAsia="zh-CN"/>
              </w:rPr>
              <w:t>203.7</w:t>
            </w:r>
            <w:r>
              <w:rPr>
                <w:rFonts w:hint="default" w:ascii="Times New Roman" w:hAnsi="Times New Roman" w:eastAsia="宋体" w:cs="Times New Roman"/>
                <w:i w:val="0"/>
                <w:iCs w:val="0"/>
                <w:color w:val="auto"/>
                <w:kern w:val="0"/>
                <w:sz w:val="21"/>
                <w:szCs w:val="21"/>
                <w:u w:val="none"/>
                <w:lang w:val="en-US" w:eastAsia="zh-CN" w:bidi="ar"/>
              </w:rPr>
              <w:t>t/a</w:t>
            </w:r>
          </w:p>
        </w:tc>
        <w:tc>
          <w:tcPr>
            <w:tcW w:w="1080" w:type="dxa"/>
            <w:shd w:val="clear" w:color="auto" w:fill="auto"/>
            <w:noWrap w:val="0"/>
            <w:vAlign w:val="center"/>
          </w:tcPr>
          <w:p w14:paraId="33C02A55">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r>
      <w:tr w14:paraId="2E976B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33" w:type="dxa"/>
            <w:vMerge w:val="continue"/>
            <w:noWrap w:val="0"/>
            <w:vAlign w:val="center"/>
          </w:tcPr>
          <w:p w14:paraId="3378C82C">
            <w:pPr>
              <w:pStyle w:val="50"/>
              <w:spacing w:beforeLines="0" w:afterLines="0" w:line="240" w:lineRule="auto"/>
              <w:jc w:val="center"/>
              <w:rPr>
                <w:rFonts w:hint="default" w:ascii="Times New Roman" w:hAnsi="Times New Roman" w:eastAsia="宋体" w:cs="Times New Roman"/>
                <w:snapToGrid w:val="0"/>
                <w:color w:val="auto"/>
                <w:kern w:val="21"/>
                <w:sz w:val="21"/>
                <w:szCs w:val="21"/>
              </w:rPr>
            </w:pPr>
          </w:p>
        </w:tc>
        <w:tc>
          <w:tcPr>
            <w:tcW w:w="1935" w:type="dxa"/>
            <w:noWrap w:val="0"/>
            <w:vAlign w:val="center"/>
          </w:tcPr>
          <w:p w14:paraId="18FFEAD8">
            <w:pPr>
              <w:pStyle w:val="1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pH</w:t>
            </w:r>
          </w:p>
        </w:tc>
        <w:tc>
          <w:tcPr>
            <w:tcW w:w="1592" w:type="dxa"/>
            <w:shd w:val="clear" w:color="auto" w:fill="auto"/>
            <w:noWrap w:val="0"/>
            <w:vAlign w:val="center"/>
          </w:tcPr>
          <w:p w14:paraId="4B115C3A">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263" w:type="dxa"/>
            <w:shd w:val="clear" w:color="auto" w:fill="auto"/>
            <w:noWrap w:val="0"/>
            <w:vAlign w:val="center"/>
          </w:tcPr>
          <w:p w14:paraId="654893D0">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570" w:type="dxa"/>
            <w:shd w:val="clear" w:color="auto" w:fill="auto"/>
            <w:noWrap w:val="0"/>
            <w:vAlign w:val="center"/>
          </w:tcPr>
          <w:p w14:paraId="2A376F08">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650" w:type="dxa"/>
            <w:noWrap w:val="0"/>
            <w:vAlign w:val="center"/>
          </w:tcPr>
          <w:p w14:paraId="3DD6C688">
            <w:pPr>
              <w:pStyle w:val="68"/>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615" w:type="dxa"/>
            <w:shd w:val="clear" w:color="auto" w:fill="auto"/>
            <w:noWrap w:val="0"/>
            <w:vAlign w:val="center"/>
          </w:tcPr>
          <w:p w14:paraId="7D4382B5">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817" w:type="dxa"/>
            <w:noWrap w:val="0"/>
            <w:vAlign w:val="center"/>
          </w:tcPr>
          <w:p w14:paraId="357D5CFC">
            <w:pPr>
              <w:pStyle w:val="68"/>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080" w:type="dxa"/>
            <w:shd w:val="clear" w:color="auto" w:fill="auto"/>
            <w:noWrap w:val="0"/>
            <w:vAlign w:val="center"/>
          </w:tcPr>
          <w:p w14:paraId="2EFF6F00">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r>
      <w:tr w14:paraId="79D7F5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33" w:type="dxa"/>
            <w:vMerge w:val="continue"/>
            <w:noWrap w:val="0"/>
            <w:vAlign w:val="center"/>
          </w:tcPr>
          <w:p w14:paraId="20495B9F">
            <w:pPr>
              <w:pStyle w:val="50"/>
              <w:spacing w:beforeLines="0" w:afterLines="0" w:line="240" w:lineRule="auto"/>
              <w:jc w:val="center"/>
              <w:rPr>
                <w:rFonts w:hint="default" w:ascii="Times New Roman" w:hAnsi="Times New Roman" w:eastAsia="宋体" w:cs="Times New Roman"/>
                <w:snapToGrid w:val="0"/>
                <w:color w:val="auto"/>
                <w:kern w:val="21"/>
                <w:sz w:val="21"/>
                <w:szCs w:val="21"/>
              </w:rPr>
            </w:pPr>
          </w:p>
        </w:tc>
        <w:tc>
          <w:tcPr>
            <w:tcW w:w="1935" w:type="dxa"/>
            <w:noWrap w:val="0"/>
            <w:vAlign w:val="center"/>
          </w:tcPr>
          <w:p w14:paraId="32BDF8F1">
            <w:pPr>
              <w:pStyle w:val="1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b w:val="0"/>
                <w:bCs w:val="0"/>
                <w:color w:val="auto"/>
                <w:kern w:val="0"/>
                <w:sz w:val="21"/>
                <w:szCs w:val="21"/>
                <w:lang w:val="en-US" w:eastAsia="zh-CN" w:bidi="ar-SA"/>
              </w:rPr>
            </w:pPr>
            <w:r>
              <w:rPr>
                <w:rFonts w:hint="default" w:ascii="Times New Roman" w:hAnsi="Times New Roman" w:cs="Times New Roman"/>
                <w:b w:val="0"/>
                <w:bCs w:val="0"/>
                <w:color w:val="auto"/>
                <w:sz w:val="21"/>
                <w:szCs w:val="21"/>
              </w:rPr>
              <w:t>COD</w:t>
            </w:r>
          </w:p>
        </w:tc>
        <w:tc>
          <w:tcPr>
            <w:tcW w:w="1592" w:type="dxa"/>
            <w:noWrap w:val="0"/>
            <w:vAlign w:val="center"/>
          </w:tcPr>
          <w:p w14:paraId="2A7BA981">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b/>
                <w:bCs/>
                <w:color w:val="auto"/>
                <w:kern w:val="0"/>
                <w:sz w:val="21"/>
                <w:szCs w:val="21"/>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263" w:type="dxa"/>
            <w:noWrap w:val="0"/>
            <w:vAlign w:val="center"/>
          </w:tcPr>
          <w:p w14:paraId="4F23B330">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570" w:type="dxa"/>
            <w:noWrap w:val="0"/>
            <w:vAlign w:val="center"/>
          </w:tcPr>
          <w:p w14:paraId="43A04C97">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650" w:type="dxa"/>
            <w:noWrap w:val="0"/>
            <w:vAlign w:val="center"/>
          </w:tcPr>
          <w:p w14:paraId="3F396665">
            <w:pPr>
              <w:pStyle w:val="68"/>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color w:val="auto"/>
                <w:sz w:val="21"/>
                <w:szCs w:val="21"/>
                <w:lang w:val="en-US" w:eastAsia="zh-CN"/>
              </w:rPr>
              <w:t>0.071</w:t>
            </w:r>
            <w:r>
              <w:rPr>
                <w:rFonts w:hint="default" w:ascii="Times New Roman" w:hAnsi="Times New Roman" w:eastAsia="宋体" w:cs="Times New Roman"/>
                <w:i w:val="0"/>
                <w:iCs w:val="0"/>
                <w:color w:val="auto"/>
                <w:kern w:val="0"/>
                <w:sz w:val="21"/>
                <w:szCs w:val="21"/>
                <w:u w:val="none"/>
                <w:lang w:val="en-US" w:eastAsia="zh-CN" w:bidi="ar"/>
              </w:rPr>
              <w:t>t/a</w:t>
            </w:r>
          </w:p>
        </w:tc>
        <w:tc>
          <w:tcPr>
            <w:tcW w:w="1615" w:type="dxa"/>
            <w:noWrap w:val="0"/>
            <w:vAlign w:val="center"/>
          </w:tcPr>
          <w:p w14:paraId="00E10431">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817" w:type="dxa"/>
            <w:noWrap w:val="0"/>
            <w:vAlign w:val="center"/>
          </w:tcPr>
          <w:p w14:paraId="13B103A3">
            <w:pPr>
              <w:pStyle w:val="68"/>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color w:val="auto"/>
                <w:sz w:val="21"/>
                <w:szCs w:val="21"/>
                <w:lang w:val="en-US" w:eastAsia="zh-CN"/>
              </w:rPr>
              <w:t>0.071</w:t>
            </w:r>
            <w:r>
              <w:rPr>
                <w:rFonts w:hint="default" w:ascii="Times New Roman" w:hAnsi="Times New Roman" w:eastAsia="宋体" w:cs="Times New Roman"/>
                <w:i w:val="0"/>
                <w:iCs w:val="0"/>
                <w:color w:val="auto"/>
                <w:kern w:val="0"/>
                <w:sz w:val="21"/>
                <w:szCs w:val="21"/>
                <w:u w:val="none"/>
                <w:lang w:val="en-US" w:eastAsia="zh-CN" w:bidi="ar"/>
              </w:rPr>
              <w:t>t/a</w:t>
            </w:r>
          </w:p>
        </w:tc>
        <w:tc>
          <w:tcPr>
            <w:tcW w:w="1080" w:type="dxa"/>
            <w:noWrap w:val="0"/>
            <w:vAlign w:val="center"/>
          </w:tcPr>
          <w:p w14:paraId="57C894B0">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r>
      <w:tr w14:paraId="39A114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33" w:type="dxa"/>
            <w:vMerge w:val="continue"/>
            <w:noWrap w:val="0"/>
            <w:vAlign w:val="center"/>
          </w:tcPr>
          <w:p w14:paraId="70667C15">
            <w:pPr>
              <w:pStyle w:val="50"/>
              <w:spacing w:beforeLines="0" w:afterLines="0" w:line="240" w:lineRule="auto"/>
              <w:jc w:val="center"/>
              <w:rPr>
                <w:rFonts w:hint="default" w:ascii="Times New Roman" w:hAnsi="Times New Roman" w:eastAsia="宋体" w:cs="Times New Roman"/>
                <w:snapToGrid w:val="0"/>
                <w:color w:val="auto"/>
                <w:kern w:val="21"/>
                <w:sz w:val="21"/>
                <w:szCs w:val="21"/>
              </w:rPr>
            </w:pPr>
          </w:p>
        </w:tc>
        <w:tc>
          <w:tcPr>
            <w:tcW w:w="1935" w:type="dxa"/>
            <w:noWrap w:val="0"/>
            <w:vAlign w:val="center"/>
          </w:tcPr>
          <w:p w14:paraId="1FB35176">
            <w:pPr>
              <w:spacing w:beforeLines="0" w:afterLines="0" w:line="240" w:lineRule="auto"/>
              <w:jc w:val="center"/>
              <w:rPr>
                <w:rFonts w:hint="default" w:ascii="Times New Roman" w:hAnsi="Times New Roman" w:eastAsia="宋体" w:cs="Times New Roman"/>
                <w:b w:val="0"/>
                <w:bCs w:val="0"/>
                <w:snapToGrid w:val="0"/>
                <w:color w:val="auto"/>
                <w:kern w:val="21"/>
                <w:sz w:val="21"/>
                <w:szCs w:val="21"/>
                <w:lang w:val="en-US" w:eastAsia="zh-CN" w:bidi="ar-SA"/>
              </w:rPr>
            </w:pPr>
            <w:r>
              <w:rPr>
                <w:rFonts w:hint="default" w:ascii="Times New Roman" w:hAnsi="Times New Roman" w:cs="Times New Roman"/>
                <w:b w:val="0"/>
                <w:bCs w:val="0"/>
                <w:color w:val="auto"/>
                <w:sz w:val="21"/>
                <w:szCs w:val="21"/>
              </w:rPr>
              <w:t>BOD</w:t>
            </w:r>
            <w:r>
              <w:rPr>
                <w:rFonts w:hint="default" w:ascii="Times New Roman" w:hAnsi="Times New Roman" w:cs="Times New Roman"/>
                <w:b w:val="0"/>
                <w:bCs w:val="0"/>
                <w:color w:val="auto"/>
                <w:sz w:val="21"/>
                <w:szCs w:val="21"/>
                <w:vertAlign w:val="subscript"/>
                <w:lang w:val="en-US" w:eastAsia="zh-CN"/>
              </w:rPr>
              <w:t>5</w:t>
            </w:r>
          </w:p>
        </w:tc>
        <w:tc>
          <w:tcPr>
            <w:tcW w:w="1592" w:type="dxa"/>
            <w:noWrap w:val="0"/>
            <w:vAlign w:val="center"/>
          </w:tcPr>
          <w:p w14:paraId="73AB7DB5">
            <w:pPr>
              <w:spacing w:beforeLines="0" w:afterLines="0" w:line="240" w:lineRule="auto"/>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highlight w:val="none"/>
                <w:lang w:val="en-US" w:eastAsia="zh-CN"/>
              </w:rPr>
              <w:t>/</w:t>
            </w:r>
          </w:p>
        </w:tc>
        <w:tc>
          <w:tcPr>
            <w:tcW w:w="1263" w:type="dxa"/>
            <w:noWrap w:val="0"/>
            <w:vAlign w:val="center"/>
          </w:tcPr>
          <w:p w14:paraId="67BB6482">
            <w:pPr>
              <w:spacing w:beforeLines="0" w:afterLines="0" w:line="240" w:lineRule="auto"/>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highlight w:val="none"/>
                <w:lang w:val="en-US" w:eastAsia="zh-CN"/>
              </w:rPr>
              <w:t>/</w:t>
            </w:r>
          </w:p>
        </w:tc>
        <w:tc>
          <w:tcPr>
            <w:tcW w:w="1570" w:type="dxa"/>
            <w:noWrap w:val="0"/>
            <w:vAlign w:val="center"/>
          </w:tcPr>
          <w:p w14:paraId="6BC9D49A">
            <w:pPr>
              <w:spacing w:beforeLines="0" w:afterLines="0" w:line="240" w:lineRule="auto"/>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highlight w:val="none"/>
                <w:lang w:val="en-US" w:eastAsia="zh-CN"/>
              </w:rPr>
              <w:t>/</w:t>
            </w:r>
          </w:p>
        </w:tc>
        <w:tc>
          <w:tcPr>
            <w:tcW w:w="1650" w:type="dxa"/>
            <w:noWrap w:val="0"/>
            <w:vAlign w:val="center"/>
          </w:tcPr>
          <w:p w14:paraId="1934FA95">
            <w:pPr>
              <w:pStyle w:val="68"/>
              <w:jc w:val="center"/>
              <w:rPr>
                <w:rFonts w:hint="default" w:ascii="Times New Roman" w:hAnsi="Times New Roman" w:eastAsia="宋体" w:cs="Times New Roman"/>
                <w:snapToGrid w:val="0"/>
                <w:color w:val="auto"/>
                <w:kern w:val="21"/>
                <w:sz w:val="21"/>
                <w:szCs w:val="21"/>
                <w:lang w:val="en-US" w:eastAsia="zh-CN" w:bidi="ar-SA"/>
              </w:rPr>
            </w:pPr>
            <w:r>
              <w:rPr>
                <w:rFonts w:hint="eastAsia" w:cs="Times New Roman"/>
                <w:color w:val="auto"/>
                <w:sz w:val="21"/>
                <w:szCs w:val="21"/>
                <w:lang w:val="en-US" w:eastAsia="zh-CN"/>
              </w:rPr>
              <w:t>0.016</w:t>
            </w:r>
            <w:r>
              <w:rPr>
                <w:rFonts w:hint="default" w:ascii="Times New Roman" w:hAnsi="Times New Roman" w:eastAsia="宋体" w:cs="Times New Roman"/>
                <w:i w:val="0"/>
                <w:iCs w:val="0"/>
                <w:color w:val="auto"/>
                <w:kern w:val="0"/>
                <w:sz w:val="21"/>
                <w:szCs w:val="21"/>
                <w:u w:val="none"/>
                <w:lang w:val="en-US" w:eastAsia="zh-CN" w:bidi="ar"/>
              </w:rPr>
              <w:t>t/a</w:t>
            </w:r>
          </w:p>
        </w:tc>
        <w:tc>
          <w:tcPr>
            <w:tcW w:w="1615" w:type="dxa"/>
            <w:noWrap w:val="0"/>
            <w:vAlign w:val="center"/>
          </w:tcPr>
          <w:p w14:paraId="34BBCB58">
            <w:pPr>
              <w:spacing w:beforeLines="0" w:afterLines="0" w:line="240" w:lineRule="auto"/>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highlight w:val="none"/>
                <w:lang w:val="en-US" w:eastAsia="zh-CN"/>
              </w:rPr>
              <w:t>/</w:t>
            </w:r>
          </w:p>
        </w:tc>
        <w:tc>
          <w:tcPr>
            <w:tcW w:w="1817" w:type="dxa"/>
            <w:noWrap w:val="0"/>
            <w:vAlign w:val="center"/>
          </w:tcPr>
          <w:p w14:paraId="6DA8D845">
            <w:pPr>
              <w:pStyle w:val="68"/>
              <w:jc w:val="center"/>
              <w:rPr>
                <w:rFonts w:hint="default" w:ascii="Times New Roman" w:hAnsi="Times New Roman" w:eastAsia="宋体" w:cs="Times New Roman"/>
                <w:snapToGrid w:val="0"/>
                <w:color w:val="auto"/>
                <w:kern w:val="21"/>
                <w:sz w:val="21"/>
                <w:szCs w:val="21"/>
                <w:lang w:val="en-US" w:eastAsia="zh-CN" w:bidi="ar-SA"/>
              </w:rPr>
            </w:pPr>
            <w:r>
              <w:rPr>
                <w:rFonts w:hint="eastAsia" w:cs="Times New Roman"/>
                <w:color w:val="auto"/>
                <w:sz w:val="21"/>
                <w:szCs w:val="21"/>
                <w:lang w:val="en-US" w:eastAsia="zh-CN"/>
              </w:rPr>
              <w:t>0.016</w:t>
            </w:r>
            <w:r>
              <w:rPr>
                <w:rFonts w:hint="default" w:ascii="Times New Roman" w:hAnsi="Times New Roman" w:eastAsia="宋体" w:cs="Times New Roman"/>
                <w:i w:val="0"/>
                <w:iCs w:val="0"/>
                <w:color w:val="auto"/>
                <w:kern w:val="0"/>
                <w:sz w:val="21"/>
                <w:szCs w:val="21"/>
                <w:u w:val="none"/>
                <w:lang w:val="en-US" w:eastAsia="zh-CN" w:bidi="ar"/>
              </w:rPr>
              <w:t>t/a</w:t>
            </w:r>
          </w:p>
        </w:tc>
        <w:tc>
          <w:tcPr>
            <w:tcW w:w="1080" w:type="dxa"/>
            <w:noWrap w:val="0"/>
            <w:vAlign w:val="center"/>
          </w:tcPr>
          <w:p w14:paraId="20D9A974">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r>
      <w:tr w14:paraId="6F46D2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33" w:type="dxa"/>
            <w:vMerge w:val="continue"/>
            <w:noWrap w:val="0"/>
            <w:vAlign w:val="center"/>
          </w:tcPr>
          <w:p w14:paraId="50231FE1">
            <w:pPr>
              <w:pStyle w:val="50"/>
              <w:spacing w:beforeLines="0" w:afterLines="0" w:line="240" w:lineRule="auto"/>
              <w:jc w:val="center"/>
              <w:rPr>
                <w:rFonts w:hint="default" w:ascii="Times New Roman" w:hAnsi="Times New Roman" w:eastAsia="宋体" w:cs="Times New Roman"/>
                <w:snapToGrid w:val="0"/>
                <w:color w:val="auto"/>
                <w:kern w:val="21"/>
                <w:sz w:val="21"/>
                <w:szCs w:val="21"/>
              </w:rPr>
            </w:pPr>
          </w:p>
        </w:tc>
        <w:tc>
          <w:tcPr>
            <w:tcW w:w="1935" w:type="dxa"/>
            <w:noWrap w:val="0"/>
            <w:vAlign w:val="center"/>
          </w:tcPr>
          <w:p w14:paraId="2B5543C4">
            <w:pPr>
              <w:spacing w:beforeLines="0" w:afterLines="0" w:line="240" w:lineRule="auto"/>
              <w:jc w:val="center"/>
              <w:rPr>
                <w:rFonts w:hint="default" w:ascii="Times New Roman" w:hAnsi="Times New Roman" w:eastAsia="宋体" w:cs="Times New Roman"/>
                <w:b w:val="0"/>
                <w:bCs w:val="0"/>
                <w:snapToGrid w:val="0"/>
                <w:color w:val="auto"/>
                <w:kern w:val="21"/>
                <w:sz w:val="21"/>
                <w:szCs w:val="21"/>
                <w:lang w:val="en-US" w:eastAsia="zh-CN" w:bidi="ar-SA"/>
              </w:rPr>
            </w:pPr>
            <w:r>
              <w:rPr>
                <w:rFonts w:hint="default" w:ascii="Times New Roman" w:hAnsi="Times New Roman" w:cs="Times New Roman"/>
                <w:b w:val="0"/>
                <w:bCs w:val="0"/>
                <w:color w:val="auto"/>
                <w:sz w:val="21"/>
                <w:szCs w:val="21"/>
              </w:rPr>
              <w:t>SS</w:t>
            </w:r>
          </w:p>
        </w:tc>
        <w:tc>
          <w:tcPr>
            <w:tcW w:w="1592" w:type="dxa"/>
            <w:noWrap w:val="0"/>
            <w:vAlign w:val="center"/>
          </w:tcPr>
          <w:p w14:paraId="72C4E210">
            <w:pPr>
              <w:spacing w:beforeLines="0" w:afterLines="0" w:line="240" w:lineRule="auto"/>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highlight w:val="none"/>
                <w:lang w:val="en-US" w:eastAsia="zh-CN"/>
              </w:rPr>
              <w:t>/</w:t>
            </w:r>
          </w:p>
        </w:tc>
        <w:tc>
          <w:tcPr>
            <w:tcW w:w="1263" w:type="dxa"/>
            <w:noWrap w:val="0"/>
            <w:vAlign w:val="center"/>
          </w:tcPr>
          <w:p w14:paraId="03229741">
            <w:pPr>
              <w:spacing w:beforeLines="0" w:afterLines="0" w:line="240" w:lineRule="auto"/>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highlight w:val="none"/>
                <w:lang w:val="en-US" w:eastAsia="zh-CN"/>
              </w:rPr>
              <w:t>/</w:t>
            </w:r>
          </w:p>
        </w:tc>
        <w:tc>
          <w:tcPr>
            <w:tcW w:w="1570" w:type="dxa"/>
            <w:noWrap w:val="0"/>
            <w:vAlign w:val="center"/>
          </w:tcPr>
          <w:p w14:paraId="455F4294">
            <w:pPr>
              <w:spacing w:beforeLines="0" w:afterLines="0" w:line="240" w:lineRule="auto"/>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highlight w:val="none"/>
                <w:lang w:val="en-US" w:eastAsia="zh-CN"/>
              </w:rPr>
              <w:t>/</w:t>
            </w:r>
          </w:p>
        </w:tc>
        <w:tc>
          <w:tcPr>
            <w:tcW w:w="1650" w:type="dxa"/>
            <w:noWrap w:val="0"/>
            <w:vAlign w:val="center"/>
          </w:tcPr>
          <w:p w14:paraId="59A5184A">
            <w:pPr>
              <w:pStyle w:val="68"/>
              <w:jc w:val="center"/>
              <w:rPr>
                <w:rFonts w:hint="default" w:ascii="Times New Roman" w:hAnsi="Times New Roman" w:eastAsia="宋体" w:cs="Times New Roman"/>
                <w:snapToGrid w:val="0"/>
                <w:color w:val="auto"/>
                <w:kern w:val="21"/>
                <w:sz w:val="21"/>
                <w:szCs w:val="21"/>
                <w:lang w:val="en-US" w:eastAsia="zh-CN" w:bidi="ar-SA"/>
              </w:rPr>
            </w:pPr>
            <w:r>
              <w:rPr>
                <w:rFonts w:hint="eastAsia" w:cs="Times New Roman"/>
                <w:color w:val="auto"/>
                <w:sz w:val="21"/>
                <w:szCs w:val="21"/>
                <w:lang w:val="en-US" w:eastAsia="zh-CN"/>
              </w:rPr>
              <w:t>0.014</w:t>
            </w:r>
            <w:r>
              <w:rPr>
                <w:rFonts w:hint="default" w:ascii="Times New Roman" w:hAnsi="Times New Roman" w:eastAsia="宋体" w:cs="Times New Roman"/>
                <w:i w:val="0"/>
                <w:iCs w:val="0"/>
                <w:color w:val="auto"/>
                <w:kern w:val="0"/>
                <w:sz w:val="21"/>
                <w:szCs w:val="21"/>
                <w:u w:val="none"/>
                <w:lang w:val="en-US" w:eastAsia="zh-CN" w:bidi="ar"/>
              </w:rPr>
              <w:t>t/a</w:t>
            </w:r>
          </w:p>
        </w:tc>
        <w:tc>
          <w:tcPr>
            <w:tcW w:w="1615" w:type="dxa"/>
            <w:noWrap w:val="0"/>
            <w:vAlign w:val="center"/>
          </w:tcPr>
          <w:p w14:paraId="40D22AB8">
            <w:pPr>
              <w:spacing w:beforeLines="0" w:afterLines="0" w:line="240" w:lineRule="auto"/>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highlight w:val="none"/>
                <w:lang w:val="en-US" w:eastAsia="zh-CN"/>
              </w:rPr>
              <w:t>/</w:t>
            </w:r>
          </w:p>
        </w:tc>
        <w:tc>
          <w:tcPr>
            <w:tcW w:w="1817" w:type="dxa"/>
            <w:noWrap w:val="0"/>
            <w:vAlign w:val="center"/>
          </w:tcPr>
          <w:p w14:paraId="3A256F52">
            <w:pPr>
              <w:pStyle w:val="68"/>
              <w:jc w:val="center"/>
              <w:rPr>
                <w:rFonts w:hint="default" w:ascii="Times New Roman" w:hAnsi="Times New Roman" w:eastAsia="宋体" w:cs="Times New Roman"/>
                <w:snapToGrid w:val="0"/>
                <w:color w:val="auto"/>
                <w:kern w:val="21"/>
                <w:sz w:val="21"/>
                <w:szCs w:val="21"/>
                <w:lang w:val="en-US" w:eastAsia="zh-CN" w:bidi="ar-SA"/>
              </w:rPr>
            </w:pPr>
            <w:r>
              <w:rPr>
                <w:rFonts w:hint="eastAsia" w:cs="Times New Roman"/>
                <w:color w:val="auto"/>
                <w:sz w:val="21"/>
                <w:szCs w:val="21"/>
                <w:lang w:val="en-US" w:eastAsia="zh-CN"/>
              </w:rPr>
              <w:t>0.014</w:t>
            </w:r>
            <w:r>
              <w:rPr>
                <w:rFonts w:hint="default" w:ascii="Times New Roman" w:hAnsi="Times New Roman" w:eastAsia="宋体" w:cs="Times New Roman"/>
                <w:i w:val="0"/>
                <w:iCs w:val="0"/>
                <w:color w:val="auto"/>
                <w:kern w:val="0"/>
                <w:sz w:val="21"/>
                <w:szCs w:val="21"/>
                <w:u w:val="none"/>
                <w:lang w:val="en-US" w:eastAsia="zh-CN" w:bidi="ar"/>
              </w:rPr>
              <w:t>t/a</w:t>
            </w:r>
          </w:p>
        </w:tc>
        <w:tc>
          <w:tcPr>
            <w:tcW w:w="1080" w:type="dxa"/>
            <w:noWrap w:val="0"/>
            <w:vAlign w:val="center"/>
          </w:tcPr>
          <w:p w14:paraId="47B4B63B">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r>
      <w:tr w14:paraId="07627A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33" w:type="dxa"/>
            <w:vMerge w:val="continue"/>
            <w:noWrap w:val="0"/>
            <w:vAlign w:val="center"/>
          </w:tcPr>
          <w:p w14:paraId="3725560B">
            <w:pPr>
              <w:pStyle w:val="50"/>
              <w:spacing w:beforeLines="0" w:afterLines="0" w:line="240" w:lineRule="auto"/>
              <w:jc w:val="center"/>
              <w:rPr>
                <w:rFonts w:hint="default" w:ascii="Times New Roman" w:hAnsi="Times New Roman" w:eastAsia="宋体" w:cs="Times New Roman"/>
                <w:snapToGrid w:val="0"/>
                <w:color w:val="auto"/>
                <w:kern w:val="21"/>
                <w:sz w:val="21"/>
                <w:szCs w:val="21"/>
              </w:rPr>
            </w:pPr>
          </w:p>
        </w:tc>
        <w:tc>
          <w:tcPr>
            <w:tcW w:w="1935" w:type="dxa"/>
            <w:noWrap w:val="0"/>
            <w:vAlign w:val="center"/>
          </w:tcPr>
          <w:p w14:paraId="4BB89D16">
            <w:pPr>
              <w:spacing w:beforeLines="0" w:afterLines="0" w:line="240" w:lineRule="auto"/>
              <w:jc w:val="center"/>
              <w:rPr>
                <w:rFonts w:hint="default" w:ascii="Times New Roman" w:hAnsi="Times New Roman" w:eastAsia="宋体" w:cs="Times New Roman"/>
                <w:b w:val="0"/>
                <w:bCs w:val="0"/>
                <w:snapToGrid w:val="0"/>
                <w:color w:val="auto"/>
                <w:kern w:val="21"/>
                <w:sz w:val="21"/>
                <w:szCs w:val="21"/>
                <w:lang w:val="en-US" w:eastAsia="zh-CN" w:bidi="ar-SA"/>
              </w:rPr>
            </w:pPr>
            <w:r>
              <w:rPr>
                <w:rFonts w:hint="default" w:ascii="Times New Roman" w:hAnsi="Times New Roman" w:cs="Times New Roman"/>
                <w:b w:val="0"/>
                <w:bCs w:val="0"/>
                <w:color w:val="auto"/>
                <w:sz w:val="21"/>
                <w:szCs w:val="21"/>
              </w:rPr>
              <w:t>氨氮</w:t>
            </w:r>
          </w:p>
        </w:tc>
        <w:tc>
          <w:tcPr>
            <w:tcW w:w="1592" w:type="dxa"/>
            <w:noWrap w:val="0"/>
            <w:vAlign w:val="center"/>
          </w:tcPr>
          <w:p w14:paraId="02FFA7BF">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263" w:type="dxa"/>
            <w:noWrap w:val="0"/>
            <w:vAlign w:val="center"/>
          </w:tcPr>
          <w:p w14:paraId="496DA622">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70" w:type="dxa"/>
            <w:noWrap w:val="0"/>
            <w:vAlign w:val="center"/>
          </w:tcPr>
          <w:p w14:paraId="54B4A428">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650" w:type="dxa"/>
            <w:noWrap w:val="0"/>
            <w:vAlign w:val="center"/>
          </w:tcPr>
          <w:p w14:paraId="6B9AEC13">
            <w:pPr>
              <w:pStyle w:val="68"/>
              <w:jc w:val="center"/>
              <w:rPr>
                <w:rFonts w:hint="default" w:ascii="Times New Roman" w:hAnsi="Times New Roman" w:eastAsia="宋体" w:cs="Times New Roman"/>
                <w:snapToGrid w:val="0"/>
                <w:color w:val="auto"/>
                <w:kern w:val="21"/>
                <w:sz w:val="21"/>
                <w:szCs w:val="21"/>
                <w:lang w:val="en-US" w:eastAsia="zh-CN" w:bidi="ar-SA"/>
              </w:rPr>
            </w:pPr>
            <w:r>
              <w:rPr>
                <w:rFonts w:hint="eastAsia" w:cs="Times New Roman"/>
                <w:color w:val="auto"/>
                <w:sz w:val="21"/>
                <w:szCs w:val="21"/>
                <w:lang w:val="en-US" w:eastAsia="zh-CN"/>
              </w:rPr>
              <w:t>0.004</w:t>
            </w:r>
            <w:r>
              <w:rPr>
                <w:rFonts w:hint="default" w:ascii="Times New Roman" w:hAnsi="Times New Roman" w:eastAsia="宋体" w:cs="Times New Roman"/>
                <w:i w:val="0"/>
                <w:iCs w:val="0"/>
                <w:color w:val="auto"/>
                <w:kern w:val="0"/>
                <w:sz w:val="21"/>
                <w:szCs w:val="21"/>
                <w:u w:val="none"/>
                <w:lang w:val="en-US" w:eastAsia="zh-CN" w:bidi="ar"/>
              </w:rPr>
              <w:t>t/a</w:t>
            </w:r>
          </w:p>
        </w:tc>
        <w:tc>
          <w:tcPr>
            <w:tcW w:w="1615" w:type="dxa"/>
            <w:noWrap w:val="0"/>
            <w:vAlign w:val="center"/>
          </w:tcPr>
          <w:p w14:paraId="4BB31797">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817" w:type="dxa"/>
            <w:noWrap w:val="0"/>
            <w:vAlign w:val="center"/>
          </w:tcPr>
          <w:p w14:paraId="74D99AFB">
            <w:pPr>
              <w:pStyle w:val="68"/>
              <w:jc w:val="center"/>
              <w:rPr>
                <w:rFonts w:hint="default" w:ascii="Times New Roman" w:hAnsi="Times New Roman" w:eastAsia="宋体" w:cs="Times New Roman"/>
                <w:snapToGrid w:val="0"/>
                <w:color w:val="auto"/>
                <w:kern w:val="21"/>
                <w:sz w:val="21"/>
                <w:szCs w:val="21"/>
                <w:lang w:val="en-US" w:eastAsia="zh-CN" w:bidi="ar-SA"/>
              </w:rPr>
            </w:pPr>
            <w:r>
              <w:rPr>
                <w:rFonts w:hint="eastAsia" w:cs="Times New Roman"/>
                <w:color w:val="auto"/>
                <w:sz w:val="21"/>
                <w:szCs w:val="21"/>
                <w:lang w:val="en-US" w:eastAsia="zh-CN"/>
              </w:rPr>
              <w:t>0.004</w:t>
            </w:r>
            <w:r>
              <w:rPr>
                <w:rFonts w:hint="default" w:ascii="Times New Roman" w:hAnsi="Times New Roman" w:eastAsia="宋体" w:cs="Times New Roman"/>
                <w:i w:val="0"/>
                <w:iCs w:val="0"/>
                <w:color w:val="auto"/>
                <w:kern w:val="0"/>
                <w:sz w:val="21"/>
                <w:szCs w:val="21"/>
                <w:u w:val="none"/>
                <w:lang w:val="en-US" w:eastAsia="zh-CN" w:bidi="ar"/>
              </w:rPr>
              <w:t>t/a</w:t>
            </w:r>
          </w:p>
        </w:tc>
        <w:tc>
          <w:tcPr>
            <w:tcW w:w="1080" w:type="dxa"/>
            <w:noWrap w:val="0"/>
            <w:vAlign w:val="center"/>
          </w:tcPr>
          <w:p w14:paraId="5058568A">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r>
      <w:tr w14:paraId="17E625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33" w:type="dxa"/>
            <w:vMerge w:val="continue"/>
            <w:noWrap w:val="0"/>
            <w:vAlign w:val="center"/>
          </w:tcPr>
          <w:p w14:paraId="1EA4F81C">
            <w:pPr>
              <w:pStyle w:val="50"/>
              <w:spacing w:beforeLines="0" w:afterLines="0" w:line="240" w:lineRule="auto"/>
              <w:jc w:val="center"/>
              <w:rPr>
                <w:rFonts w:hint="default" w:ascii="Times New Roman" w:hAnsi="Times New Roman" w:eastAsia="宋体" w:cs="Times New Roman"/>
                <w:snapToGrid w:val="0"/>
                <w:color w:val="auto"/>
                <w:kern w:val="21"/>
                <w:sz w:val="21"/>
                <w:szCs w:val="21"/>
              </w:rPr>
            </w:pPr>
          </w:p>
        </w:tc>
        <w:tc>
          <w:tcPr>
            <w:tcW w:w="1935" w:type="dxa"/>
            <w:noWrap w:val="0"/>
            <w:vAlign w:val="center"/>
          </w:tcPr>
          <w:p w14:paraId="3D11F234">
            <w:pPr>
              <w:spacing w:beforeLines="0" w:afterLines="0" w:line="240" w:lineRule="auto"/>
              <w:jc w:val="center"/>
              <w:rPr>
                <w:rFonts w:hint="default" w:ascii="Times New Roman" w:hAnsi="Times New Roman" w:eastAsia="宋体" w:cs="Times New Roman"/>
                <w:b w:val="0"/>
                <w:bCs w:val="0"/>
                <w:snapToGrid w:val="0"/>
                <w:color w:val="auto"/>
                <w:kern w:val="21"/>
                <w:sz w:val="21"/>
                <w:szCs w:val="21"/>
                <w:lang w:val="en-US" w:eastAsia="zh-CN" w:bidi="ar-SA"/>
              </w:rPr>
            </w:pPr>
            <w:r>
              <w:rPr>
                <w:rFonts w:hint="default" w:ascii="Times New Roman" w:hAnsi="Times New Roman" w:cs="Times New Roman"/>
                <w:b w:val="0"/>
                <w:bCs w:val="0"/>
                <w:color w:val="auto"/>
                <w:sz w:val="21"/>
                <w:szCs w:val="21"/>
                <w:lang w:val="en-US" w:eastAsia="zh-CN"/>
              </w:rPr>
              <w:t>总氮</w:t>
            </w:r>
          </w:p>
        </w:tc>
        <w:tc>
          <w:tcPr>
            <w:tcW w:w="1592" w:type="dxa"/>
            <w:noWrap w:val="0"/>
            <w:vAlign w:val="center"/>
          </w:tcPr>
          <w:p w14:paraId="03294DE6">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263" w:type="dxa"/>
            <w:noWrap w:val="0"/>
            <w:vAlign w:val="center"/>
          </w:tcPr>
          <w:p w14:paraId="7DC390BC">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70" w:type="dxa"/>
            <w:noWrap w:val="0"/>
            <w:vAlign w:val="center"/>
          </w:tcPr>
          <w:p w14:paraId="5DBA9B6D">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650" w:type="dxa"/>
            <w:noWrap w:val="0"/>
            <w:vAlign w:val="center"/>
          </w:tcPr>
          <w:p w14:paraId="6F4CC3BC">
            <w:pPr>
              <w:pStyle w:val="68"/>
              <w:jc w:val="center"/>
              <w:rPr>
                <w:rFonts w:hint="default" w:ascii="Times New Roman" w:hAnsi="Times New Roman" w:eastAsia="宋体" w:cs="Times New Roman"/>
                <w:snapToGrid w:val="0"/>
                <w:color w:val="auto"/>
                <w:kern w:val="21"/>
                <w:sz w:val="21"/>
                <w:szCs w:val="21"/>
                <w:lang w:val="en-US" w:eastAsia="zh-CN" w:bidi="ar-SA"/>
              </w:rPr>
            </w:pPr>
            <w:r>
              <w:rPr>
                <w:rFonts w:hint="eastAsia" w:cs="Times New Roman"/>
                <w:color w:val="auto"/>
                <w:sz w:val="21"/>
                <w:szCs w:val="21"/>
                <w:lang w:val="en-US" w:eastAsia="zh-CN"/>
              </w:rPr>
              <w:t>0.005</w:t>
            </w:r>
            <w:r>
              <w:rPr>
                <w:rFonts w:hint="default" w:ascii="Times New Roman" w:hAnsi="Times New Roman" w:eastAsia="宋体" w:cs="Times New Roman"/>
                <w:i w:val="0"/>
                <w:iCs w:val="0"/>
                <w:color w:val="auto"/>
                <w:kern w:val="0"/>
                <w:sz w:val="21"/>
                <w:szCs w:val="21"/>
                <w:u w:val="none"/>
                <w:lang w:val="en-US" w:eastAsia="zh-CN" w:bidi="ar"/>
              </w:rPr>
              <w:t>t/a</w:t>
            </w:r>
          </w:p>
        </w:tc>
        <w:tc>
          <w:tcPr>
            <w:tcW w:w="1615" w:type="dxa"/>
            <w:noWrap w:val="0"/>
            <w:vAlign w:val="center"/>
          </w:tcPr>
          <w:p w14:paraId="07DFF6AE">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817" w:type="dxa"/>
            <w:noWrap w:val="0"/>
            <w:vAlign w:val="center"/>
          </w:tcPr>
          <w:p w14:paraId="28585027">
            <w:pPr>
              <w:pStyle w:val="68"/>
              <w:jc w:val="center"/>
              <w:rPr>
                <w:rFonts w:hint="default" w:ascii="Times New Roman" w:hAnsi="Times New Roman" w:eastAsia="宋体" w:cs="Times New Roman"/>
                <w:snapToGrid w:val="0"/>
                <w:color w:val="auto"/>
                <w:kern w:val="21"/>
                <w:sz w:val="21"/>
                <w:szCs w:val="21"/>
                <w:lang w:val="en-US" w:eastAsia="zh-CN" w:bidi="ar-SA"/>
              </w:rPr>
            </w:pPr>
            <w:r>
              <w:rPr>
                <w:rFonts w:hint="eastAsia" w:cs="Times New Roman"/>
                <w:color w:val="auto"/>
                <w:sz w:val="21"/>
                <w:szCs w:val="21"/>
                <w:lang w:val="en-US" w:eastAsia="zh-CN"/>
              </w:rPr>
              <w:t>0.005</w:t>
            </w:r>
            <w:r>
              <w:rPr>
                <w:rFonts w:hint="default" w:ascii="Times New Roman" w:hAnsi="Times New Roman" w:eastAsia="宋体" w:cs="Times New Roman"/>
                <w:i w:val="0"/>
                <w:iCs w:val="0"/>
                <w:color w:val="auto"/>
                <w:kern w:val="0"/>
                <w:sz w:val="21"/>
                <w:szCs w:val="21"/>
                <w:u w:val="none"/>
                <w:lang w:val="en-US" w:eastAsia="zh-CN" w:bidi="ar"/>
              </w:rPr>
              <w:t>t/a</w:t>
            </w:r>
          </w:p>
        </w:tc>
        <w:tc>
          <w:tcPr>
            <w:tcW w:w="1080" w:type="dxa"/>
            <w:noWrap w:val="0"/>
            <w:vAlign w:val="center"/>
          </w:tcPr>
          <w:p w14:paraId="2D9A8737">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r>
      <w:tr w14:paraId="3105E9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33" w:type="dxa"/>
            <w:vMerge w:val="continue"/>
            <w:noWrap w:val="0"/>
            <w:vAlign w:val="center"/>
          </w:tcPr>
          <w:p w14:paraId="6E76AF3F">
            <w:pPr>
              <w:pStyle w:val="50"/>
              <w:spacing w:beforeLines="0" w:afterLines="0" w:line="240" w:lineRule="auto"/>
              <w:jc w:val="center"/>
              <w:rPr>
                <w:rFonts w:hint="default" w:ascii="Times New Roman" w:hAnsi="Times New Roman" w:eastAsia="宋体" w:cs="Times New Roman"/>
                <w:snapToGrid w:val="0"/>
                <w:color w:val="auto"/>
                <w:kern w:val="21"/>
                <w:sz w:val="21"/>
                <w:szCs w:val="21"/>
              </w:rPr>
            </w:pPr>
          </w:p>
        </w:tc>
        <w:tc>
          <w:tcPr>
            <w:tcW w:w="1935" w:type="dxa"/>
            <w:noWrap w:val="0"/>
            <w:vAlign w:val="center"/>
          </w:tcPr>
          <w:p w14:paraId="2491DEDA">
            <w:pPr>
              <w:spacing w:beforeLines="0" w:afterLines="0" w:line="240" w:lineRule="auto"/>
              <w:jc w:val="center"/>
              <w:rPr>
                <w:rFonts w:hint="default" w:ascii="Times New Roman" w:hAnsi="Times New Roman" w:eastAsia="宋体" w:cs="Times New Roman"/>
                <w:b w:val="0"/>
                <w:bCs w:val="0"/>
                <w:snapToGrid w:val="0"/>
                <w:color w:val="auto"/>
                <w:kern w:val="21"/>
                <w:sz w:val="21"/>
                <w:szCs w:val="21"/>
                <w:lang w:val="en-US" w:eastAsia="zh-CN" w:bidi="ar-SA"/>
              </w:rPr>
            </w:pPr>
            <w:r>
              <w:rPr>
                <w:rFonts w:hint="default" w:ascii="Times New Roman" w:hAnsi="Times New Roman" w:cs="Times New Roman"/>
                <w:b w:val="0"/>
                <w:bCs w:val="0"/>
                <w:color w:val="auto"/>
                <w:sz w:val="21"/>
                <w:szCs w:val="21"/>
                <w:lang w:val="en-US" w:eastAsia="zh-CN"/>
              </w:rPr>
              <w:t>总磷</w:t>
            </w:r>
          </w:p>
        </w:tc>
        <w:tc>
          <w:tcPr>
            <w:tcW w:w="1592" w:type="dxa"/>
            <w:noWrap w:val="0"/>
            <w:vAlign w:val="center"/>
          </w:tcPr>
          <w:p w14:paraId="6611EA8B">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263" w:type="dxa"/>
            <w:noWrap w:val="0"/>
            <w:vAlign w:val="center"/>
          </w:tcPr>
          <w:p w14:paraId="4A1ECF29">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70" w:type="dxa"/>
            <w:noWrap w:val="0"/>
            <w:vAlign w:val="center"/>
          </w:tcPr>
          <w:p w14:paraId="16F77883">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650" w:type="dxa"/>
            <w:noWrap w:val="0"/>
            <w:vAlign w:val="center"/>
          </w:tcPr>
          <w:p w14:paraId="4F7AC9B0">
            <w:pPr>
              <w:pStyle w:val="68"/>
              <w:jc w:val="center"/>
              <w:rPr>
                <w:rFonts w:hint="default" w:ascii="Times New Roman" w:hAnsi="Times New Roman" w:eastAsia="宋体" w:cs="Times New Roman"/>
                <w:snapToGrid w:val="0"/>
                <w:color w:val="auto"/>
                <w:kern w:val="21"/>
                <w:sz w:val="21"/>
                <w:szCs w:val="21"/>
                <w:lang w:val="en-US" w:eastAsia="zh-CN" w:bidi="ar-SA"/>
              </w:rPr>
            </w:pPr>
            <w:r>
              <w:rPr>
                <w:rFonts w:hint="eastAsia" w:cs="Times New Roman"/>
                <w:color w:val="auto"/>
                <w:sz w:val="21"/>
                <w:szCs w:val="21"/>
                <w:lang w:val="en-US" w:eastAsia="zh-CN"/>
              </w:rPr>
              <w:t>0.0006</w:t>
            </w:r>
            <w:r>
              <w:rPr>
                <w:rFonts w:hint="default" w:ascii="Times New Roman" w:hAnsi="Times New Roman" w:eastAsia="宋体" w:cs="Times New Roman"/>
                <w:i w:val="0"/>
                <w:iCs w:val="0"/>
                <w:color w:val="auto"/>
                <w:kern w:val="0"/>
                <w:sz w:val="21"/>
                <w:szCs w:val="21"/>
                <w:u w:val="none"/>
                <w:lang w:val="en-US" w:eastAsia="zh-CN" w:bidi="ar"/>
              </w:rPr>
              <w:t>t/a</w:t>
            </w:r>
          </w:p>
        </w:tc>
        <w:tc>
          <w:tcPr>
            <w:tcW w:w="1615" w:type="dxa"/>
            <w:noWrap w:val="0"/>
            <w:vAlign w:val="center"/>
          </w:tcPr>
          <w:p w14:paraId="10AC66E0">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817" w:type="dxa"/>
            <w:noWrap w:val="0"/>
            <w:vAlign w:val="center"/>
          </w:tcPr>
          <w:p w14:paraId="1C256544">
            <w:pPr>
              <w:pStyle w:val="68"/>
              <w:jc w:val="center"/>
              <w:rPr>
                <w:rFonts w:hint="default" w:ascii="Times New Roman" w:hAnsi="Times New Roman" w:eastAsia="宋体" w:cs="Times New Roman"/>
                <w:snapToGrid w:val="0"/>
                <w:color w:val="auto"/>
                <w:kern w:val="21"/>
                <w:sz w:val="21"/>
                <w:szCs w:val="21"/>
                <w:lang w:val="en-US" w:eastAsia="zh-CN" w:bidi="ar-SA"/>
              </w:rPr>
            </w:pPr>
            <w:r>
              <w:rPr>
                <w:rFonts w:hint="eastAsia" w:cs="Times New Roman"/>
                <w:color w:val="auto"/>
                <w:sz w:val="21"/>
                <w:szCs w:val="21"/>
                <w:lang w:val="en-US" w:eastAsia="zh-CN"/>
              </w:rPr>
              <w:t>0.0006</w:t>
            </w:r>
            <w:r>
              <w:rPr>
                <w:rFonts w:hint="default" w:ascii="Times New Roman" w:hAnsi="Times New Roman" w:eastAsia="宋体" w:cs="Times New Roman"/>
                <w:i w:val="0"/>
                <w:iCs w:val="0"/>
                <w:color w:val="auto"/>
                <w:kern w:val="0"/>
                <w:sz w:val="21"/>
                <w:szCs w:val="21"/>
                <w:u w:val="none"/>
                <w:lang w:val="en-US" w:eastAsia="zh-CN" w:bidi="ar"/>
              </w:rPr>
              <w:t>t/a</w:t>
            </w:r>
          </w:p>
        </w:tc>
        <w:tc>
          <w:tcPr>
            <w:tcW w:w="1080" w:type="dxa"/>
            <w:noWrap w:val="0"/>
            <w:vAlign w:val="center"/>
          </w:tcPr>
          <w:p w14:paraId="1660B5F8">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r>
      <w:tr w14:paraId="1FD2C2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33" w:type="dxa"/>
            <w:noWrap w:val="0"/>
            <w:vAlign w:val="center"/>
          </w:tcPr>
          <w:p w14:paraId="1A2B798C">
            <w:pPr>
              <w:pStyle w:val="5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生活垃圾</w:t>
            </w:r>
          </w:p>
        </w:tc>
        <w:tc>
          <w:tcPr>
            <w:tcW w:w="1935" w:type="dxa"/>
            <w:noWrap w:val="0"/>
            <w:vAlign w:val="center"/>
          </w:tcPr>
          <w:p w14:paraId="5D173B65">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生活垃圾</w:t>
            </w:r>
          </w:p>
        </w:tc>
        <w:tc>
          <w:tcPr>
            <w:tcW w:w="1592" w:type="dxa"/>
            <w:noWrap w:val="0"/>
            <w:vAlign w:val="center"/>
          </w:tcPr>
          <w:p w14:paraId="53CE51F0">
            <w:pPr>
              <w:spacing w:beforeLines="0" w:afterLines="0" w:line="240" w:lineRule="auto"/>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highlight w:val="none"/>
                <w:lang w:val="en-US" w:eastAsia="zh-CN"/>
              </w:rPr>
              <w:t>/</w:t>
            </w:r>
          </w:p>
        </w:tc>
        <w:tc>
          <w:tcPr>
            <w:tcW w:w="1263" w:type="dxa"/>
            <w:noWrap w:val="0"/>
            <w:vAlign w:val="center"/>
          </w:tcPr>
          <w:p w14:paraId="7791825F">
            <w:pPr>
              <w:spacing w:beforeLines="0" w:afterLines="0" w:line="240" w:lineRule="auto"/>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highlight w:val="none"/>
                <w:lang w:val="en-US" w:eastAsia="zh-CN"/>
              </w:rPr>
              <w:t>/</w:t>
            </w:r>
          </w:p>
        </w:tc>
        <w:tc>
          <w:tcPr>
            <w:tcW w:w="1570" w:type="dxa"/>
            <w:noWrap w:val="0"/>
            <w:vAlign w:val="center"/>
          </w:tcPr>
          <w:p w14:paraId="11B753BE">
            <w:pPr>
              <w:spacing w:beforeLines="0" w:afterLines="0" w:line="240" w:lineRule="auto"/>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highlight w:val="none"/>
                <w:lang w:val="en-US" w:eastAsia="zh-CN"/>
              </w:rPr>
              <w:t>/</w:t>
            </w:r>
          </w:p>
        </w:tc>
        <w:tc>
          <w:tcPr>
            <w:tcW w:w="1650" w:type="dxa"/>
            <w:noWrap w:val="0"/>
            <w:vAlign w:val="center"/>
          </w:tcPr>
          <w:p w14:paraId="16F93DF6">
            <w:pPr>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1.25</w:t>
            </w:r>
            <w:r>
              <w:rPr>
                <w:rFonts w:hint="default" w:ascii="Times New Roman" w:hAnsi="Times New Roman" w:eastAsia="宋体" w:cs="Times New Roman"/>
                <w:i w:val="0"/>
                <w:iCs w:val="0"/>
                <w:color w:val="auto"/>
                <w:kern w:val="0"/>
                <w:sz w:val="21"/>
                <w:szCs w:val="21"/>
                <w:u w:val="none"/>
                <w:lang w:val="en-US" w:eastAsia="zh-CN" w:bidi="ar"/>
              </w:rPr>
              <w:t>t/a</w:t>
            </w:r>
          </w:p>
        </w:tc>
        <w:tc>
          <w:tcPr>
            <w:tcW w:w="1615" w:type="dxa"/>
            <w:noWrap w:val="0"/>
            <w:vAlign w:val="center"/>
          </w:tcPr>
          <w:p w14:paraId="4F9B9F29">
            <w:pPr>
              <w:spacing w:beforeLines="0" w:afterLines="0" w:line="240" w:lineRule="auto"/>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highlight w:val="none"/>
                <w:lang w:val="en-US" w:eastAsia="zh-CN"/>
              </w:rPr>
              <w:t>/</w:t>
            </w:r>
          </w:p>
        </w:tc>
        <w:tc>
          <w:tcPr>
            <w:tcW w:w="1817" w:type="dxa"/>
            <w:noWrap w:val="0"/>
            <w:vAlign w:val="center"/>
          </w:tcPr>
          <w:p w14:paraId="15792350">
            <w:pPr>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1.25</w:t>
            </w:r>
            <w:r>
              <w:rPr>
                <w:rFonts w:hint="default" w:ascii="Times New Roman" w:hAnsi="Times New Roman" w:eastAsia="宋体" w:cs="Times New Roman"/>
                <w:i w:val="0"/>
                <w:iCs w:val="0"/>
                <w:color w:val="auto"/>
                <w:kern w:val="0"/>
                <w:sz w:val="21"/>
                <w:szCs w:val="21"/>
                <w:u w:val="none"/>
                <w:lang w:val="en-US" w:eastAsia="zh-CN" w:bidi="ar"/>
              </w:rPr>
              <w:t>t/a</w:t>
            </w:r>
          </w:p>
        </w:tc>
        <w:tc>
          <w:tcPr>
            <w:tcW w:w="1080" w:type="dxa"/>
            <w:noWrap w:val="0"/>
            <w:vAlign w:val="center"/>
          </w:tcPr>
          <w:p w14:paraId="17FB2597">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r>
      <w:tr w14:paraId="252317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33" w:type="dxa"/>
            <w:vMerge w:val="restart"/>
            <w:noWrap w:val="0"/>
            <w:vAlign w:val="center"/>
          </w:tcPr>
          <w:p w14:paraId="18EE00B8">
            <w:pPr>
              <w:pStyle w:val="50"/>
              <w:spacing w:beforeLines="0" w:afterLines="0" w:line="240" w:lineRule="auto"/>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lang w:eastAsia="zh-CN"/>
              </w:rPr>
              <w:t>一般固废</w:t>
            </w:r>
          </w:p>
        </w:tc>
        <w:tc>
          <w:tcPr>
            <w:tcW w:w="1935" w:type="dxa"/>
            <w:noWrap w:val="0"/>
            <w:vAlign w:val="center"/>
          </w:tcPr>
          <w:p w14:paraId="258A845E">
            <w:pPr>
              <w:pStyle w:val="67"/>
              <w:ind w:left="43" w:leftChars="0" w:right="35"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olor w:val="auto"/>
                <w:sz w:val="21"/>
                <w:szCs w:val="21"/>
                <w:lang w:val="en-US" w:eastAsia="zh-CN"/>
              </w:rPr>
              <w:t>废边角料</w:t>
            </w:r>
          </w:p>
        </w:tc>
        <w:tc>
          <w:tcPr>
            <w:tcW w:w="1592" w:type="dxa"/>
            <w:noWrap w:val="0"/>
            <w:vAlign w:val="center"/>
          </w:tcPr>
          <w:p w14:paraId="04A43A04">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263" w:type="dxa"/>
            <w:noWrap w:val="0"/>
            <w:vAlign w:val="center"/>
          </w:tcPr>
          <w:p w14:paraId="6C727B94">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70" w:type="dxa"/>
            <w:noWrap w:val="0"/>
            <w:vAlign w:val="center"/>
          </w:tcPr>
          <w:p w14:paraId="7514EF2A">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650" w:type="dxa"/>
            <w:noWrap w:val="0"/>
            <w:vAlign w:val="center"/>
          </w:tcPr>
          <w:p w14:paraId="21336EF6">
            <w:pPr>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0.3</w:t>
            </w:r>
            <w:r>
              <w:rPr>
                <w:rFonts w:hint="default" w:ascii="Times New Roman" w:hAnsi="Times New Roman" w:eastAsia="宋体" w:cs="Times New Roman"/>
                <w:i w:val="0"/>
                <w:iCs w:val="0"/>
                <w:color w:val="auto"/>
                <w:kern w:val="0"/>
                <w:sz w:val="21"/>
                <w:szCs w:val="21"/>
                <w:u w:val="none"/>
                <w:lang w:val="en-US" w:eastAsia="zh-CN" w:bidi="ar"/>
              </w:rPr>
              <w:t>t/a</w:t>
            </w:r>
          </w:p>
        </w:tc>
        <w:tc>
          <w:tcPr>
            <w:tcW w:w="1615" w:type="dxa"/>
            <w:noWrap w:val="0"/>
            <w:vAlign w:val="center"/>
          </w:tcPr>
          <w:p w14:paraId="14EE21EE">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817" w:type="dxa"/>
            <w:noWrap w:val="0"/>
            <w:vAlign w:val="center"/>
          </w:tcPr>
          <w:p w14:paraId="48D5B270">
            <w:pPr>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0.3</w:t>
            </w:r>
            <w:r>
              <w:rPr>
                <w:rFonts w:hint="default" w:ascii="Times New Roman" w:hAnsi="Times New Roman" w:eastAsia="宋体" w:cs="Times New Roman"/>
                <w:i w:val="0"/>
                <w:iCs w:val="0"/>
                <w:color w:val="auto"/>
                <w:kern w:val="0"/>
                <w:sz w:val="21"/>
                <w:szCs w:val="21"/>
                <w:u w:val="none"/>
                <w:lang w:val="en-US" w:eastAsia="zh-CN" w:bidi="ar"/>
              </w:rPr>
              <w:t>t/a</w:t>
            </w:r>
          </w:p>
        </w:tc>
        <w:tc>
          <w:tcPr>
            <w:tcW w:w="1080" w:type="dxa"/>
            <w:noWrap w:val="0"/>
            <w:vAlign w:val="center"/>
          </w:tcPr>
          <w:p w14:paraId="0E1C14A4">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r>
      <w:tr w14:paraId="441734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33" w:type="dxa"/>
            <w:vMerge w:val="continue"/>
            <w:noWrap w:val="0"/>
            <w:vAlign w:val="center"/>
          </w:tcPr>
          <w:p w14:paraId="6E86688C">
            <w:pPr>
              <w:pStyle w:val="50"/>
              <w:spacing w:beforeLines="0" w:afterLines="0" w:line="240" w:lineRule="auto"/>
              <w:jc w:val="center"/>
              <w:rPr>
                <w:rFonts w:hint="default" w:ascii="Times New Roman" w:hAnsi="Times New Roman" w:eastAsia="宋体" w:cs="Times New Roman"/>
                <w:snapToGrid w:val="0"/>
                <w:color w:val="auto"/>
                <w:kern w:val="21"/>
                <w:sz w:val="21"/>
                <w:szCs w:val="21"/>
              </w:rPr>
            </w:pPr>
          </w:p>
        </w:tc>
        <w:tc>
          <w:tcPr>
            <w:tcW w:w="1935" w:type="dxa"/>
            <w:noWrap w:val="0"/>
            <w:vAlign w:val="center"/>
          </w:tcPr>
          <w:p w14:paraId="050E09F1">
            <w:pPr>
              <w:pStyle w:val="67"/>
              <w:ind w:right="35" w:rightChars="0"/>
              <w:jc w:val="center"/>
              <w:rPr>
                <w:rFonts w:hint="default" w:ascii="Times New Roman" w:hAnsi="Times New Roman" w:eastAsia="宋体" w:cs="Times New Roman"/>
                <w:color w:val="auto"/>
                <w:kern w:val="0"/>
                <w:sz w:val="21"/>
                <w:szCs w:val="21"/>
                <w:lang w:val="en-US" w:eastAsia="zh-CN" w:bidi="ar-SA"/>
              </w:rPr>
            </w:pPr>
            <w:r>
              <w:rPr>
                <w:rFonts w:ascii="Times New Roman" w:hAnsi="Times New Roman"/>
                <w:color w:val="auto"/>
                <w:sz w:val="21"/>
                <w:szCs w:val="21"/>
              </w:rPr>
              <w:t>废包装材料</w:t>
            </w:r>
            <w:r>
              <w:rPr>
                <w:rFonts w:hint="eastAsia" w:ascii="Times New Roman" w:hAnsi="Times New Roman"/>
                <w:color w:val="auto"/>
                <w:sz w:val="21"/>
                <w:szCs w:val="21"/>
                <w:lang w:eastAsia="zh-CN"/>
              </w:rPr>
              <w:t>、</w:t>
            </w:r>
            <w:r>
              <w:rPr>
                <w:rFonts w:hint="eastAsia" w:ascii="Times New Roman" w:hAnsi="Times New Roman"/>
                <w:color w:val="auto"/>
                <w:sz w:val="21"/>
                <w:szCs w:val="21"/>
                <w:lang w:val="en-US" w:eastAsia="zh-CN"/>
              </w:rPr>
              <w:t>不合格品</w:t>
            </w:r>
          </w:p>
        </w:tc>
        <w:tc>
          <w:tcPr>
            <w:tcW w:w="1592" w:type="dxa"/>
            <w:noWrap w:val="0"/>
            <w:vAlign w:val="center"/>
          </w:tcPr>
          <w:p w14:paraId="546C6D70">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263" w:type="dxa"/>
            <w:noWrap w:val="0"/>
            <w:vAlign w:val="center"/>
          </w:tcPr>
          <w:p w14:paraId="5C1C8986">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70" w:type="dxa"/>
            <w:noWrap w:val="0"/>
            <w:vAlign w:val="center"/>
          </w:tcPr>
          <w:p w14:paraId="27FE3001">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650" w:type="dxa"/>
            <w:noWrap w:val="0"/>
            <w:vAlign w:val="center"/>
          </w:tcPr>
          <w:p w14:paraId="49CE657B">
            <w:pPr>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0.05</w:t>
            </w:r>
            <w:r>
              <w:rPr>
                <w:rFonts w:hint="default" w:ascii="Times New Roman" w:hAnsi="Times New Roman" w:eastAsia="宋体" w:cs="Times New Roman"/>
                <w:i w:val="0"/>
                <w:iCs w:val="0"/>
                <w:color w:val="auto"/>
                <w:kern w:val="0"/>
                <w:sz w:val="21"/>
                <w:szCs w:val="21"/>
                <w:u w:val="none"/>
                <w:lang w:val="en-US" w:eastAsia="zh-CN" w:bidi="ar"/>
              </w:rPr>
              <w:t>t/a</w:t>
            </w:r>
          </w:p>
        </w:tc>
        <w:tc>
          <w:tcPr>
            <w:tcW w:w="1615" w:type="dxa"/>
            <w:noWrap w:val="0"/>
            <w:vAlign w:val="center"/>
          </w:tcPr>
          <w:p w14:paraId="23E172CB">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817" w:type="dxa"/>
            <w:noWrap w:val="0"/>
            <w:vAlign w:val="center"/>
          </w:tcPr>
          <w:p w14:paraId="6C315E56">
            <w:pPr>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0.05</w:t>
            </w:r>
            <w:r>
              <w:rPr>
                <w:rFonts w:hint="default" w:ascii="Times New Roman" w:hAnsi="Times New Roman" w:eastAsia="宋体" w:cs="Times New Roman"/>
                <w:i w:val="0"/>
                <w:iCs w:val="0"/>
                <w:color w:val="auto"/>
                <w:kern w:val="0"/>
                <w:sz w:val="21"/>
                <w:szCs w:val="21"/>
                <w:u w:val="none"/>
                <w:lang w:val="en-US" w:eastAsia="zh-CN" w:bidi="ar"/>
              </w:rPr>
              <w:t>t/a</w:t>
            </w:r>
          </w:p>
        </w:tc>
        <w:tc>
          <w:tcPr>
            <w:tcW w:w="1080" w:type="dxa"/>
            <w:noWrap w:val="0"/>
            <w:vAlign w:val="center"/>
          </w:tcPr>
          <w:p w14:paraId="12D43D74">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r>
      <w:tr w14:paraId="24F7A8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33" w:type="dxa"/>
            <w:vMerge w:val="continue"/>
            <w:noWrap w:val="0"/>
            <w:vAlign w:val="center"/>
          </w:tcPr>
          <w:p w14:paraId="3AA7EF26">
            <w:pPr>
              <w:pStyle w:val="50"/>
              <w:spacing w:beforeLines="0" w:afterLines="0" w:line="240" w:lineRule="auto"/>
              <w:jc w:val="center"/>
              <w:rPr>
                <w:rFonts w:hint="default" w:ascii="Times New Roman" w:hAnsi="Times New Roman" w:eastAsia="宋体" w:cs="Times New Roman"/>
                <w:snapToGrid w:val="0"/>
                <w:color w:val="auto"/>
                <w:kern w:val="21"/>
                <w:sz w:val="21"/>
                <w:szCs w:val="21"/>
              </w:rPr>
            </w:pPr>
          </w:p>
        </w:tc>
        <w:tc>
          <w:tcPr>
            <w:tcW w:w="1935" w:type="dxa"/>
            <w:noWrap w:val="0"/>
            <w:vAlign w:val="center"/>
          </w:tcPr>
          <w:p w14:paraId="74287E11">
            <w:pPr>
              <w:pStyle w:val="67"/>
              <w:ind w:right="35"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olor w:val="auto"/>
                <w:sz w:val="21"/>
                <w:szCs w:val="21"/>
                <w:lang w:val="en-US" w:eastAsia="zh-CN"/>
              </w:rPr>
              <w:t>废反渗透膜</w:t>
            </w:r>
          </w:p>
        </w:tc>
        <w:tc>
          <w:tcPr>
            <w:tcW w:w="1592" w:type="dxa"/>
            <w:noWrap w:val="0"/>
            <w:vAlign w:val="center"/>
          </w:tcPr>
          <w:p w14:paraId="5F7FBBC9">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263" w:type="dxa"/>
            <w:noWrap w:val="0"/>
            <w:vAlign w:val="center"/>
          </w:tcPr>
          <w:p w14:paraId="153D608B">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70" w:type="dxa"/>
            <w:noWrap w:val="0"/>
            <w:vAlign w:val="center"/>
          </w:tcPr>
          <w:p w14:paraId="63A3EDD0">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650" w:type="dxa"/>
            <w:noWrap w:val="0"/>
            <w:vAlign w:val="center"/>
          </w:tcPr>
          <w:p w14:paraId="738BCD57">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0.</w:t>
            </w:r>
            <w:r>
              <w:rPr>
                <w:rFonts w:hint="eastAsia" w:ascii="Times New Roman" w:hAnsi="Times New Roman" w:eastAsia="宋体" w:cs="Times New Roman"/>
                <w:color w:val="auto"/>
                <w:kern w:val="0"/>
                <w:sz w:val="21"/>
                <w:szCs w:val="21"/>
                <w:lang w:val="en-US" w:eastAsia="zh-CN"/>
              </w:rPr>
              <w:t>001</w:t>
            </w:r>
            <w:r>
              <w:rPr>
                <w:rFonts w:hint="default" w:ascii="Times New Roman" w:hAnsi="Times New Roman" w:eastAsia="宋体" w:cs="Times New Roman"/>
                <w:i w:val="0"/>
                <w:iCs w:val="0"/>
                <w:color w:val="auto"/>
                <w:kern w:val="0"/>
                <w:sz w:val="21"/>
                <w:szCs w:val="21"/>
                <w:u w:val="none"/>
                <w:lang w:val="en-US" w:eastAsia="zh-CN" w:bidi="ar"/>
              </w:rPr>
              <w:t>t/a</w:t>
            </w:r>
          </w:p>
        </w:tc>
        <w:tc>
          <w:tcPr>
            <w:tcW w:w="1615" w:type="dxa"/>
            <w:noWrap w:val="0"/>
            <w:vAlign w:val="center"/>
          </w:tcPr>
          <w:p w14:paraId="4393F918">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817" w:type="dxa"/>
            <w:noWrap w:val="0"/>
            <w:vAlign w:val="center"/>
          </w:tcPr>
          <w:p w14:paraId="59A565B4">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0.</w:t>
            </w:r>
            <w:r>
              <w:rPr>
                <w:rFonts w:hint="eastAsia" w:ascii="Times New Roman" w:hAnsi="Times New Roman" w:eastAsia="宋体" w:cs="Times New Roman"/>
                <w:color w:val="auto"/>
                <w:kern w:val="0"/>
                <w:sz w:val="21"/>
                <w:szCs w:val="21"/>
                <w:lang w:val="en-US" w:eastAsia="zh-CN"/>
              </w:rPr>
              <w:t>001</w:t>
            </w:r>
            <w:r>
              <w:rPr>
                <w:rFonts w:hint="default" w:ascii="Times New Roman" w:hAnsi="Times New Roman" w:eastAsia="宋体" w:cs="Times New Roman"/>
                <w:i w:val="0"/>
                <w:iCs w:val="0"/>
                <w:color w:val="auto"/>
                <w:kern w:val="0"/>
                <w:sz w:val="21"/>
                <w:szCs w:val="21"/>
                <w:u w:val="none"/>
                <w:lang w:val="en-US" w:eastAsia="zh-CN" w:bidi="ar"/>
              </w:rPr>
              <w:t>t/a</w:t>
            </w:r>
          </w:p>
        </w:tc>
        <w:tc>
          <w:tcPr>
            <w:tcW w:w="1080" w:type="dxa"/>
            <w:noWrap w:val="0"/>
            <w:vAlign w:val="center"/>
          </w:tcPr>
          <w:p w14:paraId="297770AF">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cs="Times New Roman"/>
                <w:color w:val="auto"/>
                <w:kern w:val="2"/>
                <w:sz w:val="21"/>
                <w:szCs w:val="24"/>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r>
      <w:tr w14:paraId="136617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33" w:type="dxa"/>
            <w:vMerge w:val="restart"/>
            <w:noWrap w:val="0"/>
            <w:vAlign w:val="center"/>
          </w:tcPr>
          <w:p w14:paraId="13A1B62C">
            <w:pPr>
              <w:pStyle w:val="5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危险废物</w:t>
            </w:r>
          </w:p>
        </w:tc>
        <w:tc>
          <w:tcPr>
            <w:tcW w:w="1935" w:type="dxa"/>
            <w:noWrap w:val="0"/>
            <w:vAlign w:val="center"/>
          </w:tcPr>
          <w:p w14:paraId="4D3DDBCC">
            <w:pPr>
              <w:jc w:val="center"/>
              <w:rPr>
                <w:rFonts w:hint="default"/>
                <w:color w:val="auto"/>
                <w:kern w:val="2"/>
                <w:sz w:val="21"/>
                <w:szCs w:val="21"/>
                <w:lang w:val="en-US" w:eastAsia="zh-CN" w:bidi="ar-SA"/>
              </w:rPr>
            </w:pPr>
            <w:r>
              <w:rPr>
                <w:color w:val="auto"/>
                <w:sz w:val="21"/>
                <w:szCs w:val="21"/>
              </w:rPr>
              <w:t>废</w:t>
            </w:r>
            <w:r>
              <w:rPr>
                <w:rFonts w:hint="eastAsia"/>
                <w:color w:val="auto"/>
                <w:sz w:val="21"/>
                <w:szCs w:val="21"/>
              </w:rPr>
              <w:t>活性炭</w:t>
            </w:r>
          </w:p>
        </w:tc>
        <w:tc>
          <w:tcPr>
            <w:tcW w:w="1592" w:type="dxa"/>
            <w:noWrap w:val="0"/>
            <w:vAlign w:val="center"/>
          </w:tcPr>
          <w:p w14:paraId="5BA3BB35">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263" w:type="dxa"/>
            <w:noWrap w:val="0"/>
            <w:vAlign w:val="center"/>
          </w:tcPr>
          <w:p w14:paraId="5495D813">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70" w:type="dxa"/>
            <w:noWrap w:val="0"/>
            <w:vAlign w:val="center"/>
          </w:tcPr>
          <w:p w14:paraId="0C68D2B2">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650" w:type="dxa"/>
            <w:noWrap w:val="0"/>
            <w:vAlign w:val="center"/>
          </w:tcPr>
          <w:p w14:paraId="6B32D1B9">
            <w:pPr>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5.225</w:t>
            </w:r>
            <w:r>
              <w:rPr>
                <w:rFonts w:hint="default" w:ascii="Times New Roman" w:hAnsi="Times New Roman" w:eastAsia="宋体" w:cs="Times New Roman"/>
                <w:i w:val="0"/>
                <w:iCs w:val="0"/>
                <w:color w:val="auto"/>
                <w:kern w:val="0"/>
                <w:sz w:val="21"/>
                <w:szCs w:val="21"/>
                <w:u w:val="none"/>
                <w:lang w:val="en-US" w:eastAsia="zh-CN" w:bidi="ar"/>
              </w:rPr>
              <w:t>/a</w:t>
            </w:r>
          </w:p>
        </w:tc>
        <w:tc>
          <w:tcPr>
            <w:tcW w:w="1615" w:type="dxa"/>
            <w:noWrap w:val="0"/>
            <w:vAlign w:val="center"/>
          </w:tcPr>
          <w:p w14:paraId="17E31180">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817" w:type="dxa"/>
            <w:noWrap w:val="0"/>
            <w:vAlign w:val="center"/>
          </w:tcPr>
          <w:p w14:paraId="74569703">
            <w:pPr>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5.225</w:t>
            </w:r>
            <w:r>
              <w:rPr>
                <w:rFonts w:hint="default" w:ascii="Times New Roman" w:hAnsi="Times New Roman" w:eastAsia="宋体" w:cs="Times New Roman"/>
                <w:i w:val="0"/>
                <w:iCs w:val="0"/>
                <w:color w:val="auto"/>
                <w:kern w:val="0"/>
                <w:sz w:val="21"/>
                <w:szCs w:val="21"/>
                <w:u w:val="none"/>
                <w:lang w:val="en-US" w:eastAsia="zh-CN" w:bidi="ar"/>
              </w:rPr>
              <w:t>t/a</w:t>
            </w:r>
          </w:p>
        </w:tc>
        <w:tc>
          <w:tcPr>
            <w:tcW w:w="1080" w:type="dxa"/>
            <w:noWrap w:val="0"/>
            <w:vAlign w:val="center"/>
          </w:tcPr>
          <w:p w14:paraId="74551057">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r>
      <w:tr w14:paraId="423353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33" w:type="dxa"/>
            <w:vMerge w:val="continue"/>
            <w:noWrap w:val="0"/>
            <w:vAlign w:val="center"/>
          </w:tcPr>
          <w:p w14:paraId="15AD1278">
            <w:pPr>
              <w:pStyle w:val="50"/>
              <w:spacing w:beforeLines="0" w:afterLines="0" w:line="240" w:lineRule="auto"/>
              <w:jc w:val="center"/>
              <w:rPr>
                <w:rFonts w:hint="default" w:ascii="Times New Roman" w:hAnsi="Times New Roman" w:eastAsia="宋体" w:cs="Times New Roman"/>
                <w:snapToGrid w:val="0"/>
                <w:color w:val="auto"/>
                <w:kern w:val="21"/>
                <w:sz w:val="21"/>
                <w:szCs w:val="21"/>
              </w:rPr>
            </w:pPr>
          </w:p>
        </w:tc>
        <w:tc>
          <w:tcPr>
            <w:tcW w:w="1935" w:type="dxa"/>
            <w:noWrap w:val="0"/>
            <w:vAlign w:val="center"/>
          </w:tcPr>
          <w:p w14:paraId="7CB2D770">
            <w:pPr>
              <w:pStyle w:val="67"/>
              <w:ind w:right="35" w:rightChars="0"/>
              <w:jc w:val="center"/>
              <w:rPr>
                <w:rFonts w:hint="default" w:ascii="Times New Roman" w:hAnsi="Times New Roman" w:eastAsia="宋体"/>
                <w:color w:val="auto"/>
                <w:kern w:val="0"/>
                <w:sz w:val="21"/>
                <w:szCs w:val="21"/>
                <w:lang w:val="en-US" w:eastAsia="zh-CN" w:bidi="ar-SA"/>
              </w:rPr>
            </w:pPr>
            <w:r>
              <w:rPr>
                <w:rFonts w:hint="eastAsia" w:ascii="Times New Roman" w:hAnsi="Times New Roman"/>
                <w:color w:val="auto"/>
                <w:sz w:val="21"/>
                <w:szCs w:val="21"/>
                <w:lang w:val="en-US" w:eastAsia="zh-CN"/>
              </w:rPr>
              <w:t>实</w:t>
            </w:r>
            <w:r>
              <w:rPr>
                <w:rFonts w:hint="eastAsia" w:ascii="Times New Roman" w:hAnsi="Times New Roman"/>
                <w:color w:val="auto"/>
                <w:sz w:val="21"/>
                <w:szCs w:val="21"/>
              </w:rPr>
              <w:t>验</w:t>
            </w:r>
            <w:r>
              <w:rPr>
                <w:rFonts w:hint="eastAsia" w:ascii="Times New Roman" w:hAnsi="Times New Roman"/>
                <w:color w:val="auto"/>
                <w:sz w:val="21"/>
                <w:szCs w:val="21"/>
                <w:lang w:val="en-US" w:eastAsia="zh-CN"/>
              </w:rPr>
              <w:t>废液</w:t>
            </w:r>
          </w:p>
        </w:tc>
        <w:tc>
          <w:tcPr>
            <w:tcW w:w="1592" w:type="dxa"/>
            <w:noWrap w:val="0"/>
            <w:vAlign w:val="center"/>
          </w:tcPr>
          <w:p w14:paraId="67023978">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263" w:type="dxa"/>
            <w:noWrap w:val="0"/>
            <w:vAlign w:val="center"/>
          </w:tcPr>
          <w:p w14:paraId="16DE930B">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70" w:type="dxa"/>
            <w:noWrap w:val="0"/>
            <w:vAlign w:val="center"/>
          </w:tcPr>
          <w:p w14:paraId="40D7F70B">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650" w:type="dxa"/>
            <w:noWrap w:val="0"/>
            <w:vAlign w:val="center"/>
          </w:tcPr>
          <w:p w14:paraId="69718D13">
            <w:pPr>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4.59</w:t>
            </w:r>
            <w:r>
              <w:rPr>
                <w:rFonts w:hint="default" w:ascii="Times New Roman" w:hAnsi="Times New Roman" w:eastAsia="宋体" w:cs="Times New Roman"/>
                <w:i w:val="0"/>
                <w:iCs w:val="0"/>
                <w:color w:val="auto"/>
                <w:kern w:val="0"/>
                <w:sz w:val="21"/>
                <w:szCs w:val="21"/>
                <w:u w:val="none"/>
                <w:lang w:val="en-US" w:eastAsia="zh-CN" w:bidi="ar"/>
              </w:rPr>
              <w:t>t/a</w:t>
            </w:r>
          </w:p>
        </w:tc>
        <w:tc>
          <w:tcPr>
            <w:tcW w:w="1615" w:type="dxa"/>
            <w:noWrap w:val="0"/>
            <w:vAlign w:val="center"/>
          </w:tcPr>
          <w:p w14:paraId="5DBB616E">
            <w:pPr>
              <w:spacing w:beforeLines="0" w:afterLines="0" w:line="240" w:lineRule="auto"/>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817" w:type="dxa"/>
            <w:noWrap w:val="0"/>
            <w:vAlign w:val="center"/>
          </w:tcPr>
          <w:p w14:paraId="61F6C33D">
            <w:pPr>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4.59</w:t>
            </w:r>
            <w:r>
              <w:rPr>
                <w:rFonts w:hint="default" w:ascii="Times New Roman" w:hAnsi="Times New Roman" w:eastAsia="宋体" w:cs="Times New Roman"/>
                <w:i w:val="0"/>
                <w:iCs w:val="0"/>
                <w:color w:val="auto"/>
                <w:kern w:val="0"/>
                <w:sz w:val="21"/>
                <w:szCs w:val="21"/>
                <w:u w:val="none"/>
                <w:lang w:val="en-US" w:eastAsia="zh-CN" w:bidi="ar"/>
              </w:rPr>
              <w:t>t/a</w:t>
            </w:r>
          </w:p>
        </w:tc>
        <w:tc>
          <w:tcPr>
            <w:tcW w:w="1080" w:type="dxa"/>
            <w:noWrap w:val="0"/>
            <w:vAlign w:val="center"/>
          </w:tcPr>
          <w:p w14:paraId="1249FD12">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r>
      <w:tr w14:paraId="12F167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33" w:type="dxa"/>
            <w:vMerge w:val="continue"/>
            <w:noWrap w:val="0"/>
            <w:vAlign w:val="center"/>
          </w:tcPr>
          <w:p w14:paraId="51794846">
            <w:pPr>
              <w:pStyle w:val="50"/>
              <w:spacing w:beforeLines="0" w:afterLines="0" w:line="240" w:lineRule="auto"/>
              <w:jc w:val="center"/>
              <w:rPr>
                <w:rFonts w:hint="default" w:ascii="Times New Roman" w:hAnsi="Times New Roman" w:eastAsia="宋体" w:cs="Times New Roman"/>
                <w:snapToGrid w:val="0"/>
                <w:color w:val="auto"/>
                <w:kern w:val="21"/>
                <w:sz w:val="21"/>
                <w:szCs w:val="21"/>
              </w:rPr>
            </w:pPr>
          </w:p>
        </w:tc>
        <w:tc>
          <w:tcPr>
            <w:tcW w:w="1935" w:type="dxa"/>
            <w:noWrap w:val="0"/>
            <w:vAlign w:val="center"/>
          </w:tcPr>
          <w:p w14:paraId="66B034FB">
            <w:pPr>
              <w:pStyle w:val="67"/>
              <w:ind w:right="35" w:rightChars="0"/>
              <w:jc w:val="center"/>
              <w:rPr>
                <w:rFonts w:hint="default" w:ascii="Times New Roman" w:hAnsi="Times New Roman"/>
                <w:color w:val="auto"/>
                <w:kern w:val="0"/>
                <w:sz w:val="21"/>
                <w:szCs w:val="21"/>
                <w:lang w:val="en-US" w:eastAsia="zh-CN" w:bidi="ar-SA"/>
              </w:rPr>
            </w:pPr>
            <w:r>
              <w:rPr>
                <w:rFonts w:hint="eastAsia" w:ascii="Times New Roman" w:hAnsi="Times New Roman"/>
                <w:color w:val="auto"/>
                <w:sz w:val="21"/>
                <w:szCs w:val="21"/>
              </w:rPr>
              <w:t>废试剂瓶</w:t>
            </w:r>
          </w:p>
        </w:tc>
        <w:tc>
          <w:tcPr>
            <w:tcW w:w="1592" w:type="dxa"/>
            <w:noWrap w:val="0"/>
            <w:vAlign w:val="center"/>
          </w:tcPr>
          <w:p w14:paraId="6CABFD6D">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263" w:type="dxa"/>
            <w:noWrap w:val="0"/>
            <w:vAlign w:val="center"/>
          </w:tcPr>
          <w:p w14:paraId="74C5E999">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70" w:type="dxa"/>
            <w:noWrap w:val="0"/>
            <w:vAlign w:val="center"/>
          </w:tcPr>
          <w:p w14:paraId="10E5C4D2">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650" w:type="dxa"/>
            <w:noWrap w:val="0"/>
            <w:vAlign w:val="center"/>
          </w:tcPr>
          <w:p w14:paraId="39F7076C">
            <w:pPr>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0.02</w:t>
            </w:r>
            <w:r>
              <w:rPr>
                <w:rFonts w:hint="default" w:ascii="Times New Roman" w:hAnsi="Times New Roman" w:eastAsia="宋体" w:cs="Times New Roman"/>
                <w:i w:val="0"/>
                <w:iCs w:val="0"/>
                <w:color w:val="auto"/>
                <w:kern w:val="0"/>
                <w:sz w:val="21"/>
                <w:szCs w:val="21"/>
                <w:u w:val="none"/>
                <w:lang w:val="en-US" w:eastAsia="zh-CN" w:bidi="ar"/>
              </w:rPr>
              <w:t>t/a</w:t>
            </w:r>
          </w:p>
        </w:tc>
        <w:tc>
          <w:tcPr>
            <w:tcW w:w="1615" w:type="dxa"/>
            <w:noWrap w:val="0"/>
            <w:vAlign w:val="center"/>
          </w:tcPr>
          <w:p w14:paraId="251F8EEA">
            <w:pPr>
              <w:spacing w:beforeLines="0" w:afterLines="0" w:line="240" w:lineRule="auto"/>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817" w:type="dxa"/>
            <w:noWrap w:val="0"/>
            <w:vAlign w:val="center"/>
          </w:tcPr>
          <w:p w14:paraId="4C152BAB">
            <w:pPr>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0.02</w:t>
            </w:r>
            <w:r>
              <w:rPr>
                <w:rFonts w:hint="default" w:ascii="Times New Roman" w:hAnsi="Times New Roman" w:eastAsia="宋体" w:cs="Times New Roman"/>
                <w:i w:val="0"/>
                <w:iCs w:val="0"/>
                <w:color w:val="auto"/>
                <w:kern w:val="0"/>
                <w:sz w:val="21"/>
                <w:szCs w:val="21"/>
                <w:u w:val="none"/>
                <w:lang w:val="en-US" w:eastAsia="zh-CN" w:bidi="ar"/>
              </w:rPr>
              <w:t>t/a</w:t>
            </w:r>
          </w:p>
        </w:tc>
        <w:tc>
          <w:tcPr>
            <w:tcW w:w="1080" w:type="dxa"/>
            <w:noWrap w:val="0"/>
            <w:vAlign w:val="center"/>
          </w:tcPr>
          <w:p w14:paraId="211B892E">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r>
    </w:tbl>
    <w:p w14:paraId="77AD5006">
      <w:pPr>
        <w:pStyle w:val="50"/>
        <w:spacing w:before="192" w:beforeLines="80" w:after="24" w:line="240" w:lineRule="auto"/>
        <w:jc w:val="left"/>
        <w:rPr>
          <w:rFonts w:hint="default" w:ascii="Times New Roman" w:hAnsi="Times New Roman" w:cs="Times New Roman"/>
          <w:snapToGrid w:val="0"/>
          <w:color w:val="000000"/>
          <w:spacing w:val="-6"/>
          <w:kern w:val="21"/>
          <w:szCs w:val="21"/>
        </w:rPr>
      </w:pPr>
      <w:r>
        <w:rPr>
          <w:rFonts w:hint="default" w:ascii="Times New Roman" w:hAnsi="Times New Roman" w:cs="Times New Roman"/>
          <w:snapToGrid w:val="0"/>
          <w:color w:val="000000"/>
          <w:kern w:val="21"/>
          <w:szCs w:val="21"/>
        </w:rPr>
        <w:t>注：</w:t>
      </w:r>
      <w:r>
        <w:rPr>
          <w:rFonts w:hint="default" w:ascii="Times New Roman" w:hAnsi="Times New Roman" w:cs="Times New Roman"/>
          <w:snapToGrid w:val="0"/>
          <w:color w:val="000000"/>
          <w:spacing w:val="-16"/>
          <w:kern w:val="21"/>
          <w:szCs w:val="21"/>
        </w:rPr>
        <w:fldChar w:fldCharType="begin"/>
      </w:r>
      <w:r>
        <w:rPr>
          <w:rFonts w:hint="default" w:ascii="Times New Roman" w:hAnsi="Times New Roman" w:cs="Times New Roman"/>
          <w:snapToGrid w:val="0"/>
          <w:color w:val="000000"/>
          <w:spacing w:val="-16"/>
          <w:kern w:val="21"/>
          <w:szCs w:val="21"/>
        </w:rPr>
        <w:instrText xml:space="preserve"> = 6 \* GB3 \* MERGEFORMAT </w:instrText>
      </w:r>
      <w:r>
        <w:rPr>
          <w:rFonts w:hint="default" w:ascii="Times New Roman" w:hAnsi="Times New Roman" w:cs="Times New Roman"/>
          <w:snapToGrid w:val="0"/>
          <w:color w:val="000000"/>
          <w:spacing w:val="-16"/>
          <w:kern w:val="21"/>
          <w:szCs w:val="21"/>
        </w:rPr>
        <w:fldChar w:fldCharType="separate"/>
      </w:r>
      <w:r>
        <w:rPr>
          <w:rFonts w:hint="default" w:ascii="Times New Roman" w:hAnsi="Times New Roman" w:cs="Times New Roman"/>
          <w:szCs w:val="21"/>
        </w:rPr>
        <w:t>⑥</w:t>
      </w:r>
      <w:r>
        <w:rPr>
          <w:rFonts w:hint="default" w:ascii="Times New Roman" w:hAnsi="Times New Roman" w:cs="Times New Roman"/>
          <w:snapToGrid w:val="0"/>
          <w:color w:val="000000"/>
          <w:spacing w:val="-16"/>
          <w:kern w:val="21"/>
          <w:szCs w:val="21"/>
        </w:rPr>
        <w:fldChar w:fldCharType="end"/>
      </w:r>
      <w:r>
        <w:rPr>
          <w:rFonts w:hint="default" w:ascii="Times New Roman" w:hAnsi="Times New Roman" w:cs="Times New Roman"/>
          <w:snapToGrid w:val="0"/>
          <w:color w:val="000000"/>
          <w:spacing w:val="-16"/>
          <w:kern w:val="21"/>
          <w:szCs w:val="21"/>
        </w:rPr>
        <w:t>=</w:t>
      </w:r>
      <w:r>
        <w:rPr>
          <w:rFonts w:hint="default" w:ascii="Times New Roman" w:hAnsi="Times New Roman" w:cs="Times New Roman"/>
          <w:snapToGrid w:val="0"/>
          <w:color w:val="000000"/>
          <w:spacing w:val="-6"/>
          <w:kern w:val="21"/>
          <w:szCs w:val="21"/>
        </w:rPr>
        <w:fldChar w:fldCharType="begin"/>
      </w:r>
      <w:r>
        <w:rPr>
          <w:rFonts w:hint="default" w:ascii="Times New Roman" w:hAnsi="Times New Roman" w:cs="Times New Roman"/>
          <w:snapToGrid w:val="0"/>
          <w:color w:val="000000"/>
          <w:spacing w:val="-6"/>
          <w:kern w:val="21"/>
          <w:szCs w:val="21"/>
        </w:rPr>
        <w:instrText xml:space="preserve"> = 1 \* GB3 \* MERGEFORMAT </w:instrText>
      </w:r>
      <w:r>
        <w:rPr>
          <w:rFonts w:hint="default" w:ascii="Times New Roman" w:hAnsi="Times New Roman" w:cs="Times New Roman"/>
          <w:snapToGrid w:val="0"/>
          <w:color w:val="000000"/>
          <w:spacing w:val="-6"/>
          <w:kern w:val="21"/>
          <w:szCs w:val="21"/>
        </w:rPr>
        <w:fldChar w:fldCharType="separate"/>
      </w:r>
      <w:r>
        <w:rPr>
          <w:rFonts w:hint="default" w:ascii="Times New Roman" w:hAnsi="Times New Roman" w:cs="Times New Roman"/>
          <w:szCs w:val="21"/>
        </w:rPr>
        <w:t>①</w:t>
      </w:r>
      <w:r>
        <w:rPr>
          <w:rFonts w:hint="default" w:ascii="Times New Roman" w:hAnsi="Times New Roman" w:cs="Times New Roman"/>
          <w:snapToGrid w:val="0"/>
          <w:color w:val="000000"/>
          <w:spacing w:val="-6"/>
          <w:kern w:val="21"/>
          <w:szCs w:val="21"/>
        </w:rPr>
        <w:fldChar w:fldCharType="end"/>
      </w:r>
      <w:r>
        <w:rPr>
          <w:rFonts w:hint="default" w:ascii="Times New Roman" w:hAnsi="Times New Roman" w:cs="Times New Roman"/>
          <w:snapToGrid w:val="0"/>
          <w:color w:val="000000"/>
          <w:spacing w:val="-6"/>
          <w:kern w:val="21"/>
          <w:szCs w:val="21"/>
        </w:rPr>
        <w:t>+</w:t>
      </w:r>
      <w:r>
        <w:rPr>
          <w:rFonts w:hint="default" w:ascii="Times New Roman" w:hAnsi="Times New Roman" w:cs="Times New Roman"/>
          <w:snapToGrid w:val="0"/>
          <w:color w:val="000000"/>
          <w:spacing w:val="-6"/>
          <w:kern w:val="21"/>
          <w:szCs w:val="21"/>
        </w:rPr>
        <w:fldChar w:fldCharType="begin"/>
      </w:r>
      <w:r>
        <w:rPr>
          <w:rFonts w:hint="default" w:ascii="Times New Roman" w:hAnsi="Times New Roman" w:cs="Times New Roman"/>
          <w:snapToGrid w:val="0"/>
          <w:color w:val="000000"/>
          <w:spacing w:val="-6"/>
          <w:kern w:val="21"/>
          <w:szCs w:val="21"/>
        </w:rPr>
        <w:instrText xml:space="preserve"> = 3 \* GB3 \* MERGEFORMAT </w:instrText>
      </w:r>
      <w:r>
        <w:rPr>
          <w:rFonts w:hint="default" w:ascii="Times New Roman" w:hAnsi="Times New Roman" w:cs="Times New Roman"/>
          <w:snapToGrid w:val="0"/>
          <w:color w:val="000000"/>
          <w:spacing w:val="-6"/>
          <w:kern w:val="21"/>
          <w:szCs w:val="21"/>
        </w:rPr>
        <w:fldChar w:fldCharType="separate"/>
      </w:r>
      <w:r>
        <w:rPr>
          <w:rFonts w:hint="default" w:ascii="Times New Roman" w:hAnsi="Times New Roman" w:cs="Times New Roman"/>
          <w:szCs w:val="21"/>
        </w:rPr>
        <w:t>③</w:t>
      </w:r>
      <w:r>
        <w:rPr>
          <w:rFonts w:hint="default" w:ascii="Times New Roman" w:hAnsi="Times New Roman" w:cs="Times New Roman"/>
          <w:snapToGrid w:val="0"/>
          <w:color w:val="000000"/>
          <w:spacing w:val="-6"/>
          <w:kern w:val="21"/>
          <w:szCs w:val="21"/>
        </w:rPr>
        <w:fldChar w:fldCharType="end"/>
      </w:r>
      <w:r>
        <w:rPr>
          <w:rFonts w:hint="default" w:ascii="Times New Roman" w:hAnsi="Times New Roman" w:cs="Times New Roman"/>
          <w:snapToGrid w:val="0"/>
          <w:color w:val="000000"/>
          <w:spacing w:val="-6"/>
          <w:kern w:val="21"/>
          <w:szCs w:val="21"/>
        </w:rPr>
        <w:t>+</w:t>
      </w:r>
      <w:r>
        <w:rPr>
          <w:rFonts w:hint="default" w:ascii="Times New Roman" w:hAnsi="Times New Roman" w:cs="Times New Roman"/>
          <w:snapToGrid w:val="0"/>
          <w:color w:val="000000"/>
          <w:spacing w:val="-6"/>
          <w:kern w:val="21"/>
          <w:szCs w:val="21"/>
        </w:rPr>
        <w:fldChar w:fldCharType="begin"/>
      </w:r>
      <w:r>
        <w:rPr>
          <w:rFonts w:hint="default" w:ascii="Times New Roman" w:hAnsi="Times New Roman" w:cs="Times New Roman"/>
          <w:snapToGrid w:val="0"/>
          <w:color w:val="000000"/>
          <w:spacing w:val="-6"/>
          <w:kern w:val="21"/>
          <w:szCs w:val="21"/>
        </w:rPr>
        <w:instrText xml:space="preserve"> = 4 \* GB3 \* MERGEFORMAT </w:instrText>
      </w:r>
      <w:r>
        <w:rPr>
          <w:rFonts w:hint="default" w:ascii="Times New Roman" w:hAnsi="Times New Roman" w:cs="Times New Roman"/>
          <w:snapToGrid w:val="0"/>
          <w:color w:val="000000"/>
          <w:spacing w:val="-6"/>
          <w:kern w:val="21"/>
          <w:szCs w:val="21"/>
        </w:rPr>
        <w:fldChar w:fldCharType="separate"/>
      </w:r>
      <w:r>
        <w:rPr>
          <w:rFonts w:hint="default" w:ascii="Times New Roman" w:hAnsi="Times New Roman" w:cs="Times New Roman"/>
          <w:szCs w:val="21"/>
        </w:rPr>
        <w:t>④</w:t>
      </w:r>
      <w:r>
        <w:rPr>
          <w:rFonts w:hint="default" w:ascii="Times New Roman" w:hAnsi="Times New Roman" w:cs="Times New Roman"/>
          <w:snapToGrid w:val="0"/>
          <w:color w:val="000000"/>
          <w:spacing w:val="-6"/>
          <w:kern w:val="21"/>
          <w:szCs w:val="21"/>
        </w:rPr>
        <w:fldChar w:fldCharType="end"/>
      </w:r>
      <w:r>
        <w:rPr>
          <w:rFonts w:hint="default" w:ascii="Times New Roman" w:hAnsi="Times New Roman" w:cs="Times New Roman"/>
          <w:snapToGrid w:val="0"/>
          <w:color w:val="000000"/>
          <w:spacing w:val="-6"/>
          <w:kern w:val="21"/>
          <w:szCs w:val="21"/>
        </w:rPr>
        <w:t>-</w:t>
      </w:r>
      <w:r>
        <w:rPr>
          <w:rFonts w:hint="default" w:ascii="Times New Roman" w:hAnsi="Times New Roman" w:cs="Times New Roman"/>
          <w:snapToGrid w:val="0"/>
          <w:color w:val="000000"/>
          <w:spacing w:val="-16"/>
          <w:kern w:val="21"/>
          <w:szCs w:val="21"/>
        </w:rPr>
        <w:fldChar w:fldCharType="begin"/>
      </w:r>
      <w:r>
        <w:rPr>
          <w:rFonts w:hint="default" w:ascii="Times New Roman" w:hAnsi="Times New Roman" w:cs="Times New Roman"/>
          <w:snapToGrid w:val="0"/>
          <w:color w:val="000000"/>
          <w:spacing w:val="-16"/>
          <w:kern w:val="21"/>
          <w:szCs w:val="21"/>
        </w:rPr>
        <w:instrText xml:space="preserve"> = 5 \* GB3 \* MERGEFORMAT </w:instrText>
      </w:r>
      <w:r>
        <w:rPr>
          <w:rFonts w:hint="default" w:ascii="Times New Roman" w:hAnsi="Times New Roman" w:cs="Times New Roman"/>
          <w:snapToGrid w:val="0"/>
          <w:color w:val="000000"/>
          <w:spacing w:val="-16"/>
          <w:kern w:val="21"/>
          <w:szCs w:val="21"/>
        </w:rPr>
        <w:fldChar w:fldCharType="separate"/>
      </w:r>
      <w:r>
        <w:rPr>
          <w:rFonts w:hint="default" w:ascii="Times New Roman" w:hAnsi="Times New Roman" w:cs="Times New Roman"/>
          <w:szCs w:val="21"/>
        </w:rPr>
        <w:t>⑤</w:t>
      </w:r>
      <w:r>
        <w:rPr>
          <w:rFonts w:hint="default" w:ascii="Times New Roman" w:hAnsi="Times New Roman" w:cs="Times New Roman"/>
          <w:snapToGrid w:val="0"/>
          <w:color w:val="000000"/>
          <w:spacing w:val="-16"/>
          <w:kern w:val="21"/>
          <w:szCs w:val="21"/>
        </w:rPr>
        <w:fldChar w:fldCharType="end"/>
      </w:r>
      <w:r>
        <w:rPr>
          <w:rFonts w:hint="default" w:ascii="Times New Roman" w:hAnsi="Times New Roman" w:cs="Times New Roman"/>
          <w:snapToGrid w:val="0"/>
          <w:color w:val="000000"/>
          <w:spacing w:val="-16"/>
          <w:kern w:val="21"/>
          <w:szCs w:val="21"/>
        </w:rPr>
        <w:t>；</w:t>
      </w:r>
      <w:r>
        <w:rPr>
          <w:rFonts w:hint="default" w:ascii="Times New Roman" w:hAnsi="Times New Roman" w:cs="Times New Roman"/>
          <w:snapToGrid w:val="0"/>
          <w:color w:val="000000"/>
          <w:spacing w:val="-6"/>
          <w:kern w:val="21"/>
          <w:szCs w:val="21"/>
        </w:rPr>
        <w:fldChar w:fldCharType="begin"/>
      </w:r>
      <w:r>
        <w:rPr>
          <w:rFonts w:hint="default" w:ascii="Times New Roman" w:hAnsi="Times New Roman" w:cs="Times New Roman"/>
          <w:snapToGrid w:val="0"/>
          <w:color w:val="000000"/>
          <w:spacing w:val="-6"/>
          <w:kern w:val="21"/>
          <w:szCs w:val="21"/>
        </w:rPr>
        <w:instrText xml:space="preserve"> = 7 \* GB3 \* MERGEFORMAT </w:instrText>
      </w:r>
      <w:r>
        <w:rPr>
          <w:rFonts w:hint="default" w:ascii="Times New Roman" w:hAnsi="Times New Roman" w:cs="Times New Roman"/>
          <w:snapToGrid w:val="0"/>
          <w:color w:val="000000"/>
          <w:spacing w:val="-6"/>
          <w:kern w:val="21"/>
          <w:szCs w:val="21"/>
        </w:rPr>
        <w:fldChar w:fldCharType="separate"/>
      </w:r>
      <w:r>
        <w:rPr>
          <w:rFonts w:hint="default" w:ascii="Times New Roman" w:hAnsi="Times New Roman" w:cs="Times New Roman"/>
          <w:szCs w:val="21"/>
        </w:rPr>
        <w:t>⑦</w:t>
      </w:r>
      <w:r>
        <w:rPr>
          <w:rFonts w:hint="default" w:ascii="Times New Roman" w:hAnsi="Times New Roman" w:cs="Times New Roman"/>
          <w:snapToGrid w:val="0"/>
          <w:color w:val="000000"/>
          <w:spacing w:val="-6"/>
          <w:kern w:val="21"/>
          <w:szCs w:val="21"/>
        </w:rPr>
        <w:fldChar w:fldCharType="end"/>
      </w:r>
      <w:r>
        <w:rPr>
          <w:rFonts w:hint="default" w:ascii="Times New Roman" w:hAnsi="Times New Roman" w:cs="Times New Roman"/>
          <w:snapToGrid w:val="0"/>
          <w:color w:val="000000"/>
          <w:spacing w:val="-6"/>
          <w:kern w:val="21"/>
          <w:szCs w:val="21"/>
        </w:rPr>
        <w:t>=</w:t>
      </w:r>
      <w:r>
        <w:rPr>
          <w:rFonts w:hint="default" w:ascii="Times New Roman" w:hAnsi="Times New Roman" w:cs="Times New Roman"/>
          <w:snapToGrid w:val="0"/>
          <w:color w:val="000000"/>
          <w:spacing w:val="-16"/>
          <w:kern w:val="21"/>
          <w:szCs w:val="21"/>
        </w:rPr>
        <w:fldChar w:fldCharType="begin"/>
      </w:r>
      <w:r>
        <w:rPr>
          <w:rFonts w:hint="default" w:ascii="Times New Roman" w:hAnsi="Times New Roman" w:cs="Times New Roman"/>
          <w:snapToGrid w:val="0"/>
          <w:color w:val="000000"/>
          <w:spacing w:val="-16"/>
          <w:kern w:val="21"/>
          <w:szCs w:val="21"/>
        </w:rPr>
        <w:instrText xml:space="preserve"> = 6 \* GB3 \* MERGEFORMAT </w:instrText>
      </w:r>
      <w:r>
        <w:rPr>
          <w:rFonts w:hint="default" w:ascii="Times New Roman" w:hAnsi="Times New Roman" w:cs="Times New Roman"/>
          <w:snapToGrid w:val="0"/>
          <w:color w:val="000000"/>
          <w:spacing w:val="-16"/>
          <w:kern w:val="21"/>
          <w:szCs w:val="21"/>
        </w:rPr>
        <w:fldChar w:fldCharType="separate"/>
      </w:r>
      <w:r>
        <w:rPr>
          <w:rFonts w:hint="default" w:ascii="Times New Roman" w:hAnsi="Times New Roman" w:cs="Times New Roman"/>
          <w:szCs w:val="21"/>
        </w:rPr>
        <w:t>⑥</w:t>
      </w:r>
      <w:r>
        <w:rPr>
          <w:rFonts w:hint="default" w:ascii="Times New Roman" w:hAnsi="Times New Roman" w:cs="Times New Roman"/>
          <w:snapToGrid w:val="0"/>
          <w:color w:val="000000"/>
          <w:spacing w:val="-16"/>
          <w:kern w:val="21"/>
          <w:szCs w:val="21"/>
        </w:rPr>
        <w:fldChar w:fldCharType="end"/>
      </w:r>
      <w:r>
        <w:rPr>
          <w:rFonts w:hint="default" w:ascii="Times New Roman" w:hAnsi="Times New Roman" w:cs="Times New Roman"/>
          <w:snapToGrid w:val="0"/>
          <w:color w:val="000000"/>
          <w:spacing w:val="-16"/>
          <w:kern w:val="21"/>
          <w:szCs w:val="21"/>
        </w:rPr>
        <w:t>-</w:t>
      </w:r>
      <w:r>
        <w:rPr>
          <w:rFonts w:hint="default" w:ascii="Times New Roman" w:hAnsi="Times New Roman" w:cs="Times New Roman"/>
          <w:snapToGrid w:val="0"/>
          <w:color w:val="000000"/>
          <w:spacing w:val="-6"/>
          <w:kern w:val="21"/>
          <w:szCs w:val="21"/>
        </w:rPr>
        <w:fldChar w:fldCharType="begin"/>
      </w:r>
      <w:r>
        <w:rPr>
          <w:rFonts w:hint="default" w:ascii="Times New Roman" w:hAnsi="Times New Roman" w:cs="Times New Roman"/>
          <w:snapToGrid w:val="0"/>
          <w:color w:val="000000"/>
          <w:spacing w:val="-6"/>
          <w:kern w:val="21"/>
          <w:szCs w:val="21"/>
        </w:rPr>
        <w:instrText xml:space="preserve"> = 1 \* GB3 \* MERGEFORMAT </w:instrText>
      </w:r>
      <w:r>
        <w:rPr>
          <w:rFonts w:hint="default" w:ascii="Times New Roman" w:hAnsi="Times New Roman" w:cs="Times New Roman"/>
          <w:snapToGrid w:val="0"/>
          <w:color w:val="000000"/>
          <w:spacing w:val="-6"/>
          <w:kern w:val="21"/>
          <w:szCs w:val="21"/>
        </w:rPr>
        <w:fldChar w:fldCharType="separate"/>
      </w:r>
      <w:r>
        <w:rPr>
          <w:rFonts w:hint="default" w:ascii="Times New Roman" w:hAnsi="Times New Roman" w:cs="Times New Roman"/>
          <w:szCs w:val="21"/>
        </w:rPr>
        <w:t>①</w:t>
      </w:r>
      <w:r>
        <w:rPr>
          <w:rFonts w:hint="default" w:ascii="Times New Roman" w:hAnsi="Times New Roman" w:cs="Times New Roman"/>
          <w:snapToGrid w:val="0"/>
          <w:color w:val="000000"/>
          <w:spacing w:val="-6"/>
          <w:kern w:val="21"/>
          <w:szCs w:val="21"/>
        </w:rPr>
        <w:fldChar w:fldCharType="end"/>
      </w:r>
    </w:p>
    <w:sectPr>
      <w:footerReference r:id="rId7"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0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auto"/>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02571">
    <w:pPr>
      <w:pStyle w:val="17"/>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258C7">
    <w:pPr>
      <w:pStyle w:val="17"/>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-66675</wp:posOffset>
              </wp:positionV>
              <wp:extent cx="1828800" cy="1828800"/>
              <wp:effectExtent l="0" t="0" r="0" b="0"/>
              <wp:wrapNone/>
              <wp:docPr id="21" name="文本框 20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AAEB557">
                          <w:pPr>
                            <w:pStyle w:val="17"/>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r>
                            <w:rPr>
                              <w:sz w:val="24"/>
                              <w:szCs w:val="24"/>
                            </w:rPr>
                            <w:t xml:space="preserve"> —</w:t>
                          </w:r>
                        </w:p>
                      </w:txbxContent>
                    </wps:txbx>
                    <wps:bodyPr wrap="none" lIns="0" tIns="0" rIns="0" bIns="0" upright="0">
                      <a:spAutoFit/>
                    </wps:bodyPr>
                  </wps:wsp>
                </a:graphicData>
              </a:graphic>
            </wp:anchor>
          </w:drawing>
        </mc:Choice>
        <mc:Fallback>
          <w:pict>
            <v:shape id="文本框 2056" o:spid="_x0000_s1026" o:spt="202" type="#_x0000_t202" style="position:absolute;left:0pt;margin-top:-5.25pt;height:144pt;width:144pt;mso-position-horizontal:outside;mso-position-horizontal-relative:margin;mso-wrap-style:none;z-index:251661312;mso-width-relative:page;mso-height-relative:page;" filled="f" stroked="f" coordsize="21600,21600" o:gfxdata="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pCpNL9QAAAAIAQAADwAAAAAAAAABACAAAAAiAAAAZHJzL2Rv&#10;d25yZXYueG1sUEsBAhQAFAAAAAgAh07iQLHRRonMAQAAnQMAAA4AAAAAAAAAAQAgAAAAIwEAAGRy&#10;cy9lMm9Eb2MueG1sUEsFBgAAAAAGAAYAWQEAAGEFAAAAAA==&#10;">
              <v:fill on="f" focussize="0,0"/>
              <v:stroke on="f"/>
              <v:imagedata o:title=""/>
              <o:lock v:ext="edit" aspectratio="f"/>
              <v:textbox inset="0mm,0mm,0mm,0mm" style="mso-fit-shape-to-text:t;">
                <w:txbxContent>
                  <w:p w14:paraId="1AAEB557">
                    <w:pPr>
                      <w:pStyle w:val="17"/>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r>
                      <w:rPr>
                        <w:sz w:val="24"/>
                        <w:szCs w:val="24"/>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81273">
    <w:pPr>
      <w:pStyle w:val="17"/>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-66675</wp:posOffset>
              </wp:positionV>
              <wp:extent cx="1828800" cy="1828800"/>
              <wp:effectExtent l="0" t="0" r="0" b="0"/>
              <wp:wrapNone/>
              <wp:docPr id="19" name="文本框 20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3C961F">
                          <w:pPr>
                            <w:pStyle w:val="17"/>
                          </w:pPr>
                          <w: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14</w:t>
                          </w:r>
                          <w:r>
                            <w:rPr>
                              <w:sz w:val="24"/>
                              <w:szCs w:val="24"/>
                            </w:rPr>
                            <w:fldChar w:fldCharType="end"/>
                          </w:r>
                          <w:r>
                            <w:t xml:space="preserve"> —</w:t>
                          </w:r>
                        </w:p>
                      </w:txbxContent>
                    </wps:txbx>
                    <wps:bodyPr wrap="none" lIns="0" tIns="0" rIns="0" bIns="0" upright="0">
                      <a:spAutoFit/>
                    </wps:bodyPr>
                  </wps:wsp>
                </a:graphicData>
              </a:graphic>
            </wp:anchor>
          </w:drawing>
        </mc:Choice>
        <mc:Fallback>
          <w:pict>
            <v:shape id="文本框 2057" o:spid="_x0000_s1026" o:spt="202" type="#_x0000_t202" style="position:absolute;left:0pt;margin-top:-5.25pt;height:144pt;width:144pt;mso-position-horizontal:outside;mso-position-horizontal-relative:margin;mso-wrap-style:none;z-index:251659264;mso-width-relative:page;mso-height-relative:page;" filled="f" stroked="f" coordsize="21600,21600" o:gfxdata="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kKk0v1AAAAAgBAAAPAAAAAAAAAAEAIAAAACIAAABkcnMvZG93&#10;bnJldi54bWxQSwECFAAUAAAACACHTuJAv7Qs6MsBAACdAwAADgAAAAAAAAABACAAAAAjAQAAZHJz&#10;L2Uyb0RvYy54bWxQSwUGAAAAAAYABgBZAQAAYAUAAAAA&#10;">
              <v:fill on="f" focussize="0,0"/>
              <v:stroke on="f"/>
              <v:imagedata o:title=""/>
              <o:lock v:ext="edit" aspectratio="f"/>
              <v:textbox inset="0mm,0mm,0mm,0mm" style="mso-fit-shape-to-text:t;">
                <w:txbxContent>
                  <w:p w14:paraId="7E3C961F">
                    <w:pPr>
                      <w:pStyle w:val="17"/>
                    </w:pPr>
                    <w: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14</w:t>
                    </w:r>
                    <w:r>
                      <w:rPr>
                        <w:sz w:val="24"/>
                        <w:szCs w:val="24"/>
                      </w:rPr>
                      <w:fldChar w:fldCharType="end"/>
                    </w:r>
                    <w: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EAC8F">
    <w:pPr>
      <w:pStyle w:val="17"/>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-66675</wp:posOffset>
              </wp:positionV>
              <wp:extent cx="1828800" cy="1828800"/>
              <wp:effectExtent l="0" t="0" r="0" b="0"/>
              <wp:wrapNone/>
              <wp:docPr id="20" name="文本框 20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9F5D65C">
                          <w:pPr>
                            <w:pStyle w:val="17"/>
                          </w:pPr>
                          <w: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53</w:t>
                          </w:r>
                          <w:r>
                            <w:rPr>
                              <w:sz w:val="24"/>
                              <w:szCs w:val="24"/>
                            </w:rPr>
                            <w:fldChar w:fldCharType="end"/>
                          </w:r>
                          <w:r>
                            <w:t xml:space="preserve"> —</w:t>
                          </w:r>
                        </w:p>
                      </w:txbxContent>
                    </wps:txbx>
                    <wps:bodyPr wrap="none" lIns="0" tIns="0" rIns="0" bIns="0" upright="0">
                      <a:spAutoFit/>
                    </wps:bodyPr>
                  </wps:wsp>
                </a:graphicData>
              </a:graphic>
            </wp:anchor>
          </w:drawing>
        </mc:Choice>
        <mc:Fallback>
          <w:pict>
            <v:shape id="文本框 2059" o:spid="_x0000_s1026" o:spt="202" type="#_x0000_t202" style="position:absolute;left:0pt;margin-top:-5.25pt;height:144pt;width:144pt;mso-position-horizontal:outside;mso-position-horizontal-relative:margin;mso-wrap-style:none;z-index:251660288;mso-width-relative:page;mso-height-relative:page;" filled="f" stroked="f" coordsize="21600,21600" o:gfxdata="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kKk0v1AAAAAgBAAAPAAAAAAAAAAEAIAAAACIAAABkcnMvZG93&#10;bnJldi54bWxQSwECFAAUAAAACACHTuJAdWqsvssBAACdAwAADgAAAAAAAAABACAAAAAjAQAAZHJz&#10;L2Uyb0RvYy54bWxQSwUGAAAAAAYABgBZAQAAYAUAAAAA&#10;">
              <v:fill on="f" focussize="0,0"/>
              <v:stroke on="f"/>
              <v:imagedata o:title=""/>
              <o:lock v:ext="edit" aspectratio="f"/>
              <v:textbox inset="0mm,0mm,0mm,0mm" style="mso-fit-shape-to-text:t;">
                <w:txbxContent>
                  <w:p w14:paraId="79F5D65C">
                    <w:pPr>
                      <w:pStyle w:val="17"/>
                    </w:pPr>
                    <w: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53</w:t>
                    </w:r>
                    <w:r>
                      <w:rPr>
                        <w:sz w:val="24"/>
                        <w:szCs w:val="24"/>
                      </w:rPr>
                      <w:fldChar w:fldCharType="end"/>
                    </w: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87FA8">
    <w:pPr>
      <w:pStyle w:val="18"/>
      <w:pBdr>
        <w:bottom w:val="none" w:color="auto" w:sz="0" w:space="1"/>
      </w:pBdr>
      <w:tabs>
        <w:tab w:val="left" w:pos="3549"/>
      </w:tabs>
      <w:jc w:val="left"/>
      <w:rPr>
        <w:rFonts w:hint="eastAsia" w:eastAsia="宋体"/>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F3D79F"/>
    <w:multiLevelType w:val="singleLevel"/>
    <w:tmpl w:val="85F3D79F"/>
    <w:lvl w:ilvl="0" w:tentative="0">
      <w:start w:val="1"/>
      <w:numFmt w:val="decimal"/>
      <w:suff w:val="nothing"/>
      <w:lvlText w:val="%1、"/>
      <w:lvlJc w:val="left"/>
      <w:rPr>
        <w:rFonts w:hint="default"/>
        <w:b/>
        <w:bCs/>
        <w:sz w:val="24"/>
        <w:szCs w:val="24"/>
      </w:rPr>
    </w:lvl>
  </w:abstractNum>
  <w:abstractNum w:abstractNumId="1">
    <w:nsid w:val="8D8C0BAE"/>
    <w:multiLevelType w:val="singleLevel"/>
    <w:tmpl w:val="8D8C0BAE"/>
    <w:lvl w:ilvl="0" w:tentative="0">
      <w:start w:val="1"/>
      <w:numFmt w:val="decimal"/>
      <w:suff w:val="nothing"/>
      <w:lvlText w:val="（%1）"/>
      <w:lvlJc w:val="left"/>
    </w:lvl>
  </w:abstractNum>
  <w:abstractNum w:abstractNumId="2">
    <w:nsid w:val="8F781073"/>
    <w:multiLevelType w:val="singleLevel"/>
    <w:tmpl w:val="8F781073"/>
    <w:lvl w:ilvl="0" w:tentative="0">
      <w:start w:val="1"/>
      <w:numFmt w:val="decimal"/>
      <w:suff w:val="nothing"/>
      <w:lvlText w:val="%1、"/>
      <w:lvlJc w:val="left"/>
    </w:lvl>
  </w:abstractNum>
  <w:abstractNum w:abstractNumId="3">
    <w:nsid w:val="8FCBE114"/>
    <w:multiLevelType w:val="singleLevel"/>
    <w:tmpl w:val="8FCBE114"/>
    <w:lvl w:ilvl="0" w:tentative="0">
      <w:start w:val="2"/>
      <w:numFmt w:val="decimal"/>
      <w:suff w:val="nothing"/>
      <w:lvlText w:val="%1、"/>
      <w:lvlJc w:val="left"/>
    </w:lvl>
  </w:abstractNum>
  <w:abstractNum w:abstractNumId="4">
    <w:nsid w:val="E856A5CA"/>
    <w:multiLevelType w:val="singleLevel"/>
    <w:tmpl w:val="E856A5CA"/>
    <w:lvl w:ilvl="0" w:tentative="0">
      <w:start w:val="1"/>
      <w:numFmt w:val="decimal"/>
      <w:suff w:val="nothing"/>
      <w:lvlText w:val="%1、"/>
      <w:lvlJc w:val="left"/>
    </w:lvl>
  </w:abstractNum>
  <w:abstractNum w:abstractNumId="5">
    <w:nsid w:val="ED6DC219"/>
    <w:multiLevelType w:val="singleLevel"/>
    <w:tmpl w:val="ED6DC219"/>
    <w:lvl w:ilvl="0" w:tentative="0">
      <w:start w:val="2"/>
      <w:numFmt w:val="decimal"/>
      <w:suff w:val="nothing"/>
      <w:lvlText w:val="（%1）"/>
      <w:lvlJc w:val="left"/>
    </w:lvl>
  </w:abstractNum>
  <w:abstractNum w:abstractNumId="6">
    <w:nsid w:val="0883B4BB"/>
    <w:multiLevelType w:val="singleLevel"/>
    <w:tmpl w:val="0883B4BB"/>
    <w:lvl w:ilvl="0" w:tentative="0">
      <w:start w:val="1"/>
      <w:numFmt w:val="decimal"/>
      <w:suff w:val="nothing"/>
      <w:lvlText w:val="%1、"/>
      <w:lvlJc w:val="left"/>
    </w:lvl>
  </w:abstractNum>
  <w:abstractNum w:abstractNumId="7">
    <w:nsid w:val="0FF0CA02"/>
    <w:multiLevelType w:val="singleLevel"/>
    <w:tmpl w:val="0FF0CA02"/>
    <w:lvl w:ilvl="0" w:tentative="0">
      <w:start w:val="3"/>
      <w:numFmt w:val="decimal"/>
      <w:suff w:val="nothing"/>
      <w:lvlText w:val="%1）"/>
      <w:lvlJc w:val="left"/>
    </w:lvl>
  </w:abstractNum>
  <w:abstractNum w:abstractNumId="8">
    <w:nsid w:val="23DD8F79"/>
    <w:multiLevelType w:val="multilevel"/>
    <w:tmpl w:val="23DD8F79"/>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9">
    <w:nsid w:val="5F7F262A"/>
    <w:multiLevelType w:val="singleLevel"/>
    <w:tmpl w:val="5F7F262A"/>
    <w:lvl w:ilvl="0" w:tentative="0">
      <w:start w:val="1"/>
      <w:numFmt w:val="decimal"/>
      <w:suff w:val="nothing"/>
      <w:lvlText w:val="%1、"/>
      <w:lvlJc w:val="left"/>
      <w:rPr>
        <w:rFonts w:hint="default"/>
        <w:b/>
        <w:bCs/>
      </w:rPr>
    </w:lvl>
  </w:abstractNum>
  <w:abstractNum w:abstractNumId="10">
    <w:nsid w:val="699CE215"/>
    <w:multiLevelType w:val="singleLevel"/>
    <w:tmpl w:val="699CE215"/>
    <w:lvl w:ilvl="0" w:tentative="0">
      <w:start w:val="2"/>
      <w:numFmt w:val="chineseCounting"/>
      <w:suff w:val="nothing"/>
      <w:lvlText w:val="%1、"/>
      <w:lvlJc w:val="left"/>
      <w:rPr>
        <w:rFonts w:hint="eastAsia"/>
      </w:rPr>
    </w:lvl>
  </w:abstractNum>
  <w:abstractNum w:abstractNumId="11">
    <w:nsid w:val="79236B49"/>
    <w:multiLevelType w:val="singleLevel"/>
    <w:tmpl w:val="79236B49"/>
    <w:lvl w:ilvl="0" w:tentative="0">
      <w:start w:val="1"/>
      <w:numFmt w:val="decimal"/>
      <w:pStyle w:val="65"/>
      <w:suff w:val="nothing"/>
      <w:lvlText w:val="%1）"/>
      <w:lvlJc w:val="left"/>
    </w:lvl>
  </w:abstractNum>
  <w:num w:numId="1">
    <w:abstractNumId w:val="11"/>
  </w:num>
  <w:num w:numId="2">
    <w:abstractNumId w:val="3"/>
  </w:num>
  <w:num w:numId="3">
    <w:abstractNumId w:val="5"/>
  </w:num>
  <w:num w:numId="4">
    <w:abstractNumId w:val="10"/>
  </w:num>
  <w:num w:numId="5">
    <w:abstractNumId w:val="6"/>
  </w:num>
  <w:num w:numId="6">
    <w:abstractNumId w:val="0"/>
  </w:num>
  <w:num w:numId="7">
    <w:abstractNumId w:val="2"/>
  </w:num>
  <w:num w:numId="8">
    <w:abstractNumId w:val="4"/>
  </w:num>
  <w:num w:numId="9">
    <w:abstractNumId w:val="9"/>
  </w:num>
  <w:num w:numId="10">
    <w:abstractNumId w:val="8"/>
  </w:num>
  <w:num w:numId="11">
    <w:abstractNumId w:val="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0329"/>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044493"/>
    <w:rsid w:val="01290F7E"/>
    <w:rsid w:val="015D1E09"/>
    <w:rsid w:val="02112A50"/>
    <w:rsid w:val="02697903"/>
    <w:rsid w:val="02C44777"/>
    <w:rsid w:val="02F96569"/>
    <w:rsid w:val="03D251BA"/>
    <w:rsid w:val="03EA7B21"/>
    <w:rsid w:val="04C27AFC"/>
    <w:rsid w:val="05F83EAE"/>
    <w:rsid w:val="05FE78D8"/>
    <w:rsid w:val="062956B3"/>
    <w:rsid w:val="063E7D85"/>
    <w:rsid w:val="07293586"/>
    <w:rsid w:val="07295285"/>
    <w:rsid w:val="07636392"/>
    <w:rsid w:val="076E3F95"/>
    <w:rsid w:val="07741A77"/>
    <w:rsid w:val="07770C56"/>
    <w:rsid w:val="08AC2CF4"/>
    <w:rsid w:val="08F024B8"/>
    <w:rsid w:val="092217DD"/>
    <w:rsid w:val="093A7294"/>
    <w:rsid w:val="0A1263F7"/>
    <w:rsid w:val="0A263993"/>
    <w:rsid w:val="0A2D3AC2"/>
    <w:rsid w:val="0A466847"/>
    <w:rsid w:val="0AA572D2"/>
    <w:rsid w:val="0AA755DF"/>
    <w:rsid w:val="0B120D44"/>
    <w:rsid w:val="0BC52C35"/>
    <w:rsid w:val="0BD27BF6"/>
    <w:rsid w:val="0C3B3C7D"/>
    <w:rsid w:val="0C5D1A7E"/>
    <w:rsid w:val="0CAB2EAE"/>
    <w:rsid w:val="0D621C7D"/>
    <w:rsid w:val="0E73034D"/>
    <w:rsid w:val="0E7A1A23"/>
    <w:rsid w:val="0F13775A"/>
    <w:rsid w:val="0F5F45FE"/>
    <w:rsid w:val="0F9A112B"/>
    <w:rsid w:val="0FFC6EDD"/>
    <w:rsid w:val="10385E92"/>
    <w:rsid w:val="106D2F64"/>
    <w:rsid w:val="10B63710"/>
    <w:rsid w:val="10F10820"/>
    <w:rsid w:val="111C2F7A"/>
    <w:rsid w:val="115608DE"/>
    <w:rsid w:val="11665CA1"/>
    <w:rsid w:val="11DD2FF2"/>
    <w:rsid w:val="12687383"/>
    <w:rsid w:val="13951726"/>
    <w:rsid w:val="13C609E5"/>
    <w:rsid w:val="14396509"/>
    <w:rsid w:val="144205B9"/>
    <w:rsid w:val="14DD2C3C"/>
    <w:rsid w:val="15A801B2"/>
    <w:rsid w:val="16087E1D"/>
    <w:rsid w:val="16A40B0F"/>
    <w:rsid w:val="17701D14"/>
    <w:rsid w:val="1771313C"/>
    <w:rsid w:val="17735226"/>
    <w:rsid w:val="189F624C"/>
    <w:rsid w:val="18CA2697"/>
    <w:rsid w:val="19094ED0"/>
    <w:rsid w:val="193E101D"/>
    <w:rsid w:val="1A1C66C0"/>
    <w:rsid w:val="1A42393B"/>
    <w:rsid w:val="1AAD45DE"/>
    <w:rsid w:val="1B046F80"/>
    <w:rsid w:val="1B3267B5"/>
    <w:rsid w:val="1B40161D"/>
    <w:rsid w:val="1B441859"/>
    <w:rsid w:val="1B6606B1"/>
    <w:rsid w:val="1C5E7925"/>
    <w:rsid w:val="1CFD070F"/>
    <w:rsid w:val="1D087B12"/>
    <w:rsid w:val="1D5F6196"/>
    <w:rsid w:val="1D6132A5"/>
    <w:rsid w:val="1D8E56D5"/>
    <w:rsid w:val="1E7A43DA"/>
    <w:rsid w:val="1E8E20FF"/>
    <w:rsid w:val="1F5A6485"/>
    <w:rsid w:val="1FE7539E"/>
    <w:rsid w:val="20671BE0"/>
    <w:rsid w:val="20963CB8"/>
    <w:rsid w:val="20A81A1B"/>
    <w:rsid w:val="20B07FB6"/>
    <w:rsid w:val="20B646FB"/>
    <w:rsid w:val="20C53DD2"/>
    <w:rsid w:val="20E92118"/>
    <w:rsid w:val="213B74B1"/>
    <w:rsid w:val="214B4D76"/>
    <w:rsid w:val="215A2310"/>
    <w:rsid w:val="21AD1097"/>
    <w:rsid w:val="21DE318A"/>
    <w:rsid w:val="21EF5B80"/>
    <w:rsid w:val="22576990"/>
    <w:rsid w:val="22B86397"/>
    <w:rsid w:val="22F47480"/>
    <w:rsid w:val="2398757C"/>
    <w:rsid w:val="23DE1C48"/>
    <w:rsid w:val="240210CD"/>
    <w:rsid w:val="24BF09F7"/>
    <w:rsid w:val="24C81E96"/>
    <w:rsid w:val="252D53FE"/>
    <w:rsid w:val="25EC2D81"/>
    <w:rsid w:val="27207FB4"/>
    <w:rsid w:val="277057A2"/>
    <w:rsid w:val="27C01295"/>
    <w:rsid w:val="288F1208"/>
    <w:rsid w:val="28902F18"/>
    <w:rsid w:val="289A4CFE"/>
    <w:rsid w:val="28A17F82"/>
    <w:rsid w:val="28E026ED"/>
    <w:rsid w:val="28EC0C04"/>
    <w:rsid w:val="29206EB8"/>
    <w:rsid w:val="29595666"/>
    <w:rsid w:val="29874881"/>
    <w:rsid w:val="29E325E0"/>
    <w:rsid w:val="2A44651A"/>
    <w:rsid w:val="2A452503"/>
    <w:rsid w:val="2BA431F1"/>
    <w:rsid w:val="2BA936A8"/>
    <w:rsid w:val="2C315A5A"/>
    <w:rsid w:val="2C4B1C25"/>
    <w:rsid w:val="2C882884"/>
    <w:rsid w:val="2CBB2DEC"/>
    <w:rsid w:val="2D9E56F5"/>
    <w:rsid w:val="2E667F96"/>
    <w:rsid w:val="2E8226AB"/>
    <w:rsid w:val="2F7B3E20"/>
    <w:rsid w:val="2FD065E6"/>
    <w:rsid w:val="2FD96870"/>
    <w:rsid w:val="30580BC9"/>
    <w:rsid w:val="30C92D58"/>
    <w:rsid w:val="30FC63F6"/>
    <w:rsid w:val="311E2ED7"/>
    <w:rsid w:val="315619EE"/>
    <w:rsid w:val="315C449C"/>
    <w:rsid w:val="31925DC8"/>
    <w:rsid w:val="31B82709"/>
    <w:rsid w:val="31D05482"/>
    <w:rsid w:val="32400B34"/>
    <w:rsid w:val="328B314E"/>
    <w:rsid w:val="32932E46"/>
    <w:rsid w:val="329B61B8"/>
    <w:rsid w:val="329E6876"/>
    <w:rsid w:val="32EB3E09"/>
    <w:rsid w:val="333015F2"/>
    <w:rsid w:val="334B6320"/>
    <w:rsid w:val="33CA5940"/>
    <w:rsid w:val="33D934D4"/>
    <w:rsid w:val="33FE2F6A"/>
    <w:rsid w:val="340E07E5"/>
    <w:rsid w:val="34235BF7"/>
    <w:rsid w:val="34732160"/>
    <w:rsid w:val="358C5FA8"/>
    <w:rsid w:val="35C15DF1"/>
    <w:rsid w:val="36074A7F"/>
    <w:rsid w:val="366C1EFC"/>
    <w:rsid w:val="36923549"/>
    <w:rsid w:val="36B75FBF"/>
    <w:rsid w:val="36BD0C45"/>
    <w:rsid w:val="37822CAD"/>
    <w:rsid w:val="37E00298"/>
    <w:rsid w:val="38B302F9"/>
    <w:rsid w:val="38DD575A"/>
    <w:rsid w:val="38F12CD3"/>
    <w:rsid w:val="38F94775"/>
    <w:rsid w:val="392971ED"/>
    <w:rsid w:val="39325651"/>
    <w:rsid w:val="3A60099C"/>
    <w:rsid w:val="3A872856"/>
    <w:rsid w:val="3B3763D1"/>
    <w:rsid w:val="3B750477"/>
    <w:rsid w:val="3C2F6E1E"/>
    <w:rsid w:val="3C4F64BA"/>
    <w:rsid w:val="3CDA245A"/>
    <w:rsid w:val="3D1E06B7"/>
    <w:rsid w:val="3EDA0523"/>
    <w:rsid w:val="407A6407"/>
    <w:rsid w:val="40C543BA"/>
    <w:rsid w:val="4181579E"/>
    <w:rsid w:val="4200449D"/>
    <w:rsid w:val="423A3BCC"/>
    <w:rsid w:val="424E57D2"/>
    <w:rsid w:val="42B26C49"/>
    <w:rsid w:val="42CF15C4"/>
    <w:rsid w:val="4337061D"/>
    <w:rsid w:val="433A6FE6"/>
    <w:rsid w:val="43480868"/>
    <w:rsid w:val="4350713C"/>
    <w:rsid w:val="436653E0"/>
    <w:rsid w:val="43C4431A"/>
    <w:rsid w:val="446D0C6B"/>
    <w:rsid w:val="44B951CC"/>
    <w:rsid w:val="44CD14E0"/>
    <w:rsid w:val="44F20B0B"/>
    <w:rsid w:val="45171053"/>
    <w:rsid w:val="452E5F4C"/>
    <w:rsid w:val="45612018"/>
    <w:rsid w:val="456C2177"/>
    <w:rsid w:val="458946E9"/>
    <w:rsid w:val="45A47C0E"/>
    <w:rsid w:val="46577FD6"/>
    <w:rsid w:val="4694372B"/>
    <w:rsid w:val="46D67AFD"/>
    <w:rsid w:val="46D955A7"/>
    <w:rsid w:val="47133957"/>
    <w:rsid w:val="47A07E0C"/>
    <w:rsid w:val="47F838C9"/>
    <w:rsid w:val="4870272E"/>
    <w:rsid w:val="489B61CE"/>
    <w:rsid w:val="48B13B07"/>
    <w:rsid w:val="49DC7715"/>
    <w:rsid w:val="4A023139"/>
    <w:rsid w:val="4A7B576F"/>
    <w:rsid w:val="4AF561A9"/>
    <w:rsid w:val="4B241572"/>
    <w:rsid w:val="4C1C66ED"/>
    <w:rsid w:val="4C4A0649"/>
    <w:rsid w:val="4C7E5ECA"/>
    <w:rsid w:val="4C876AA5"/>
    <w:rsid w:val="4CF87F48"/>
    <w:rsid w:val="4D0E00FB"/>
    <w:rsid w:val="4D176606"/>
    <w:rsid w:val="4DEC4FB0"/>
    <w:rsid w:val="4E075D8A"/>
    <w:rsid w:val="4EC00FAD"/>
    <w:rsid w:val="4EE32F96"/>
    <w:rsid w:val="4F9843DC"/>
    <w:rsid w:val="4FC62A8C"/>
    <w:rsid w:val="4FDB4616"/>
    <w:rsid w:val="4FE20F0D"/>
    <w:rsid w:val="4FE51552"/>
    <w:rsid w:val="50290180"/>
    <w:rsid w:val="50504C4B"/>
    <w:rsid w:val="509C6E7C"/>
    <w:rsid w:val="510F53B5"/>
    <w:rsid w:val="5162104E"/>
    <w:rsid w:val="52A75240"/>
    <w:rsid w:val="53A039CC"/>
    <w:rsid w:val="53A1505A"/>
    <w:rsid w:val="54063E08"/>
    <w:rsid w:val="543437E8"/>
    <w:rsid w:val="546A4DE6"/>
    <w:rsid w:val="547660BF"/>
    <w:rsid w:val="54C167FA"/>
    <w:rsid w:val="54F73313"/>
    <w:rsid w:val="54F80955"/>
    <w:rsid w:val="553E2C9F"/>
    <w:rsid w:val="555170A7"/>
    <w:rsid w:val="5587536D"/>
    <w:rsid w:val="559B174B"/>
    <w:rsid w:val="55CE0CF4"/>
    <w:rsid w:val="56B22A9C"/>
    <w:rsid w:val="571C75AD"/>
    <w:rsid w:val="575150B1"/>
    <w:rsid w:val="57B72A76"/>
    <w:rsid w:val="57C3426C"/>
    <w:rsid w:val="57CE1F93"/>
    <w:rsid w:val="588743D1"/>
    <w:rsid w:val="5887701A"/>
    <w:rsid w:val="59C0439F"/>
    <w:rsid w:val="5A4E6985"/>
    <w:rsid w:val="5ABE2233"/>
    <w:rsid w:val="5BDF5D95"/>
    <w:rsid w:val="5BFE7528"/>
    <w:rsid w:val="5CDE5760"/>
    <w:rsid w:val="5CE42BCA"/>
    <w:rsid w:val="5DCC14F9"/>
    <w:rsid w:val="5E2467F1"/>
    <w:rsid w:val="5F1A2B43"/>
    <w:rsid w:val="5F4853CE"/>
    <w:rsid w:val="5F5C5FB8"/>
    <w:rsid w:val="5FB837BB"/>
    <w:rsid w:val="60282780"/>
    <w:rsid w:val="60B3173B"/>
    <w:rsid w:val="60CC405A"/>
    <w:rsid w:val="61C64CD9"/>
    <w:rsid w:val="61E215D8"/>
    <w:rsid w:val="621B3775"/>
    <w:rsid w:val="62364782"/>
    <w:rsid w:val="62497C32"/>
    <w:rsid w:val="62C9714A"/>
    <w:rsid w:val="632B06F4"/>
    <w:rsid w:val="6394356A"/>
    <w:rsid w:val="63C61B2C"/>
    <w:rsid w:val="63D40BE9"/>
    <w:rsid w:val="64102431"/>
    <w:rsid w:val="64A5243A"/>
    <w:rsid w:val="64F1593F"/>
    <w:rsid w:val="64F531DE"/>
    <w:rsid w:val="65373578"/>
    <w:rsid w:val="66BF7081"/>
    <w:rsid w:val="67187556"/>
    <w:rsid w:val="671F124A"/>
    <w:rsid w:val="677A33C6"/>
    <w:rsid w:val="681F6961"/>
    <w:rsid w:val="68610A2F"/>
    <w:rsid w:val="68805514"/>
    <w:rsid w:val="68810C55"/>
    <w:rsid w:val="68E426DA"/>
    <w:rsid w:val="69316E2F"/>
    <w:rsid w:val="694E2071"/>
    <w:rsid w:val="69766163"/>
    <w:rsid w:val="697A3B33"/>
    <w:rsid w:val="697F6B90"/>
    <w:rsid w:val="69A178FF"/>
    <w:rsid w:val="69D44760"/>
    <w:rsid w:val="6A520EC7"/>
    <w:rsid w:val="6AF87E20"/>
    <w:rsid w:val="6B322639"/>
    <w:rsid w:val="6B661280"/>
    <w:rsid w:val="6C1A5E63"/>
    <w:rsid w:val="6C636C38"/>
    <w:rsid w:val="6DB34098"/>
    <w:rsid w:val="6DB545B6"/>
    <w:rsid w:val="6DE02FB4"/>
    <w:rsid w:val="6E3C2628"/>
    <w:rsid w:val="6E514CED"/>
    <w:rsid w:val="6EB563D5"/>
    <w:rsid w:val="6ED92677"/>
    <w:rsid w:val="6F225983"/>
    <w:rsid w:val="6FDE341B"/>
    <w:rsid w:val="6FFC5590"/>
    <w:rsid w:val="70294DB1"/>
    <w:rsid w:val="706D1DD0"/>
    <w:rsid w:val="70856B87"/>
    <w:rsid w:val="70D31F5B"/>
    <w:rsid w:val="70D527EE"/>
    <w:rsid w:val="715B5300"/>
    <w:rsid w:val="71D27F8A"/>
    <w:rsid w:val="72553024"/>
    <w:rsid w:val="72F80AC9"/>
    <w:rsid w:val="73122968"/>
    <w:rsid w:val="731F5D5E"/>
    <w:rsid w:val="733F2B3D"/>
    <w:rsid w:val="73C51AD5"/>
    <w:rsid w:val="741E793C"/>
    <w:rsid w:val="745E3944"/>
    <w:rsid w:val="74C72DEA"/>
    <w:rsid w:val="74DF5558"/>
    <w:rsid w:val="7635099D"/>
    <w:rsid w:val="76460A60"/>
    <w:rsid w:val="76962845"/>
    <w:rsid w:val="76FD6F97"/>
    <w:rsid w:val="77382122"/>
    <w:rsid w:val="77762421"/>
    <w:rsid w:val="77B56B1F"/>
    <w:rsid w:val="77CD5E8D"/>
    <w:rsid w:val="780F09F4"/>
    <w:rsid w:val="783322A3"/>
    <w:rsid w:val="78A90480"/>
    <w:rsid w:val="7A364017"/>
    <w:rsid w:val="7A8265E1"/>
    <w:rsid w:val="7ABA06DF"/>
    <w:rsid w:val="7ABA7B07"/>
    <w:rsid w:val="7B656F4A"/>
    <w:rsid w:val="7B686D42"/>
    <w:rsid w:val="7B841746"/>
    <w:rsid w:val="7BF45ABD"/>
    <w:rsid w:val="7C6C5AC7"/>
    <w:rsid w:val="7CC6544B"/>
    <w:rsid w:val="7D0239FF"/>
    <w:rsid w:val="7D5E40CD"/>
    <w:rsid w:val="7DCD56F2"/>
    <w:rsid w:val="7F001CE7"/>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35" w:semiHidden="0" w:name="caption" w:locked="1"/>
    <w:lsdException w:qFormat="1" w:unhideWhenUsed="0" w:uiPriority="99"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qFormat="1"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22"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qFormat/>
    <w:locked/>
    <w:uiPriority w:val="0"/>
    <w:pPr>
      <w:keepNext/>
      <w:snapToGrid w:val="0"/>
      <w:outlineLvl w:val="1"/>
    </w:pPr>
    <w:rPr>
      <w:sz w:val="28"/>
    </w:rPr>
  </w:style>
  <w:style w:type="paragraph" w:styleId="5">
    <w:name w:val="heading 3"/>
    <w:basedOn w:val="1"/>
    <w:next w:val="1"/>
    <w:unhideWhenUsed/>
    <w:qFormat/>
    <w:locked/>
    <w:uiPriority w:val="0"/>
    <w:pPr>
      <w:spacing w:before="100" w:beforeAutospacing="1" w:after="100" w:afterAutospacing="1"/>
      <w:jc w:val="left"/>
      <w:outlineLvl w:val="2"/>
    </w:pPr>
    <w:rPr>
      <w:rFonts w:hint="eastAsia" w:ascii="宋体" w:hAnsi="宋体" w:eastAsia="宋体" w:cs="宋体"/>
      <w:b/>
      <w:bCs/>
      <w:kern w:val="0"/>
      <w:sz w:val="27"/>
      <w:szCs w:val="27"/>
      <w:lang w:val="en-US" w:eastAsia="zh-CN" w:bidi="ar"/>
    </w:rPr>
  </w:style>
  <w:style w:type="character" w:default="1" w:styleId="28">
    <w:name w:val="Default Paragraph Font"/>
    <w:semiHidden/>
    <w:qFormat/>
    <w:uiPriority w:val="0"/>
  </w:style>
  <w:style w:type="table" w:default="1" w:styleId="26">
    <w:name w:val="Normal Table"/>
    <w:semiHidden/>
    <w:qFormat/>
    <w:uiPriority w:val="0"/>
    <w:tblPr>
      <w:tblCellMar>
        <w:top w:w="0" w:type="dxa"/>
        <w:left w:w="108" w:type="dxa"/>
        <w:bottom w:w="0" w:type="dxa"/>
        <w:right w:w="108" w:type="dxa"/>
      </w:tblCellMar>
    </w:tblPr>
  </w:style>
  <w:style w:type="paragraph" w:styleId="2">
    <w:name w:val="Body Text"/>
    <w:basedOn w:val="1"/>
    <w:link w:val="34"/>
    <w:qFormat/>
    <w:uiPriority w:val="0"/>
    <w:pPr>
      <w:widowControl/>
      <w:snapToGrid w:val="0"/>
      <w:spacing w:before="60" w:after="160" w:line="259" w:lineRule="auto"/>
      <w:ind w:right="113"/>
    </w:pPr>
    <w:rPr>
      <w:kern w:val="0"/>
      <w:sz w:val="18"/>
      <w:szCs w:val="20"/>
    </w:rPr>
  </w:style>
  <w:style w:type="paragraph" w:styleId="6">
    <w:name w:val="Normal Indent"/>
    <w:basedOn w:val="1"/>
    <w:next w:val="1"/>
    <w:qFormat/>
    <w:locked/>
    <w:uiPriority w:val="0"/>
    <w:pPr>
      <w:ind w:firstLine="420" w:firstLineChars="200"/>
    </w:pPr>
  </w:style>
  <w:style w:type="paragraph" w:styleId="7">
    <w:name w:val="caption"/>
    <w:basedOn w:val="1"/>
    <w:next w:val="1"/>
    <w:qFormat/>
    <w:locked/>
    <w:uiPriority w:val="35"/>
    <w:rPr>
      <w:rFonts w:ascii="Arial" w:hAnsi="Arial" w:eastAsia="黑体"/>
      <w:sz w:val="20"/>
    </w:rPr>
  </w:style>
  <w:style w:type="paragraph" w:styleId="8">
    <w:name w:val="annotation text"/>
    <w:basedOn w:val="1"/>
    <w:link w:val="33"/>
    <w:semiHidden/>
    <w:qFormat/>
    <w:uiPriority w:val="0"/>
    <w:pPr>
      <w:jc w:val="left"/>
    </w:pPr>
    <w:rPr>
      <w:kern w:val="0"/>
      <w:sz w:val="24"/>
      <w:szCs w:val="20"/>
    </w:rPr>
  </w:style>
  <w:style w:type="paragraph" w:styleId="9">
    <w:name w:val="Body Text 3"/>
    <w:basedOn w:val="1"/>
    <w:qFormat/>
    <w:locked/>
    <w:uiPriority w:val="0"/>
    <w:pPr>
      <w:widowControl w:val="0"/>
      <w:spacing w:line="360" w:lineRule="auto"/>
    </w:pPr>
    <w:rPr>
      <w:rFonts w:ascii="Times New Roman" w:hAnsi="Times New Roman"/>
      <w:kern w:val="0"/>
      <w:sz w:val="20"/>
      <w:szCs w:val="24"/>
    </w:rPr>
  </w:style>
  <w:style w:type="paragraph" w:styleId="10">
    <w:name w:val="Body Text Indent"/>
    <w:basedOn w:val="1"/>
    <w:next w:val="11"/>
    <w:link w:val="35"/>
    <w:qFormat/>
    <w:uiPriority w:val="0"/>
    <w:pPr>
      <w:spacing w:after="120"/>
      <w:ind w:left="420" w:leftChars="200"/>
    </w:pPr>
    <w:rPr>
      <w:kern w:val="0"/>
      <w:sz w:val="24"/>
      <w:szCs w:val="20"/>
    </w:rPr>
  </w:style>
  <w:style w:type="paragraph" w:styleId="11">
    <w:name w:val="Body Text Indent 2"/>
    <w:basedOn w:val="1"/>
    <w:next w:val="12"/>
    <w:qFormat/>
    <w:locked/>
    <w:uiPriority w:val="0"/>
    <w:pPr>
      <w:spacing w:after="120" w:line="480" w:lineRule="auto"/>
      <w:ind w:left="420" w:leftChars="200"/>
    </w:pPr>
  </w:style>
  <w:style w:type="paragraph" w:styleId="12">
    <w:name w:val="Body Text First Indent 2"/>
    <w:basedOn w:val="10"/>
    <w:next w:val="1"/>
    <w:qFormat/>
    <w:locked/>
    <w:uiPriority w:val="0"/>
    <w:pPr>
      <w:ind w:firstLine="420" w:firstLineChars="200"/>
    </w:pPr>
    <w:rPr>
      <w:rFonts w:ascii="宋体" w:hAnsi="黑体"/>
    </w:rPr>
  </w:style>
  <w:style w:type="paragraph" w:styleId="13">
    <w:name w:val="Block Text"/>
    <w:basedOn w:val="1"/>
    <w:next w:val="1"/>
    <w:qFormat/>
    <w:locked/>
    <w:uiPriority w:val="0"/>
    <w:pPr>
      <w:spacing w:line="320" w:lineRule="exact"/>
      <w:ind w:left="113" w:right="113" w:firstLine="480" w:firstLineChars="200"/>
      <w:jc w:val="center"/>
    </w:pPr>
    <w:rPr>
      <w:b/>
      <w:sz w:val="13"/>
      <w:szCs w:val="15"/>
    </w:rPr>
  </w:style>
  <w:style w:type="paragraph" w:styleId="14">
    <w:name w:val="Plain Text"/>
    <w:basedOn w:val="1"/>
    <w:qFormat/>
    <w:locked/>
    <w:uiPriority w:val="0"/>
    <w:rPr>
      <w:rFonts w:hint="eastAsia" w:ascii="宋体" w:hAnsi="Courier New"/>
      <w:sz w:val="28"/>
      <w:szCs w:val="21"/>
    </w:rPr>
  </w:style>
  <w:style w:type="paragraph" w:styleId="15">
    <w:name w:val="Date"/>
    <w:basedOn w:val="1"/>
    <w:next w:val="1"/>
    <w:link w:val="36"/>
    <w:qFormat/>
    <w:uiPriority w:val="0"/>
    <w:pPr>
      <w:ind w:left="100" w:leftChars="2500"/>
    </w:pPr>
    <w:rPr>
      <w:kern w:val="0"/>
      <w:sz w:val="24"/>
      <w:szCs w:val="20"/>
    </w:rPr>
  </w:style>
  <w:style w:type="paragraph" w:styleId="16">
    <w:name w:val="Balloon Text"/>
    <w:basedOn w:val="1"/>
    <w:link w:val="37"/>
    <w:semiHidden/>
    <w:qFormat/>
    <w:uiPriority w:val="0"/>
    <w:rPr>
      <w:kern w:val="0"/>
      <w:sz w:val="18"/>
      <w:szCs w:val="20"/>
    </w:rPr>
  </w:style>
  <w:style w:type="paragraph" w:styleId="17">
    <w:name w:val="footer"/>
    <w:basedOn w:val="1"/>
    <w:link w:val="38"/>
    <w:qFormat/>
    <w:uiPriority w:val="99"/>
    <w:pPr>
      <w:tabs>
        <w:tab w:val="center" w:pos="4153"/>
        <w:tab w:val="right" w:pos="8306"/>
      </w:tabs>
      <w:snapToGrid w:val="0"/>
      <w:jc w:val="left"/>
    </w:pPr>
    <w:rPr>
      <w:kern w:val="0"/>
      <w:sz w:val="18"/>
      <w:szCs w:val="20"/>
    </w:rPr>
  </w:style>
  <w:style w:type="paragraph" w:styleId="18">
    <w:name w:val="header"/>
    <w:basedOn w:val="1"/>
    <w:link w:val="39"/>
    <w:qFormat/>
    <w:uiPriority w:val="0"/>
    <w:pPr>
      <w:pBdr>
        <w:bottom w:val="single" w:color="auto" w:sz="6" w:space="1"/>
      </w:pBdr>
      <w:tabs>
        <w:tab w:val="center" w:pos="4153"/>
        <w:tab w:val="right" w:pos="8306"/>
      </w:tabs>
      <w:snapToGrid w:val="0"/>
      <w:jc w:val="center"/>
    </w:pPr>
    <w:rPr>
      <w:kern w:val="0"/>
      <w:sz w:val="18"/>
      <w:szCs w:val="20"/>
    </w:rPr>
  </w:style>
  <w:style w:type="paragraph" w:styleId="19">
    <w:name w:val="toc 1"/>
    <w:basedOn w:val="1"/>
    <w:next w:val="1"/>
    <w:qFormat/>
    <w:locked/>
    <w:uiPriority w:val="0"/>
  </w:style>
  <w:style w:type="paragraph" w:styleId="20">
    <w:name w:val="table of figures"/>
    <w:basedOn w:val="1"/>
    <w:next w:val="1"/>
    <w:qFormat/>
    <w:locked/>
    <w:uiPriority w:val="99"/>
    <w:pPr>
      <w:ind w:left="200" w:leftChars="200" w:hanging="200" w:hangingChars="200"/>
    </w:pPr>
    <w:rPr>
      <w:rFonts w:ascii="Calibri" w:hAnsi="Calibri"/>
      <w:kern w:val="2"/>
      <w:sz w:val="21"/>
      <w:szCs w:val="22"/>
    </w:rPr>
  </w:style>
  <w:style w:type="paragraph" w:styleId="21">
    <w:name w:val="toc 2"/>
    <w:basedOn w:val="1"/>
    <w:next w:val="1"/>
    <w:qFormat/>
    <w:locked/>
    <w:uiPriority w:val="0"/>
    <w:pPr>
      <w:ind w:left="420" w:leftChars="200"/>
    </w:pPr>
  </w:style>
  <w:style w:type="paragraph" w:styleId="22">
    <w:name w:val="Body Text 2"/>
    <w:basedOn w:val="1"/>
    <w:qFormat/>
    <w:locked/>
    <w:uiPriority w:val="0"/>
    <w:pPr>
      <w:spacing w:after="120" w:line="480" w:lineRule="auto"/>
    </w:pPr>
  </w:style>
  <w:style w:type="paragraph" w:styleId="23">
    <w:name w:val="Normal (Web)"/>
    <w:basedOn w:val="1"/>
    <w:link w:val="40"/>
    <w:qFormat/>
    <w:uiPriority w:val="0"/>
    <w:pPr>
      <w:widowControl/>
      <w:spacing w:before="100" w:beforeAutospacing="1" w:after="100" w:afterAutospacing="1"/>
      <w:jc w:val="left"/>
    </w:pPr>
    <w:rPr>
      <w:rFonts w:ascii="宋体" w:hAnsi="宋体"/>
      <w:kern w:val="0"/>
      <w:sz w:val="24"/>
      <w:szCs w:val="20"/>
    </w:rPr>
  </w:style>
  <w:style w:type="paragraph" w:styleId="24">
    <w:name w:val="annotation subject"/>
    <w:basedOn w:val="8"/>
    <w:next w:val="8"/>
    <w:link w:val="41"/>
    <w:semiHidden/>
    <w:qFormat/>
    <w:uiPriority w:val="0"/>
    <w:rPr>
      <w:b/>
      <w:sz w:val="24"/>
      <w:szCs w:val="20"/>
    </w:rPr>
  </w:style>
  <w:style w:type="paragraph" w:styleId="25">
    <w:name w:val="Body Text First Indent"/>
    <w:basedOn w:val="2"/>
    <w:next w:val="20"/>
    <w:qFormat/>
    <w:locked/>
    <w:uiPriority w:val="0"/>
    <w:pPr>
      <w:widowControl w:val="0"/>
      <w:spacing w:after="120"/>
      <w:ind w:firstLine="420"/>
      <w:jc w:val="both"/>
    </w:pPr>
    <w:rPr>
      <w:rFonts w:ascii="Times New Roman"/>
      <w:sz w:val="24"/>
      <w:lang w:val="en-US" w:eastAsia="zh-CN" w:bidi="ar-SA"/>
    </w:rPr>
  </w:style>
  <w:style w:type="table" w:styleId="27">
    <w:name w:val="Table Grid"/>
    <w:basedOn w:val="26"/>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qFormat/>
    <w:locked/>
    <w:uiPriority w:val="22"/>
    <w:rPr>
      <w:b/>
    </w:rPr>
  </w:style>
  <w:style w:type="character" w:styleId="30">
    <w:name w:val="page number"/>
    <w:basedOn w:val="28"/>
    <w:qFormat/>
    <w:locked/>
    <w:uiPriority w:val="0"/>
  </w:style>
  <w:style w:type="character" w:styleId="31">
    <w:name w:val="Hyperlink"/>
    <w:basedOn w:val="28"/>
    <w:qFormat/>
    <w:locked/>
    <w:uiPriority w:val="0"/>
    <w:rPr>
      <w:color w:val="0000FF"/>
      <w:u w:val="single"/>
    </w:rPr>
  </w:style>
  <w:style w:type="character" w:styleId="32">
    <w:name w:val="annotation reference"/>
    <w:semiHidden/>
    <w:qFormat/>
    <w:uiPriority w:val="0"/>
    <w:rPr>
      <w:sz w:val="21"/>
    </w:rPr>
  </w:style>
  <w:style w:type="character" w:customStyle="1" w:styleId="33">
    <w:name w:val="批注文字 Char"/>
    <w:link w:val="8"/>
    <w:qFormat/>
    <w:locked/>
    <w:uiPriority w:val="0"/>
    <w:rPr>
      <w:rFonts w:ascii="Times New Roman" w:hAnsi="Times New Roman" w:eastAsia="宋体"/>
      <w:sz w:val="24"/>
    </w:rPr>
  </w:style>
  <w:style w:type="character" w:customStyle="1" w:styleId="34">
    <w:name w:val="正文文本 Char"/>
    <w:link w:val="2"/>
    <w:qFormat/>
    <w:locked/>
    <w:uiPriority w:val="0"/>
    <w:rPr>
      <w:sz w:val="18"/>
    </w:rPr>
  </w:style>
  <w:style w:type="character" w:customStyle="1" w:styleId="35">
    <w:name w:val="正文文本缩进 Char"/>
    <w:link w:val="10"/>
    <w:semiHidden/>
    <w:qFormat/>
    <w:locked/>
    <w:uiPriority w:val="0"/>
    <w:rPr>
      <w:rFonts w:ascii="Times New Roman" w:hAnsi="Times New Roman" w:eastAsia="宋体"/>
      <w:sz w:val="24"/>
    </w:rPr>
  </w:style>
  <w:style w:type="character" w:customStyle="1" w:styleId="36">
    <w:name w:val="日期 Char"/>
    <w:link w:val="15"/>
    <w:qFormat/>
    <w:locked/>
    <w:uiPriority w:val="0"/>
    <w:rPr>
      <w:rFonts w:ascii="Times New Roman" w:hAnsi="Times New Roman" w:eastAsia="宋体"/>
      <w:sz w:val="24"/>
    </w:rPr>
  </w:style>
  <w:style w:type="character" w:customStyle="1" w:styleId="37">
    <w:name w:val="批注框文本 Char"/>
    <w:link w:val="16"/>
    <w:semiHidden/>
    <w:qFormat/>
    <w:locked/>
    <w:uiPriority w:val="0"/>
    <w:rPr>
      <w:rFonts w:ascii="Times New Roman" w:hAnsi="Times New Roman" w:eastAsia="宋体"/>
      <w:sz w:val="18"/>
    </w:rPr>
  </w:style>
  <w:style w:type="character" w:customStyle="1" w:styleId="38">
    <w:name w:val="页脚 Char"/>
    <w:link w:val="17"/>
    <w:qFormat/>
    <w:locked/>
    <w:uiPriority w:val="99"/>
    <w:rPr>
      <w:sz w:val="18"/>
    </w:rPr>
  </w:style>
  <w:style w:type="character" w:customStyle="1" w:styleId="39">
    <w:name w:val="页眉 Char"/>
    <w:link w:val="18"/>
    <w:qFormat/>
    <w:locked/>
    <w:uiPriority w:val="0"/>
    <w:rPr>
      <w:sz w:val="18"/>
    </w:rPr>
  </w:style>
  <w:style w:type="character" w:customStyle="1" w:styleId="40">
    <w:name w:val="普通(网站) Char"/>
    <w:link w:val="23"/>
    <w:qFormat/>
    <w:locked/>
    <w:uiPriority w:val="0"/>
    <w:rPr>
      <w:rFonts w:ascii="宋体" w:hAnsi="宋体" w:eastAsia="宋体"/>
      <w:sz w:val="24"/>
    </w:rPr>
  </w:style>
  <w:style w:type="character" w:customStyle="1" w:styleId="41">
    <w:name w:val="批注主题 Char"/>
    <w:link w:val="24"/>
    <w:semiHidden/>
    <w:qFormat/>
    <w:locked/>
    <w:uiPriority w:val="0"/>
    <w:rPr>
      <w:rFonts w:ascii="Times New Roman" w:hAnsi="Times New Roman" w:eastAsia="宋体"/>
      <w:b/>
      <w:kern w:val="2"/>
      <w:sz w:val="24"/>
    </w:rPr>
  </w:style>
  <w:style w:type="paragraph" w:customStyle="1" w:styleId="42">
    <w:name w:val="Default"/>
    <w:basedOn w:val="43"/>
    <w:qFormat/>
    <w:uiPriority w:val="0"/>
    <w:pPr>
      <w:widowControl w:val="0"/>
      <w:autoSpaceDE w:val="0"/>
      <w:autoSpaceDN w:val="0"/>
      <w:adjustRightInd w:val="0"/>
    </w:pPr>
    <w:rPr>
      <w:rFonts w:ascii="宋体" w:hAnsi="Times New Roman" w:eastAsia="宋体" w:cs="宋体"/>
      <w:color w:val="000000"/>
      <w:kern w:val="2"/>
      <w:sz w:val="21"/>
      <w:szCs w:val="24"/>
      <w:lang w:val="en-US" w:eastAsia="zh-CN" w:bidi="ar-SA"/>
    </w:rPr>
  </w:style>
  <w:style w:type="paragraph" w:customStyle="1" w:styleId="43">
    <w:name w:val="纯文本1"/>
    <w:basedOn w:val="1"/>
    <w:qFormat/>
    <w:uiPriority w:val="99"/>
    <w:pPr>
      <w:autoSpaceDE w:val="0"/>
      <w:autoSpaceDN w:val="0"/>
      <w:adjustRightInd w:val="0"/>
      <w:textAlignment w:val="baseline"/>
    </w:pPr>
    <w:rPr>
      <w:rFonts w:ascii="宋体"/>
      <w:szCs w:val="20"/>
    </w:rPr>
  </w:style>
  <w:style w:type="paragraph" w:customStyle="1" w:styleId="44">
    <w:name w:val=" Char"/>
    <w:basedOn w:val="1"/>
    <w:qFormat/>
    <w:uiPriority w:val="0"/>
    <w:rPr>
      <w:rFonts w:ascii="Times New Roman" w:hAnsi="Times New Roman"/>
      <w:szCs w:val="24"/>
    </w:rPr>
  </w:style>
  <w:style w:type="paragraph" w:customStyle="1" w:styleId="45">
    <w:name w:val="样式3"/>
    <w:basedOn w:val="19"/>
    <w:next w:val="46"/>
    <w:qFormat/>
    <w:uiPriority w:val="0"/>
    <w:pPr>
      <w:autoSpaceDE w:val="0"/>
      <w:autoSpaceDN w:val="0"/>
      <w:snapToGrid w:val="0"/>
      <w:spacing w:before="120" w:line="460" w:lineRule="atLeast"/>
      <w:jc w:val="center"/>
    </w:pPr>
    <w:rPr>
      <w:rFonts w:eastAsia="黑体"/>
      <w:sz w:val="28"/>
    </w:rPr>
  </w:style>
  <w:style w:type="paragraph" w:customStyle="1" w:styleId="46">
    <w:name w:val="目录 53"/>
    <w:basedOn w:val="1"/>
    <w:next w:val="1"/>
    <w:qFormat/>
    <w:uiPriority w:val="0"/>
    <w:pPr>
      <w:ind w:left="840"/>
    </w:pPr>
    <w:rPr>
      <w:rFonts w:cs="宋体"/>
      <w:color w:val="000000"/>
    </w:rPr>
  </w:style>
  <w:style w:type="character" w:customStyle="1" w:styleId="47">
    <w:name w:val="页脚 字符"/>
    <w:basedOn w:val="28"/>
    <w:qFormat/>
    <w:uiPriority w:val="99"/>
  </w:style>
  <w:style w:type="character" w:customStyle="1" w:styleId="48">
    <w:name w:val="正文文本 字符1"/>
    <w:semiHidden/>
    <w:qFormat/>
    <w:uiPriority w:val="0"/>
    <w:rPr>
      <w:rFonts w:ascii="Times New Roman" w:hAnsi="Times New Roman" w:eastAsia="宋体"/>
      <w:sz w:val="24"/>
    </w:rPr>
  </w:style>
  <w:style w:type="character" w:customStyle="1" w:styleId="49">
    <w:name w:val="表格 Char"/>
    <w:link w:val="50"/>
    <w:qFormat/>
    <w:locked/>
    <w:uiPriority w:val="0"/>
    <w:rPr>
      <w:rFonts w:ascii="宋体"/>
      <w:sz w:val="21"/>
    </w:rPr>
  </w:style>
  <w:style w:type="paragraph" w:customStyle="1" w:styleId="50">
    <w:name w:val="表格"/>
    <w:basedOn w:val="1"/>
    <w:next w:val="1"/>
    <w:link w:val="49"/>
    <w:qFormat/>
    <w:uiPriority w:val="0"/>
    <w:pPr>
      <w:adjustRightInd w:val="0"/>
      <w:snapToGrid w:val="0"/>
      <w:spacing w:beforeLines="10" w:afterLines="10" w:line="259" w:lineRule="auto"/>
      <w:jc w:val="center"/>
    </w:pPr>
    <w:rPr>
      <w:rFonts w:ascii="宋体"/>
      <w:kern w:val="0"/>
      <w:szCs w:val="20"/>
    </w:rPr>
  </w:style>
  <w:style w:type="character" w:customStyle="1" w:styleId="51">
    <w:name w:val="日期 字符"/>
    <w:semiHidden/>
    <w:qFormat/>
    <w:uiPriority w:val="0"/>
    <w:rPr>
      <w:rFonts w:ascii="Times New Roman" w:hAnsi="Times New Roman" w:eastAsia="宋体"/>
      <w:sz w:val="24"/>
    </w:rPr>
  </w:style>
  <w:style w:type="character" w:customStyle="1" w:styleId="52">
    <w:name w:val="批注文字 字符1"/>
    <w:semiHidden/>
    <w:qFormat/>
    <w:uiPriority w:val="0"/>
    <w:rPr>
      <w:rFonts w:ascii="Times New Roman" w:hAnsi="Times New Roman" w:eastAsia="宋体"/>
      <w:sz w:val="24"/>
    </w:rPr>
  </w:style>
  <w:style w:type="paragraph" w:customStyle="1" w:styleId="53">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4">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5">
    <w:name w:val="图表标题"/>
    <w:basedOn w:val="11"/>
    <w:qFormat/>
    <w:uiPriority w:val="0"/>
    <w:pPr>
      <w:spacing w:beforeLines="50" w:after="0" w:line="240" w:lineRule="auto"/>
      <w:ind w:left="0" w:leftChars="0" w:firstLine="200" w:firstLineChars="200"/>
      <w:jc w:val="center"/>
    </w:pPr>
    <w:rPr>
      <w:rFonts w:ascii="宋体" w:hAnsi="宋体" w:eastAsia="黑体"/>
      <w:kern w:val="0"/>
      <w:sz w:val="24"/>
      <w:szCs w:val="22"/>
    </w:rPr>
  </w:style>
  <w:style w:type="paragraph" w:customStyle="1" w:styleId="56">
    <w:name w:val="（新格式）表格"/>
    <w:basedOn w:val="57"/>
    <w:qFormat/>
    <w:uiPriority w:val="0"/>
    <w:pPr>
      <w:topLinePunct/>
    </w:pPr>
    <w:rPr>
      <w:rFonts w:hint="eastAsia" w:ascii="Times New Roman" w:hAnsi="Times New Roman"/>
      <w:sz w:val="21"/>
    </w:rPr>
  </w:style>
  <w:style w:type="paragraph" w:customStyle="1" w:styleId="57">
    <w:name w:val="表格（方）"/>
    <w:qFormat/>
    <w:uiPriority w:val="0"/>
    <w:pPr>
      <w:spacing w:before="20" w:beforeLines="20" w:after="20" w:afterLines="20"/>
      <w:jc w:val="center"/>
    </w:pPr>
    <w:rPr>
      <w:rFonts w:ascii="Times New Roman" w:hAnsi="Times New Roman" w:eastAsia="宋体" w:cs="Times New Roman"/>
      <w:snapToGrid w:val="0"/>
      <w:sz w:val="21"/>
      <w:lang w:val="en-US" w:eastAsia="zh-CN" w:bidi="ar-SA"/>
    </w:rPr>
  </w:style>
  <w:style w:type="paragraph" w:customStyle="1" w:styleId="58">
    <w:name w:val="Default1"/>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9">
    <w:name w:val="列出段落2"/>
    <w:basedOn w:val="1"/>
    <w:qFormat/>
    <w:uiPriority w:val="99"/>
    <w:pPr>
      <w:ind w:firstLine="420" w:firstLineChars="200"/>
    </w:pPr>
    <w:rPr>
      <w:rFonts w:ascii="Calibri" w:hAnsi="Calibri"/>
      <w:szCs w:val="22"/>
    </w:rPr>
  </w:style>
  <w:style w:type="paragraph" w:customStyle="1" w:styleId="60">
    <w:name w:val="1_正文"/>
    <w:basedOn w:val="1"/>
    <w:qFormat/>
    <w:uiPriority w:val="0"/>
    <w:pPr>
      <w:adjustRightInd w:val="0"/>
      <w:snapToGrid w:val="0"/>
      <w:spacing w:line="360" w:lineRule="auto"/>
      <w:ind w:firstLine="480" w:firstLineChars="200"/>
    </w:pPr>
    <w:rPr>
      <w:color w:val="000000"/>
      <w:sz w:val="24"/>
    </w:rPr>
  </w:style>
  <w:style w:type="paragraph" w:customStyle="1" w:styleId="61">
    <w:name w:val="表格文字"/>
    <w:basedOn w:val="14"/>
    <w:qFormat/>
    <w:uiPriority w:val="0"/>
    <w:pPr>
      <w:spacing w:line="560" w:lineRule="exact"/>
      <w:jc w:val="center"/>
    </w:pPr>
  </w:style>
  <w:style w:type="paragraph" w:customStyle="1" w:styleId="62">
    <w:name w:val="萝卜"/>
    <w:basedOn w:val="1"/>
    <w:qFormat/>
    <w:uiPriority w:val="0"/>
    <w:pPr>
      <w:tabs>
        <w:tab w:val="left" w:pos="540"/>
      </w:tabs>
      <w:spacing w:line="360" w:lineRule="auto"/>
      <w:ind w:firstLine="200" w:firstLineChars="200"/>
    </w:pPr>
    <w:rPr>
      <w:sz w:val="24"/>
    </w:rPr>
  </w:style>
  <w:style w:type="character" w:customStyle="1" w:styleId="63">
    <w:name w:val="font31"/>
    <w:basedOn w:val="28"/>
    <w:qFormat/>
    <w:uiPriority w:val="0"/>
    <w:rPr>
      <w:rFonts w:hint="default" w:ascii="Times New Roman" w:hAnsi="Times New Roman" w:cs="Times New Roman"/>
      <w:color w:val="000000"/>
      <w:sz w:val="21"/>
      <w:szCs w:val="21"/>
      <w:u w:val="none"/>
    </w:rPr>
  </w:style>
  <w:style w:type="character" w:customStyle="1" w:styleId="64">
    <w:name w:val="font21"/>
    <w:basedOn w:val="28"/>
    <w:qFormat/>
    <w:uiPriority w:val="0"/>
    <w:rPr>
      <w:rFonts w:hint="eastAsia" w:ascii="宋体" w:hAnsi="宋体" w:eastAsia="宋体" w:cs="宋体"/>
      <w:color w:val="000000"/>
      <w:sz w:val="21"/>
      <w:szCs w:val="21"/>
      <w:u w:val="none"/>
    </w:rPr>
  </w:style>
  <w:style w:type="paragraph" w:customStyle="1" w:styleId="65">
    <w:name w:val="表头111"/>
    <w:basedOn w:val="1"/>
    <w:qFormat/>
    <w:uiPriority w:val="0"/>
    <w:pPr>
      <w:numPr>
        <w:ilvl w:val="0"/>
        <w:numId w:val="1"/>
      </w:numPr>
      <w:jc w:val="center"/>
    </w:pPr>
    <w:rPr>
      <w:b/>
      <w:sz w:val="24"/>
      <w:szCs w:val="21"/>
    </w:rPr>
  </w:style>
  <w:style w:type="paragraph" w:customStyle="1" w:styleId="66">
    <w:name w:val="惠泽正文"/>
    <w:basedOn w:val="1"/>
    <w:qFormat/>
    <w:uiPriority w:val="0"/>
    <w:pPr>
      <w:spacing w:line="480" w:lineRule="exact"/>
      <w:ind w:firstLine="480" w:firstLineChars="200"/>
    </w:pPr>
    <w:rPr>
      <w:rFonts w:hAnsi="宋体" w:cs="宋体"/>
      <w:sz w:val="24"/>
      <w:szCs w:val="20"/>
    </w:rPr>
  </w:style>
  <w:style w:type="paragraph" w:customStyle="1" w:styleId="67">
    <w:name w:val="Table Paragraph"/>
    <w:basedOn w:val="1"/>
    <w:qFormat/>
    <w:uiPriority w:val="0"/>
    <w:pPr>
      <w:widowControl/>
      <w:jc w:val="left"/>
    </w:pPr>
    <w:rPr>
      <w:rFonts w:ascii="Calibri" w:hAnsi="Calibri"/>
      <w:kern w:val="0"/>
      <w:sz w:val="22"/>
      <w:szCs w:val="22"/>
    </w:rPr>
  </w:style>
  <w:style w:type="paragraph" w:customStyle="1" w:styleId="68">
    <w:name w:val="报告表格"/>
    <w:qFormat/>
    <w:uiPriority w:val="0"/>
    <w:pPr>
      <w:autoSpaceDE w:val="0"/>
      <w:autoSpaceDN w:val="0"/>
      <w:adjustRightInd w:val="0"/>
      <w:jc w:val="center"/>
      <w:textAlignment w:val="bottom"/>
    </w:pPr>
    <w:rPr>
      <w:rFonts w:ascii="Times New Roman" w:hAnsi="Times New Roman" w:eastAsia="宋体" w:cs="Times New Roman"/>
      <w:sz w:val="21"/>
      <w:lang w:val="en-US" w:eastAsia="zh-CN" w:bidi="ar-SA"/>
    </w:rPr>
  </w:style>
  <w:style w:type="paragraph" w:customStyle="1" w:styleId="69">
    <w:name w:val="样式 样式 样式 首行缩进:  1 字符 + 首行缩进:  2 字符2 + 首行缩进:  2 字符"/>
    <w:basedOn w:val="1"/>
    <w:qFormat/>
    <w:uiPriority w:val="99"/>
    <w:pPr>
      <w:spacing w:line="360" w:lineRule="auto"/>
      <w:ind w:firstLine="480" w:firstLineChars="200"/>
    </w:pPr>
    <w:rPr>
      <w:rFonts w:ascii="宋体" w:hAnsi="宋体" w:cs="宋体"/>
      <w:sz w:val="24"/>
    </w:rPr>
  </w:style>
  <w:style w:type="paragraph" w:customStyle="1" w:styleId="70">
    <w:name w:val="报告书正文"/>
    <w:basedOn w:val="1"/>
    <w:qFormat/>
    <w:uiPriority w:val="0"/>
    <w:pPr>
      <w:spacing w:line="300" w:lineRule="auto"/>
      <w:ind w:firstLine="480"/>
    </w:pPr>
  </w:style>
  <w:style w:type="paragraph" w:customStyle="1" w:styleId="71">
    <w:name w:val="报告表正文"/>
    <w:basedOn w:val="1"/>
    <w:qFormat/>
    <w:uiPriority w:val="99"/>
    <w:pPr>
      <w:adjustRightInd w:val="0"/>
      <w:spacing w:line="312" w:lineRule="auto"/>
      <w:ind w:left="113" w:right="113" w:firstLine="482"/>
      <w:jc w:val="left"/>
    </w:pPr>
    <w:rPr>
      <w:kern w:val="0"/>
      <w:sz w:val="24"/>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extobjs>
    <extobj name="F360BE8B-6686-4F3D-AEAF-501FE73E4058-1">
      <extobjdata type="F360BE8B-6686-4F3D-AEAF-501FE73E4058" data="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"/>
    </extobj>
    <extobj name="F360BE8B-6686-4F3D-AEAF-501FE73E4058-2">
      <extobjdata type="F360BE8B-6686-4F3D-AEAF-501FE73E4058" data="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"/>
    </extobj>
    <extobj name="F360BE8B-6686-4F3D-AEAF-501FE73E4058-3">
      <extobjdata type="F360BE8B-6686-4F3D-AEAF-501FE73E4058" data="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54</Pages>
  <Words>15649</Words>
  <Characters>17171</Characters>
  <Lines>13</Lines>
  <Paragraphs>3</Paragraphs>
  <TotalTime>2</TotalTime>
  <ScaleCrop>false</ScaleCrop>
  <LinksUpToDate>false</LinksUpToDate>
  <CharactersWithSpaces>17274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Lenovo</cp:lastModifiedBy>
  <cp:lastPrinted>2020-12-29T02:43:00Z</cp:lastPrinted>
  <dcterms:modified xsi:type="dcterms:W3CDTF">2025-12-16T02:37:59Z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7B749F9E849F4F80AA6246FB662ABF41_13</vt:lpwstr>
  </property>
  <property fmtid="{D5CDD505-2E9C-101B-9397-08002B2CF9AE}" pid="4" name="KSOTemplateDocerSaveRecord">
    <vt:lpwstr>eyJoZGlkIjoiMmE4Yjc1M2JiNjBjMjdhMzI3N2MwY2IzYWM4NDBiMGIifQ==</vt:lpwstr>
  </property>
</Properties>
</file>