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10789">
      <w:pPr>
        <w:pStyle w:val="21"/>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bookmarkStart w:id="2" w:name="_GoBack"/>
      <w:bookmarkEnd w:id="2"/>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
        <w:gridCol w:w="939"/>
        <w:gridCol w:w="991"/>
        <w:gridCol w:w="2040"/>
        <w:gridCol w:w="2185"/>
        <w:gridCol w:w="2524"/>
        <w:gridCol w:w="92"/>
      </w:tblGrid>
      <w:tr w14:paraId="6C4E2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0537D23E">
            <w:pPr>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3859" w:type="pct"/>
            <w:gridSpan w:val="4"/>
            <w:noWrap w:val="0"/>
            <w:vAlign w:val="center"/>
          </w:tcPr>
          <w:p w14:paraId="62C67C07">
            <w:pPr>
              <w:jc w:val="center"/>
              <w:rPr>
                <w:color w:val="auto"/>
                <w:szCs w:val="21"/>
                <w:highlight w:val="none"/>
              </w:rPr>
            </w:pPr>
            <w:r>
              <w:rPr>
                <w:rFonts w:hint="eastAsia"/>
                <w:color w:val="auto"/>
                <w:szCs w:val="21"/>
                <w:highlight w:val="none"/>
              </w:rPr>
              <w:t>铝碳化硅/金刚石复合材料项目</w:t>
            </w:r>
          </w:p>
        </w:tc>
      </w:tr>
      <w:tr w14:paraId="17F25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3A01C570">
            <w:pPr>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3859" w:type="pct"/>
            <w:gridSpan w:val="4"/>
            <w:noWrap w:val="0"/>
            <w:vAlign w:val="center"/>
          </w:tcPr>
          <w:p w14:paraId="2E80143B">
            <w:pPr>
              <w:jc w:val="center"/>
              <w:rPr>
                <w:color w:val="auto"/>
                <w:szCs w:val="21"/>
                <w:highlight w:val="none"/>
              </w:rPr>
            </w:pPr>
            <w:r>
              <w:rPr>
                <w:rFonts w:hint="eastAsia"/>
                <w:color w:val="auto"/>
                <w:szCs w:val="21"/>
                <w:highlight w:val="none"/>
              </w:rPr>
              <w:t>2509-611206-04-05-109747</w:t>
            </w:r>
          </w:p>
        </w:tc>
      </w:tr>
      <w:tr w14:paraId="174E1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77AFB829">
            <w:pPr>
              <w:jc w:val="center"/>
              <w:rPr>
                <w:rFonts w:hint="eastAsia" w:ascii="宋体" w:hAnsi="宋体" w:cs="宋体"/>
                <w:color w:val="auto"/>
                <w:szCs w:val="21"/>
                <w:highlight w:val="none"/>
              </w:rPr>
            </w:pPr>
            <w:r>
              <w:rPr>
                <w:rFonts w:hint="eastAsia" w:ascii="宋体" w:hAnsi="宋体" w:cs="宋体"/>
                <w:color w:val="auto"/>
                <w:szCs w:val="21"/>
                <w:highlight w:val="none"/>
              </w:rPr>
              <w:t>建设单位联系人</w:t>
            </w:r>
          </w:p>
        </w:tc>
        <w:tc>
          <w:tcPr>
            <w:tcW w:w="1151" w:type="pct"/>
            <w:noWrap w:val="0"/>
            <w:vAlign w:val="center"/>
          </w:tcPr>
          <w:p w14:paraId="16D6C6D9">
            <w:pPr>
              <w:jc w:val="center"/>
              <w:rPr>
                <w:color w:val="auto"/>
                <w:szCs w:val="21"/>
                <w:highlight w:val="none"/>
              </w:rPr>
            </w:pPr>
            <w:r>
              <w:rPr>
                <w:rFonts w:hint="eastAsia"/>
                <w:color w:val="auto"/>
                <w:szCs w:val="21"/>
                <w:highlight w:val="none"/>
              </w:rPr>
              <w:t>刘昌涛</w:t>
            </w:r>
          </w:p>
        </w:tc>
        <w:tc>
          <w:tcPr>
            <w:tcW w:w="1233" w:type="pct"/>
            <w:noWrap w:val="0"/>
            <w:vAlign w:val="center"/>
          </w:tcPr>
          <w:p w14:paraId="2AC7B861">
            <w:pPr>
              <w:jc w:val="center"/>
              <w:rPr>
                <w:color w:val="auto"/>
                <w:szCs w:val="21"/>
                <w:highlight w:val="none"/>
              </w:rPr>
            </w:pPr>
            <w:r>
              <w:rPr>
                <w:color w:val="auto"/>
                <w:szCs w:val="21"/>
                <w:highlight w:val="none"/>
              </w:rPr>
              <w:t>联系方式</w:t>
            </w:r>
          </w:p>
        </w:tc>
        <w:tc>
          <w:tcPr>
            <w:tcW w:w="1474" w:type="pct"/>
            <w:gridSpan w:val="2"/>
            <w:noWrap w:val="0"/>
            <w:vAlign w:val="center"/>
          </w:tcPr>
          <w:p w14:paraId="6E53C42B">
            <w:pPr>
              <w:jc w:val="center"/>
              <w:rPr>
                <w:color w:val="auto"/>
                <w:szCs w:val="21"/>
                <w:highlight w:val="none"/>
              </w:rPr>
            </w:pPr>
            <w:r>
              <w:rPr>
                <w:rFonts w:hint="eastAsia"/>
                <w:color w:val="auto"/>
                <w:szCs w:val="21"/>
                <w:highlight w:val="none"/>
              </w:rPr>
              <w:t>15829689328</w:t>
            </w:r>
          </w:p>
        </w:tc>
      </w:tr>
      <w:tr w14:paraId="119E6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47583073">
            <w:pPr>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3859" w:type="pct"/>
            <w:gridSpan w:val="4"/>
            <w:noWrap w:val="0"/>
            <w:vAlign w:val="center"/>
          </w:tcPr>
          <w:p w14:paraId="5E9A9088">
            <w:pPr>
              <w:jc w:val="center"/>
              <w:rPr>
                <w:color w:val="auto"/>
                <w:szCs w:val="21"/>
                <w:highlight w:val="none"/>
              </w:rPr>
            </w:pPr>
            <w:r>
              <w:rPr>
                <w:rFonts w:hint="eastAsia"/>
                <w:color w:val="auto"/>
                <w:szCs w:val="21"/>
                <w:highlight w:val="none"/>
              </w:rPr>
              <w:t>泾河新城原点西二路陕西力拓重工机械有限公司三号厂房</w:t>
            </w:r>
          </w:p>
        </w:tc>
      </w:tr>
      <w:tr w14:paraId="1B14F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041F1C20">
            <w:pPr>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3859" w:type="pct"/>
            <w:gridSpan w:val="4"/>
            <w:noWrap w:val="0"/>
            <w:vAlign w:val="center"/>
          </w:tcPr>
          <w:p w14:paraId="3FA68148">
            <w:pPr>
              <w:jc w:val="center"/>
              <w:rPr>
                <w:color w:val="auto"/>
                <w:highlight w:val="none"/>
              </w:rPr>
            </w:pPr>
            <w:r>
              <w:rPr>
                <w:color w:val="auto"/>
                <w:szCs w:val="21"/>
                <w:highlight w:val="none"/>
              </w:rPr>
              <w:t>（E</w:t>
            </w:r>
            <w:r>
              <w:rPr>
                <w:color w:val="auto"/>
                <w:szCs w:val="21"/>
                <w:highlight w:val="none"/>
                <w:u w:val="single"/>
              </w:rPr>
              <w:t>108</w:t>
            </w:r>
            <w:r>
              <w:rPr>
                <w:color w:val="auto"/>
                <w:szCs w:val="21"/>
                <w:highlight w:val="none"/>
              </w:rPr>
              <w:t>度</w:t>
            </w:r>
            <w:r>
              <w:rPr>
                <w:color w:val="auto"/>
                <w:szCs w:val="21"/>
                <w:highlight w:val="none"/>
                <w:u w:val="single"/>
              </w:rPr>
              <w:t>5</w:t>
            </w:r>
            <w:r>
              <w:rPr>
                <w:rFonts w:hint="eastAsia"/>
                <w:color w:val="auto"/>
                <w:szCs w:val="21"/>
                <w:highlight w:val="none"/>
                <w:u w:val="single"/>
                <w:lang w:val="en-US" w:eastAsia="zh-CN"/>
              </w:rPr>
              <w:t>4</w:t>
            </w:r>
            <w:r>
              <w:rPr>
                <w:color w:val="auto"/>
                <w:szCs w:val="21"/>
                <w:highlight w:val="none"/>
              </w:rPr>
              <w:t>分</w:t>
            </w:r>
            <w:r>
              <w:rPr>
                <w:rFonts w:hint="eastAsia"/>
                <w:color w:val="auto"/>
                <w:szCs w:val="21"/>
                <w:highlight w:val="none"/>
                <w:u w:val="single"/>
              </w:rPr>
              <w:t>3</w:t>
            </w:r>
            <w:r>
              <w:rPr>
                <w:rFonts w:hint="eastAsia"/>
                <w:color w:val="auto"/>
                <w:szCs w:val="21"/>
                <w:highlight w:val="none"/>
                <w:u w:val="single"/>
                <w:lang w:val="en-US" w:eastAsia="zh-CN"/>
              </w:rPr>
              <w:t>8.868</w:t>
            </w:r>
            <w:r>
              <w:rPr>
                <w:color w:val="auto"/>
                <w:szCs w:val="21"/>
                <w:highlight w:val="none"/>
              </w:rPr>
              <w:t>秒，N</w:t>
            </w:r>
            <w:r>
              <w:rPr>
                <w:color w:val="auto"/>
                <w:szCs w:val="21"/>
                <w:highlight w:val="none"/>
                <w:u w:val="single"/>
              </w:rPr>
              <w:t>34</w:t>
            </w:r>
            <w:r>
              <w:rPr>
                <w:color w:val="auto"/>
                <w:szCs w:val="21"/>
                <w:highlight w:val="none"/>
              </w:rPr>
              <w:t>度</w:t>
            </w:r>
            <w:r>
              <w:rPr>
                <w:color w:val="auto"/>
                <w:szCs w:val="21"/>
                <w:highlight w:val="none"/>
                <w:u w:val="single"/>
              </w:rPr>
              <w:t>3</w:t>
            </w:r>
            <w:r>
              <w:rPr>
                <w:rFonts w:hint="eastAsia"/>
                <w:color w:val="auto"/>
                <w:szCs w:val="21"/>
                <w:highlight w:val="none"/>
                <w:u w:val="single"/>
                <w:lang w:val="en-US" w:eastAsia="zh-CN"/>
              </w:rPr>
              <w:t>1</w:t>
            </w:r>
            <w:r>
              <w:rPr>
                <w:color w:val="auto"/>
                <w:szCs w:val="21"/>
                <w:highlight w:val="none"/>
              </w:rPr>
              <w:t>分</w:t>
            </w:r>
            <w:r>
              <w:rPr>
                <w:rFonts w:hint="eastAsia"/>
                <w:color w:val="auto"/>
                <w:szCs w:val="21"/>
                <w:highlight w:val="none"/>
                <w:u w:val="single"/>
                <w:lang w:val="en-US" w:eastAsia="zh-CN"/>
              </w:rPr>
              <w:t>56.615</w:t>
            </w:r>
            <w:r>
              <w:rPr>
                <w:color w:val="auto"/>
                <w:szCs w:val="21"/>
                <w:highlight w:val="none"/>
              </w:rPr>
              <w:t>秒）</w:t>
            </w:r>
          </w:p>
        </w:tc>
      </w:tr>
      <w:tr w14:paraId="2F575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561" w:hRule="atLeast"/>
          <w:jc w:val="center"/>
        </w:trPr>
        <w:tc>
          <w:tcPr>
            <w:tcW w:w="1089" w:type="pct"/>
            <w:gridSpan w:val="2"/>
            <w:noWrap w:val="0"/>
            <w:tcMar>
              <w:top w:w="16" w:type="dxa"/>
              <w:left w:w="16" w:type="dxa"/>
              <w:right w:w="16" w:type="dxa"/>
            </w:tcMar>
            <w:vAlign w:val="center"/>
          </w:tcPr>
          <w:p w14:paraId="6B1DAADC">
            <w:pPr>
              <w:jc w:val="center"/>
              <w:rPr>
                <w:rFonts w:hint="eastAsia" w:ascii="宋体" w:hAnsi="宋体" w:cs="宋体"/>
                <w:color w:val="auto"/>
                <w:szCs w:val="21"/>
                <w:highlight w:val="none"/>
              </w:rPr>
            </w:pPr>
            <w:r>
              <w:rPr>
                <w:rFonts w:hint="eastAsia" w:ascii="宋体" w:hAnsi="宋体" w:cs="宋体"/>
                <w:color w:val="auto"/>
                <w:szCs w:val="21"/>
                <w:highlight w:val="none"/>
              </w:rPr>
              <w:t>国民经济</w:t>
            </w:r>
          </w:p>
          <w:p w14:paraId="23797FCB">
            <w:pPr>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1151" w:type="pct"/>
            <w:noWrap w:val="0"/>
            <w:vAlign w:val="center"/>
          </w:tcPr>
          <w:p w14:paraId="0C535085">
            <w:pPr>
              <w:rPr>
                <w:rFonts w:hint="default" w:eastAsia="宋体"/>
                <w:color w:val="auto"/>
                <w:szCs w:val="21"/>
                <w:highlight w:val="none"/>
                <w:lang w:val="en-US" w:eastAsia="zh-CN"/>
              </w:rPr>
            </w:pPr>
            <w:r>
              <w:rPr>
                <w:rFonts w:hint="eastAsia"/>
                <w:color w:val="auto"/>
                <w:szCs w:val="21"/>
                <w:highlight w:val="none"/>
              </w:rPr>
              <w:t>C</w:t>
            </w:r>
            <w:r>
              <w:rPr>
                <w:rFonts w:hint="eastAsia"/>
                <w:color w:val="auto"/>
                <w:szCs w:val="21"/>
                <w:highlight w:val="none"/>
                <w:lang w:val="en-US" w:eastAsia="zh-CN"/>
              </w:rPr>
              <w:t>3985电子专用材料制造</w:t>
            </w:r>
          </w:p>
        </w:tc>
        <w:tc>
          <w:tcPr>
            <w:tcW w:w="1233" w:type="pct"/>
            <w:noWrap w:val="0"/>
            <w:vAlign w:val="center"/>
          </w:tcPr>
          <w:p w14:paraId="214381C5">
            <w:pPr>
              <w:jc w:val="center"/>
              <w:rPr>
                <w:color w:val="auto"/>
                <w:szCs w:val="21"/>
                <w:highlight w:val="none"/>
              </w:rPr>
            </w:pPr>
            <w:bookmarkStart w:id="0" w:name="_Hlk49843745"/>
            <w:r>
              <w:rPr>
                <w:color w:val="auto"/>
                <w:szCs w:val="21"/>
                <w:highlight w:val="none"/>
              </w:rPr>
              <w:t>建设项目</w:t>
            </w:r>
          </w:p>
          <w:p w14:paraId="56C9ABAF">
            <w:pPr>
              <w:jc w:val="center"/>
              <w:rPr>
                <w:color w:val="auto"/>
                <w:szCs w:val="21"/>
                <w:highlight w:val="none"/>
              </w:rPr>
            </w:pPr>
            <w:r>
              <w:rPr>
                <w:color w:val="auto"/>
                <w:szCs w:val="21"/>
                <w:highlight w:val="none"/>
              </w:rPr>
              <w:t>行业类别</w:t>
            </w:r>
            <w:bookmarkEnd w:id="0"/>
          </w:p>
        </w:tc>
        <w:tc>
          <w:tcPr>
            <w:tcW w:w="1474" w:type="pct"/>
            <w:gridSpan w:val="2"/>
            <w:noWrap w:val="0"/>
            <w:vAlign w:val="center"/>
          </w:tcPr>
          <w:p w14:paraId="60EFA90D">
            <w:pPr>
              <w:rPr>
                <w:color w:val="auto"/>
                <w:szCs w:val="21"/>
                <w:highlight w:val="none"/>
              </w:rPr>
            </w:pPr>
            <w:r>
              <w:rPr>
                <w:rFonts w:hint="eastAsia"/>
                <w:color w:val="auto"/>
                <w:szCs w:val="21"/>
                <w:highlight w:val="none"/>
              </w:rPr>
              <w:t>三十六、计算机、通信和其他电子设备制造业39</w:t>
            </w:r>
            <w:r>
              <w:rPr>
                <w:rFonts w:hint="eastAsia"/>
                <w:color w:val="auto"/>
                <w:szCs w:val="21"/>
                <w:highlight w:val="none"/>
                <w:lang w:val="en-US" w:eastAsia="zh-CN"/>
              </w:rPr>
              <w:t>-81电子元件及电子专用材料制造 398-电子专用材料制造（电子化工材料制造除外）</w:t>
            </w:r>
          </w:p>
        </w:tc>
      </w:tr>
      <w:tr w14:paraId="6D810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1219" w:hRule="atLeast"/>
          <w:jc w:val="center"/>
        </w:trPr>
        <w:tc>
          <w:tcPr>
            <w:tcW w:w="1089" w:type="pct"/>
            <w:gridSpan w:val="2"/>
            <w:noWrap w:val="0"/>
            <w:tcMar>
              <w:top w:w="16" w:type="dxa"/>
              <w:left w:w="16" w:type="dxa"/>
              <w:right w:w="16" w:type="dxa"/>
            </w:tcMar>
            <w:vAlign w:val="center"/>
          </w:tcPr>
          <w:p w14:paraId="25DE6A6F">
            <w:pPr>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1151" w:type="pct"/>
            <w:noWrap w:val="0"/>
            <w:vAlign w:val="center"/>
          </w:tcPr>
          <w:p w14:paraId="4F35AE49">
            <w:pPr>
              <w:jc w:val="left"/>
              <w:rPr>
                <w:color w:val="auto"/>
                <w:szCs w:val="21"/>
                <w:highlight w:val="none"/>
              </w:rPr>
            </w:pPr>
            <w:r>
              <w:rPr>
                <w:rFonts w:hint="eastAsia"/>
                <w:color w:val="auto"/>
                <w:szCs w:val="21"/>
                <w:highlight w:val="none"/>
                <w:lang w:eastAsia="zh-CN"/>
              </w:rPr>
              <w:t>☑</w:t>
            </w:r>
            <w:r>
              <w:rPr>
                <w:color w:val="auto"/>
                <w:szCs w:val="21"/>
                <w:highlight w:val="none"/>
              </w:rPr>
              <w:t>新建（迁建）</w:t>
            </w:r>
          </w:p>
          <w:p w14:paraId="6E5DB042">
            <w:pPr>
              <w:jc w:val="left"/>
              <w:rPr>
                <w:color w:val="auto"/>
                <w:szCs w:val="21"/>
                <w:highlight w:val="none"/>
              </w:rPr>
            </w:pPr>
            <w:r>
              <w:rPr>
                <w:rFonts w:hint="eastAsia"/>
                <w:color w:val="auto"/>
                <w:szCs w:val="21"/>
                <w:highlight w:val="none"/>
              </w:rPr>
              <w:t>□</w:t>
            </w:r>
            <w:r>
              <w:rPr>
                <w:color w:val="auto"/>
                <w:szCs w:val="21"/>
                <w:highlight w:val="none"/>
              </w:rPr>
              <w:t>改建</w:t>
            </w:r>
          </w:p>
          <w:p w14:paraId="51EF8D59">
            <w:pPr>
              <w:jc w:val="left"/>
              <w:rPr>
                <w:color w:val="auto"/>
                <w:szCs w:val="21"/>
                <w:highlight w:val="none"/>
              </w:rPr>
            </w:pPr>
            <w:r>
              <w:rPr>
                <w:rFonts w:hint="eastAsia"/>
                <w:color w:val="auto"/>
                <w:szCs w:val="21"/>
                <w:highlight w:val="none"/>
              </w:rPr>
              <w:t>□</w:t>
            </w:r>
            <w:r>
              <w:rPr>
                <w:color w:val="auto"/>
                <w:szCs w:val="21"/>
                <w:highlight w:val="none"/>
              </w:rPr>
              <w:t>扩建</w:t>
            </w:r>
          </w:p>
          <w:p w14:paraId="17C61D84">
            <w:pPr>
              <w:jc w:val="left"/>
              <w:rPr>
                <w:color w:val="auto"/>
                <w:szCs w:val="21"/>
                <w:highlight w:val="none"/>
              </w:rPr>
            </w:pPr>
            <w:r>
              <w:rPr>
                <w:rFonts w:hint="eastAsia"/>
                <w:color w:val="auto"/>
                <w:szCs w:val="21"/>
                <w:highlight w:val="none"/>
              </w:rPr>
              <w:t>□</w:t>
            </w:r>
            <w:r>
              <w:rPr>
                <w:color w:val="auto"/>
                <w:szCs w:val="21"/>
                <w:highlight w:val="none"/>
              </w:rPr>
              <w:t>技术改造</w:t>
            </w:r>
          </w:p>
        </w:tc>
        <w:tc>
          <w:tcPr>
            <w:tcW w:w="1233" w:type="pct"/>
            <w:noWrap w:val="0"/>
            <w:vAlign w:val="center"/>
          </w:tcPr>
          <w:p w14:paraId="4207728B">
            <w:pPr>
              <w:jc w:val="center"/>
              <w:rPr>
                <w:color w:val="auto"/>
                <w:szCs w:val="21"/>
                <w:highlight w:val="none"/>
              </w:rPr>
            </w:pPr>
            <w:r>
              <w:rPr>
                <w:color w:val="auto"/>
                <w:szCs w:val="21"/>
                <w:highlight w:val="none"/>
              </w:rPr>
              <w:t>建设项目</w:t>
            </w:r>
          </w:p>
          <w:p w14:paraId="0BCF2DA9">
            <w:pPr>
              <w:jc w:val="center"/>
              <w:rPr>
                <w:color w:val="auto"/>
                <w:szCs w:val="21"/>
                <w:highlight w:val="none"/>
              </w:rPr>
            </w:pPr>
            <w:r>
              <w:rPr>
                <w:color w:val="auto"/>
                <w:szCs w:val="21"/>
                <w:highlight w:val="none"/>
              </w:rPr>
              <w:t>申报情形</w:t>
            </w:r>
          </w:p>
        </w:tc>
        <w:tc>
          <w:tcPr>
            <w:tcW w:w="1474" w:type="pct"/>
            <w:gridSpan w:val="2"/>
            <w:noWrap w:val="0"/>
            <w:vAlign w:val="center"/>
          </w:tcPr>
          <w:p w14:paraId="0FDA6627">
            <w:pPr>
              <w:jc w:val="left"/>
              <w:rPr>
                <w:color w:val="auto"/>
                <w:szCs w:val="21"/>
                <w:highlight w:val="none"/>
              </w:rPr>
            </w:pPr>
            <w:r>
              <w:rPr>
                <w:color w:val="auto"/>
                <w:szCs w:val="21"/>
                <w:highlight w:val="none"/>
              </w:rPr>
              <w:sym w:font="Wingdings 2" w:char="0052"/>
            </w:r>
            <w:r>
              <w:rPr>
                <w:color w:val="auto"/>
                <w:szCs w:val="21"/>
                <w:highlight w:val="none"/>
              </w:rPr>
              <w:t xml:space="preserve">首次申报项目             </w:t>
            </w:r>
          </w:p>
          <w:p w14:paraId="4122A28E">
            <w:pPr>
              <w:jc w:val="left"/>
              <w:rPr>
                <w:color w:val="auto"/>
                <w:szCs w:val="21"/>
                <w:highlight w:val="none"/>
              </w:rPr>
            </w:pPr>
            <w:r>
              <w:rPr>
                <w:rFonts w:hint="eastAsia"/>
                <w:color w:val="auto"/>
                <w:szCs w:val="21"/>
                <w:highlight w:val="none"/>
              </w:rPr>
              <w:t>□</w:t>
            </w:r>
            <w:r>
              <w:rPr>
                <w:color w:val="auto"/>
                <w:szCs w:val="21"/>
                <w:highlight w:val="none"/>
              </w:rPr>
              <w:t>不予批准后再次申报项目</w:t>
            </w:r>
          </w:p>
          <w:p w14:paraId="49041D2C">
            <w:pPr>
              <w:jc w:val="left"/>
              <w:rPr>
                <w:color w:val="auto"/>
                <w:szCs w:val="21"/>
                <w:highlight w:val="none"/>
              </w:rPr>
            </w:pPr>
            <w:r>
              <w:rPr>
                <w:color w:val="auto"/>
                <w:szCs w:val="21"/>
                <w:highlight w:val="none"/>
              </w:rPr>
              <w:sym w:font="Wingdings 2" w:char="00A3"/>
            </w:r>
            <w:r>
              <w:rPr>
                <w:color w:val="auto"/>
                <w:szCs w:val="21"/>
                <w:highlight w:val="none"/>
              </w:rPr>
              <w:t xml:space="preserve">超五年重新审核项目     </w:t>
            </w:r>
          </w:p>
          <w:p w14:paraId="325BD262">
            <w:pPr>
              <w:jc w:val="left"/>
              <w:rPr>
                <w:color w:val="auto"/>
                <w:szCs w:val="21"/>
                <w:highlight w:val="none"/>
              </w:rPr>
            </w:pPr>
            <w:r>
              <w:rPr>
                <w:rFonts w:hint="eastAsia"/>
                <w:color w:val="auto"/>
                <w:szCs w:val="21"/>
                <w:highlight w:val="none"/>
              </w:rPr>
              <w:t>□</w:t>
            </w:r>
            <w:r>
              <w:rPr>
                <w:color w:val="auto"/>
                <w:szCs w:val="21"/>
                <w:highlight w:val="none"/>
              </w:rPr>
              <w:t>重大变动重新报批项目</w:t>
            </w:r>
          </w:p>
        </w:tc>
      </w:tr>
      <w:tr w14:paraId="6AB27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851" w:hRule="atLeast"/>
          <w:jc w:val="center"/>
        </w:trPr>
        <w:tc>
          <w:tcPr>
            <w:tcW w:w="1089" w:type="pct"/>
            <w:gridSpan w:val="2"/>
            <w:noWrap w:val="0"/>
            <w:tcMar>
              <w:top w:w="16" w:type="dxa"/>
              <w:left w:w="16" w:type="dxa"/>
              <w:right w:w="16" w:type="dxa"/>
            </w:tcMar>
            <w:vAlign w:val="center"/>
          </w:tcPr>
          <w:p w14:paraId="7389522A">
            <w:pPr>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4F4A9E9C">
            <w:pPr>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1151" w:type="pct"/>
            <w:noWrap w:val="0"/>
            <w:vAlign w:val="center"/>
          </w:tcPr>
          <w:p w14:paraId="30186E66">
            <w:pPr>
              <w:jc w:val="center"/>
              <w:rPr>
                <w:rFonts w:hint="default" w:eastAsia="宋体"/>
                <w:color w:val="auto"/>
                <w:szCs w:val="21"/>
                <w:highlight w:val="none"/>
                <w:lang w:val="en-US" w:eastAsia="zh-CN"/>
              </w:rPr>
            </w:pPr>
            <w:r>
              <w:rPr>
                <w:rFonts w:hint="eastAsia"/>
                <w:color w:val="auto"/>
                <w:szCs w:val="21"/>
                <w:highlight w:val="none"/>
                <w:lang w:val="en-US" w:eastAsia="zh-CN"/>
              </w:rPr>
              <w:t>陕西省西咸新区泾河新城管理委员会</w:t>
            </w:r>
          </w:p>
        </w:tc>
        <w:tc>
          <w:tcPr>
            <w:tcW w:w="1233" w:type="pct"/>
            <w:noWrap w:val="0"/>
            <w:vAlign w:val="center"/>
          </w:tcPr>
          <w:p w14:paraId="4D2874E6">
            <w:pPr>
              <w:jc w:val="center"/>
              <w:rPr>
                <w:color w:val="auto"/>
                <w:szCs w:val="21"/>
                <w:highlight w:val="none"/>
              </w:rPr>
            </w:pPr>
            <w:r>
              <w:rPr>
                <w:color w:val="auto"/>
                <w:szCs w:val="21"/>
                <w:highlight w:val="none"/>
              </w:rPr>
              <w:t>项目审批（核准/</w:t>
            </w:r>
          </w:p>
          <w:p w14:paraId="78E967E2">
            <w:pPr>
              <w:jc w:val="center"/>
              <w:rPr>
                <w:color w:val="auto"/>
                <w:szCs w:val="21"/>
                <w:highlight w:val="none"/>
              </w:rPr>
            </w:pPr>
            <w:r>
              <w:rPr>
                <w:color w:val="auto"/>
                <w:szCs w:val="21"/>
                <w:highlight w:val="none"/>
              </w:rPr>
              <w:t>备案）文号（选填）</w:t>
            </w:r>
          </w:p>
        </w:tc>
        <w:tc>
          <w:tcPr>
            <w:tcW w:w="1474" w:type="pct"/>
            <w:gridSpan w:val="2"/>
            <w:noWrap w:val="0"/>
            <w:vAlign w:val="center"/>
          </w:tcPr>
          <w:p w14:paraId="316C7F95">
            <w:pPr>
              <w:jc w:val="center"/>
              <w:rPr>
                <w:color w:val="auto"/>
                <w:szCs w:val="21"/>
                <w:highlight w:val="none"/>
              </w:rPr>
            </w:pPr>
            <w:r>
              <w:rPr>
                <w:color w:val="auto"/>
                <w:szCs w:val="21"/>
                <w:highlight w:val="none"/>
              </w:rPr>
              <w:t>/</w:t>
            </w:r>
          </w:p>
        </w:tc>
      </w:tr>
      <w:tr w14:paraId="6B201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4D921123">
            <w:pPr>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1151" w:type="pct"/>
            <w:noWrap w:val="0"/>
            <w:vAlign w:val="center"/>
          </w:tcPr>
          <w:p w14:paraId="7DBB2F3E">
            <w:pPr>
              <w:jc w:val="center"/>
              <w:rPr>
                <w:rFonts w:hint="default" w:eastAsia="宋体"/>
                <w:color w:val="auto"/>
                <w:szCs w:val="21"/>
                <w:highlight w:val="none"/>
                <w:lang w:val="en-US" w:eastAsia="zh-CN"/>
              </w:rPr>
            </w:pPr>
            <w:r>
              <w:rPr>
                <w:rFonts w:hint="eastAsia"/>
                <w:color w:val="auto"/>
                <w:szCs w:val="21"/>
                <w:highlight w:val="none"/>
                <w:lang w:val="en-US" w:eastAsia="zh-CN"/>
              </w:rPr>
              <w:t>270</w:t>
            </w:r>
          </w:p>
        </w:tc>
        <w:tc>
          <w:tcPr>
            <w:tcW w:w="1233" w:type="pct"/>
            <w:noWrap w:val="0"/>
            <w:tcMar>
              <w:top w:w="16" w:type="dxa"/>
              <w:left w:w="16" w:type="dxa"/>
              <w:right w:w="16" w:type="dxa"/>
            </w:tcMar>
            <w:vAlign w:val="center"/>
          </w:tcPr>
          <w:p w14:paraId="7F4C58C4">
            <w:pPr>
              <w:jc w:val="center"/>
              <w:rPr>
                <w:color w:val="auto"/>
                <w:szCs w:val="21"/>
                <w:highlight w:val="none"/>
              </w:rPr>
            </w:pPr>
            <w:r>
              <w:rPr>
                <w:color w:val="auto"/>
                <w:szCs w:val="21"/>
                <w:highlight w:val="none"/>
              </w:rPr>
              <w:t>环保投资（万元）</w:t>
            </w:r>
          </w:p>
        </w:tc>
        <w:tc>
          <w:tcPr>
            <w:tcW w:w="1474" w:type="pct"/>
            <w:gridSpan w:val="2"/>
            <w:noWrap w:val="0"/>
            <w:vAlign w:val="center"/>
          </w:tcPr>
          <w:p w14:paraId="32EF9CD5">
            <w:pPr>
              <w:jc w:val="center"/>
              <w:rPr>
                <w:rFonts w:hint="default" w:eastAsia="宋体"/>
                <w:color w:val="auto"/>
                <w:szCs w:val="21"/>
                <w:highlight w:val="none"/>
                <w:lang w:val="en-US" w:eastAsia="zh-CN"/>
              </w:rPr>
            </w:pPr>
            <w:r>
              <w:rPr>
                <w:rFonts w:hint="eastAsia"/>
                <w:color w:val="auto"/>
                <w:szCs w:val="21"/>
                <w:highlight w:val="none"/>
                <w:lang w:val="en-US" w:eastAsia="zh-CN"/>
              </w:rPr>
              <w:t>19.3</w:t>
            </w:r>
          </w:p>
        </w:tc>
      </w:tr>
      <w:tr w14:paraId="53BCC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1B9E4EFF">
            <w:pPr>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1151" w:type="pct"/>
            <w:noWrap w:val="0"/>
            <w:vAlign w:val="center"/>
          </w:tcPr>
          <w:p w14:paraId="2A802BF6">
            <w:pPr>
              <w:jc w:val="center"/>
              <w:rPr>
                <w:rFonts w:hint="default" w:eastAsia="宋体"/>
                <w:color w:val="auto"/>
                <w:szCs w:val="21"/>
                <w:highlight w:val="none"/>
                <w:lang w:val="en-US" w:eastAsia="zh-CN"/>
              </w:rPr>
            </w:pPr>
            <w:r>
              <w:rPr>
                <w:rFonts w:hint="eastAsia"/>
                <w:color w:val="auto"/>
                <w:szCs w:val="21"/>
                <w:highlight w:val="none"/>
                <w:lang w:val="en-US" w:eastAsia="zh-CN"/>
              </w:rPr>
              <w:t>7.15</w:t>
            </w:r>
          </w:p>
        </w:tc>
        <w:tc>
          <w:tcPr>
            <w:tcW w:w="1233" w:type="pct"/>
            <w:noWrap w:val="0"/>
            <w:tcMar>
              <w:top w:w="16" w:type="dxa"/>
              <w:left w:w="16" w:type="dxa"/>
              <w:right w:w="16" w:type="dxa"/>
            </w:tcMar>
            <w:vAlign w:val="center"/>
          </w:tcPr>
          <w:p w14:paraId="35F14C2E">
            <w:pPr>
              <w:jc w:val="center"/>
              <w:rPr>
                <w:color w:val="auto"/>
                <w:szCs w:val="21"/>
                <w:highlight w:val="none"/>
              </w:rPr>
            </w:pPr>
            <w:r>
              <w:rPr>
                <w:color w:val="auto"/>
                <w:szCs w:val="21"/>
                <w:highlight w:val="none"/>
              </w:rPr>
              <w:t>施工工期</w:t>
            </w:r>
          </w:p>
        </w:tc>
        <w:tc>
          <w:tcPr>
            <w:tcW w:w="1474" w:type="pct"/>
            <w:gridSpan w:val="2"/>
            <w:noWrap w:val="0"/>
            <w:vAlign w:val="center"/>
          </w:tcPr>
          <w:p w14:paraId="0FEFD7CA">
            <w:pPr>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个月</w:t>
            </w:r>
          </w:p>
        </w:tc>
      </w:tr>
      <w:tr w14:paraId="4885F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50" w:type="pct"/>
          <w:trHeight w:val="497" w:hRule="atLeast"/>
          <w:jc w:val="center"/>
        </w:trPr>
        <w:tc>
          <w:tcPr>
            <w:tcW w:w="1089" w:type="pct"/>
            <w:gridSpan w:val="2"/>
            <w:noWrap w:val="0"/>
            <w:tcMar>
              <w:top w:w="16" w:type="dxa"/>
              <w:left w:w="16" w:type="dxa"/>
              <w:right w:w="16" w:type="dxa"/>
            </w:tcMar>
            <w:vAlign w:val="center"/>
          </w:tcPr>
          <w:p w14:paraId="5C6789B5">
            <w:pPr>
              <w:jc w:val="center"/>
              <w:rPr>
                <w:rFonts w:hint="eastAsia" w:ascii="宋体" w:hAnsi="宋体" w:cs="宋体"/>
                <w:color w:val="auto"/>
                <w:szCs w:val="21"/>
                <w:highlight w:val="none"/>
              </w:rPr>
            </w:pPr>
            <w:r>
              <w:rPr>
                <w:rFonts w:hint="eastAsia" w:ascii="宋体" w:hAnsi="宋体" w:cs="宋体"/>
                <w:color w:val="auto"/>
                <w:szCs w:val="21"/>
                <w:highlight w:val="none"/>
              </w:rPr>
              <w:t>是否开工建设</w:t>
            </w:r>
          </w:p>
        </w:tc>
        <w:tc>
          <w:tcPr>
            <w:tcW w:w="1151" w:type="pct"/>
            <w:noWrap w:val="0"/>
            <w:vAlign w:val="center"/>
          </w:tcPr>
          <w:p w14:paraId="7E161E03">
            <w:pPr>
              <w:rPr>
                <w:color w:val="auto"/>
                <w:szCs w:val="21"/>
                <w:highlight w:val="none"/>
              </w:rPr>
            </w:pPr>
            <w:r>
              <w:rPr>
                <w:color w:val="auto"/>
                <w:szCs w:val="21"/>
                <w:highlight w:val="none"/>
              </w:rPr>
              <w:sym w:font="Wingdings 2" w:char="0052"/>
            </w:r>
            <w:r>
              <w:rPr>
                <w:color w:val="auto"/>
                <w:szCs w:val="21"/>
                <w:highlight w:val="none"/>
              </w:rPr>
              <w:t>否</w:t>
            </w:r>
          </w:p>
          <w:p w14:paraId="0E6A4CA4">
            <w:pPr>
              <w:rPr>
                <w:color w:val="auto"/>
                <w:szCs w:val="21"/>
                <w:highlight w:val="none"/>
              </w:rPr>
            </w:pPr>
            <w:r>
              <w:rPr>
                <w:color w:val="auto"/>
                <w:szCs w:val="21"/>
                <w:highlight w:val="none"/>
              </w:rPr>
              <w:sym w:font="Wingdings 2" w:char="00A3"/>
            </w:r>
            <w:r>
              <w:rPr>
                <w:color w:val="auto"/>
                <w:szCs w:val="21"/>
                <w:highlight w:val="none"/>
              </w:rPr>
              <w:t>是：</w:t>
            </w:r>
            <w:r>
              <w:rPr>
                <w:color w:val="auto"/>
                <w:szCs w:val="21"/>
                <w:highlight w:val="none"/>
                <w:u w:val="single"/>
              </w:rPr>
              <w:t xml:space="preserve">             </w:t>
            </w:r>
          </w:p>
        </w:tc>
        <w:tc>
          <w:tcPr>
            <w:tcW w:w="1233" w:type="pct"/>
            <w:noWrap w:val="0"/>
            <w:tcMar>
              <w:top w:w="16" w:type="dxa"/>
              <w:left w:w="16" w:type="dxa"/>
              <w:right w:w="16" w:type="dxa"/>
            </w:tcMar>
            <w:vAlign w:val="center"/>
          </w:tcPr>
          <w:p w14:paraId="2A8F34C1">
            <w:pPr>
              <w:jc w:val="center"/>
              <w:rPr>
                <w:color w:val="auto"/>
                <w:spacing w:val="-6"/>
                <w:szCs w:val="21"/>
                <w:highlight w:val="none"/>
              </w:rPr>
            </w:pPr>
            <w:r>
              <w:rPr>
                <w:color w:val="auto"/>
                <w:spacing w:val="-6"/>
                <w:szCs w:val="21"/>
                <w:highlight w:val="none"/>
              </w:rPr>
              <w:t>用地（用海）</w:t>
            </w:r>
          </w:p>
          <w:p w14:paraId="2191AF92">
            <w:pPr>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1474" w:type="pct"/>
            <w:gridSpan w:val="2"/>
            <w:noWrap w:val="0"/>
            <w:vAlign w:val="center"/>
          </w:tcPr>
          <w:p w14:paraId="146E0E24">
            <w:pPr>
              <w:jc w:val="center"/>
              <w:rPr>
                <w:rFonts w:hint="default" w:eastAsia="宋体"/>
                <w:color w:val="auto"/>
                <w:szCs w:val="21"/>
                <w:highlight w:val="none"/>
                <w:lang w:val="en-US" w:eastAsia="zh-CN"/>
              </w:rPr>
            </w:pPr>
            <w:r>
              <w:rPr>
                <w:rFonts w:hint="eastAsia"/>
                <w:color w:val="auto"/>
                <w:szCs w:val="21"/>
                <w:highlight w:val="none"/>
                <w:lang w:val="en-US" w:eastAsia="zh-CN"/>
              </w:rPr>
              <w:t>1500</w:t>
            </w:r>
          </w:p>
        </w:tc>
      </w:tr>
      <w:tr w14:paraId="71909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50" w:type="pct"/>
          <w:trHeight w:val="682" w:hRule="atLeast"/>
          <w:jc w:val="center"/>
        </w:trPr>
        <w:tc>
          <w:tcPr>
            <w:tcW w:w="1089" w:type="pct"/>
            <w:gridSpan w:val="2"/>
            <w:noWrap w:val="0"/>
            <w:vAlign w:val="center"/>
          </w:tcPr>
          <w:p w14:paraId="346DF8E0">
            <w:pPr>
              <w:autoSpaceDE w:val="0"/>
              <w:autoSpaceDN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3859" w:type="pct"/>
            <w:gridSpan w:val="4"/>
            <w:noWrap w:val="0"/>
            <w:vAlign w:val="center"/>
          </w:tcPr>
          <w:p w14:paraId="60369E67">
            <w:pPr>
              <w:autoSpaceDE w:val="0"/>
              <w:autoSpaceDN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无</w:t>
            </w:r>
          </w:p>
        </w:tc>
      </w:tr>
      <w:tr w14:paraId="143D7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50" w:type="pct"/>
          <w:trHeight w:val="862" w:hRule="atLeast"/>
          <w:jc w:val="center"/>
        </w:trPr>
        <w:tc>
          <w:tcPr>
            <w:tcW w:w="1089" w:type="pct"/>
            <w:gridSpan w:val="2"/>
            <w:noWrap w:val="0"/>
            <w:vAlign w:val="center"/>
          </w:tcPr>
          <w:p w14:paraId="565ABBF1">
            <w:pPr>
              <w:autoSpaceDE w:val="0"/>
              <w:autoSpaceDN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3859" w:type="pct"/>
            <w:gridSpan w:val="4"/>
            <w:noWrap w:val="0"/>
            <w:vAlign w:val="center"/>
          </w:tcPr>
          <w:p w14:paraId="59E52D1D">
            <w:pPr>
              <w:autoSpaceDE w:val="0"/>
              <w:autoSpaceDN w:val="0"/>
              <w:spacing w:line="360" w:lineRule="auto"/>
              <w:rPr>
                <w:color w:val="auto"/>
                <w:kern w:val="0"/>
                <w:szCs w:val="21"/>
                <w:highlight w:val="none"/>
              </w:rPr>
            </w:pPr>
            <w:r>
              <w:rPr>
                <w:color w:val="auto"/>
                <w:kern w:val="0"/>
                <w:szCs w:val="21"/>
                <w:highlight w:val="none"/>
              </w:rPr>
              <w:t>《西咸新区-泾河新城分区规划修编（2016-2035）》</w:t>
            </w:r>
          </w:p>
          <w:p w14:paraId="665ED5BC">
            <w:pPr>
              <w:autoSpaceDE w:val="0"/>
              <w:autoSpaceDN w:val="0"/>
              <w:spacing w:line="360" w:lineRule="auto"/>
              <w:rPr>
                <w:color w:val="auto"/>
                <w:kern w:val="0"/>
                <w:szCs w:val="21"/>
                <w:highlight w:val="none"/>
              </w:rPr>
            </w:pPr>
            <w:r>
              <w:rPr>
                <w:rFonts w:hint="eastAsia"/>
                <w:color w:val="auto"/>
                <w:kern w:val="0"/>
                <w:szCs w:val="21"/>
                <w:highlight w:val="none"/>
              </w:rPr>
              <w:t>审查机关：西咸新区开发建设管理委员会</w:t>
            </w:r>
          </w:p>
        </w:tc>
      </w:tr>
      <w:tr w14:paraId="5775D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50" w:type="pct"/>
          <w:trHeight w:val="1021" w:hRule="atLeast"/>
          <w:jc w:val="center"/>
        </w:trPr>
        <w:tc>
          <w:tcPr>
            <w:tcW w:w="1089" w:type="pct"/>
            <w:gridSpan w:val="2"/>
            <w:noWrap w:val="0"/>
            <w:vAlign w:val="center"/>
          </w:tcPr>
          <w:p w14:paraId="106F6953">
            <w:pPr>
              <w:jc w:val="center"/>
              <w:rPr>
                <w:rFonts w:ascii="宋体" w:hAnsi="宋体" w:cs="宋体"/>
                <w:color w:val="auto"/>
                <w:szCs w:val="21"/>
                <w:highlight w:val="none"/>
              </w:rPr>
            </w:pPr>
            <w:r>
              <w:rPr>
                <w:rFonts w:hint="eastAsia" w:ascii="宋体" w:hAnsi="宋体" w:cs="宋体"/>
                <w:color w:val="auto"/>
                <w:szCs w:val="21"/>
                <w:highlight w:val="none"/>
              </w:rPr>
              <w:t>规划环境影响</w:t>
            </w:r>
          </w:p>
          <w:p w14:paraId="7EC613B1">
            <w:pPr>
              <w:jc w:val="center"/>
              <w:rPr>
                <w:rFonts w:hint="eastAsia" w:ascii="宋体" w:hAnsi="宋体" w:cs="宋体"/>
                <w:color w:val="auto"/>
                <w:kern w:val="0"/>
                <w:szCs w:val="21"/>
                <w:highlight w:val="none"/>
              </w:rPr>
            </w:pPr>
            <w:r>
              <w:rPr>
                <w:rFonts w:hint="eastAsia" w:ascii="宋体" w:hAnsi="宋体" w:cs="宋体"/>
                <w:color w:val="auto"/>
                <w:szCs w:val="21"/>
                <w:highlight w:val="none"/>
              </w:rPr>
              <w:t>评价情况</w:t>
            </w:r>
          </w:p>
        </w:tc>
        <w:tc>
          <w:tcPr>
            <w:tcW w:w="3859" w:type="pct"/>
            <w:gridSpan w:val="4"/>
            <w:noWrap w:val="0"/>
            <w:vAlign w:val="center"/>
          </w:tcPr>
          <w:p w14:paraId="39EFCF0B">
            <w:pPr>
              <w:autoSpaceDE w:val="0"/>
              <w:autoSpaceDN w:val="0"/>
              <w:spacing w:line="360" w:lineRule="auto"/>
              <w:rPr>
                <w:color w:val="auto"/>
                <w:kern w:val="0"/>
                <w:szCs w:val="21"/>
                <w:highlight w:val="none"/>
              </w:rPr>
            </w:pPr>
            <w:r>
              <w:rPr>
                <w:color w:val="auto"/>
                <w:kern w:val="0"/>
                <w:szCs w:val="21"/>
                <w:highlight w:val="none"/>
              </w:rPr>
              <w:t>规划</w:t>
            </w:r>
            <w:r>
              <w:rPr>
                <w:rFonts w:hint="eastAsia"/>
                <w:color w:val="auto"/>
                <w:kern w:val="0"/>
                <w:szCs w:val="21"/>
                <w:highlight w:val="none"/>
              </w:rPr>
              <w:t>环评</w:t>
            </w:r>
            <w:r>
              <w:rPr>
                <w:color w:val="auto"/>
                <w:kern w:val="0"/>
                <w:szCs w:val="21"/>
                <w:highlight w:val="none"/>
              </w:rPr>
              <w:t>名称：</w:t>
            </w:r>
          </w:p>
          <w:p w14:paraId="4F03245B">
            <w:pPr>
              <w:autoSpaceDE w:val="0"/>
              <w:autoSpaceDN w:val="0"/>
              <w:spacing w:line="360" w:lineRule="auto"/>
              <w:rPr>
                <w:color w:val="auto"/>
                <w:kern w:val="0"/>
                <w:szCs w:val="21"/>
                <w:highlight w:val="none"/>
              </w:rPr>
            </w:pPr>
            <w:r>
              <w:rPr>
                <w:color w:val="auto"/>
                <w:kern w:val="0"/>
                <w:szCs w:val="21"/>
                <w:highlight w:val="none"/>
              </w:rPr>
              <w:t>《西咸新区泾河新城分区规划（2016-2035）环境影响报告书》</w:t>
            </w:r>
          </w:p>
          <w:p w14:paraId="60312F60">
            <w:pPr>
              <w:autoSpaceDE w:val="0"/>
              <w:autoSpaceDN w:val="0"/>
              <w:spacing w:line="360" w:lineRule="auto"/>
              <w:rPr>
                <w:rFonts w:hint="eastAsia"/>
                <w:color w:val="auto"/>
                <w:kern w:val="0"/>
                <w:szCs w:val="21"/>
                <w:highlight w:val="none"/>
              </w:rPr>
            </w:pPr>
            <w:r>
              <w:rPr>
                <w:color w:val="auto"/>
                <w:kern w:val="0"/>
                <w:szCs w:val="21"/>
                <w:highlight w:val="none"/>
              </w:rPr>
              <w:t>审查机关：陕西省西咸新区生态环境局</w:t>
            </w:r>
            <w:r>
              <w:rPr>
                <w:rFonts w:hint="eastAsia"/>
                <w:color w:val="auto"/>
                <w:kern w:val="0"/>
                <w:szCs w:val="21"/>
                <w:highlight w:val="none"/>
              </w:rPr>
              <w:t>；</w:t>
            </w:r>
          </w:p>
          <w:p w14:paraId="5E951F5E">
            <w:pPr>
              <w:autoSpaceDE w:val="0"/>
              <w:autoSpaceDN w:val="0"/>
              <w:spacing w:line="360" w:lineRule="auto"/>
              <w:rPr>
                <w:rFonts w:hint="eastAsia"/>
                <w:color w:val="auto"/>
                <w:kern w:val="0"/>
                <w:szCs w:val="21"/>
                <w:highlight w:val="none"/>
              </w:rPr>
            </w:pPr>
            <w:r>
              <w:rPr>
                <w:color w:val="auto"/>
                <w:kern w:val="0"/>
                <w:szCs w:val="21"/>
                <w:highlight w:val="none"/>
              </w:rPr>
              <w:t>审查文件名称：陕西省西咸新区生态环境局关于《西咸新区泾河新城分区规划（2016-2035）环境影响报告书》</w:t>
            </w:r>
            <w:r>
              <w:rPr>
                <w:rFonts w:hint="eastAsia"/>
                <w:color w:val="auto"/>
                <w:kern w:val="0"/>
                <w:szCs w:val="21"/>
                <w:highlight w:val="none"/>
              </w:rPr>
              <w:t>审查意见的函</w:t>
            </w:r>
            <w:r>
              <w:rPr>
                <w:color w:val="auto"/>
                <w:kern w:val="0"/>
                <w:szCs w:val="21"/>
                <w:highlight w:val="none"/>
              </w:rPr>
              <w:t>（陕西咸环函</w:t>
            </w:r>
            <w:r>
              <w:rPr>
                <w:rFonts w:hint="eastAsia"/>
                <w:color w:val="auto"/>
                <w:kern w:val="0"/>
                <w:szCs w:val="21"/>
                <w:highlight w:val="none"/>
              </w:rPr>
              <w:t>〔2021〕41号</w:t>
            </w:r>
            <w:r>
              <w:rPr>
                <w:color w:val="auto"/>
                <w:kern w:val="0"/>
                <w:szCs w:val="21"/>
                <w:highlight w:val="none"/>
              </w:rPr>
              <w:t>）</w:t>
            </w:r>
            <w:r>
              <w:rPr>
                <w:rFonts w:hint="eastAsia"/>
                <w:color w:val="auto"/>
                <w:kern w:val="0"/>
                <w:szCs w:val="21"/>
                <w:highlight w:val="none"/>
              </w:rPr>
              <w:t>。</w:t>
            </w:r>
          </w:p>
        </w:tc>
      </w:tr>
      <w:tr w14:paraId="03947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2" w:type="pct"/>
          <w:trHeight w:val="2019" w:hRule="atLeast"/>
          <w:jc w:val="center"/>
        </w:trPr>
        <w:tc>
          <w:tcPr>
            <w:tcW w:w="580" w:type="pct"/>
            <w:gridSpan w:val="2"/>
            <w:noWrap w:val="0"/>
            <w:vAlign w:val="center"/>
          </w:tcPr>
          <w:p w14:paraId="4AE3A474">
            <w:pPr>
              <w:autoSpaceDE w:val="0"/>
              <w:autoSpaceDN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规划及规划环境影响评价符合性分析</w:t>
            </w:r>
          </w:p>
        </w:tc>
        <w:tc>
          <w:tcPr>
            <w:tcW w:w="4366" w:type="pct"/>
            <w:gridSpan w:val="4"/>
            <w:noWrap w:val="0"/>
            <w:vAlign w:val="center"/>
          </w:tcPr>
          <w:p w14:paraId="2E0688BB">
            <w:pPr>
              <w:autoSpaceDE w:val="0"/>
              <w:autoSpaceDN w:val="0"/>
              <w:jc w:val="center"/>
              <w:rPr>
                <w:b/>
                <w:bCs/>
                <w:color w:val="auto"/>
                <w:kern w:val="0"/>
                <w:sz w:val="24"/>
                <w:highlight w:val="none"/>
              </w:rPr>
            </w:pPr>
            <w:r>
              <w:rPr>
                <w:b/>
                <w:bCs/>
                <w:color w:val="auto"/>
                <w:kern w:val="0"/>
                <w:sz w:val="24"/>
                <w:highlight w:val="none"/>
              </w:rPr>
              <w:t>表1-1 项目与规划及规划环评的相符性</w:t>
            </w:r>
          </w:p>
          <w:tbl>
            <w:tblPr>
              <w:tblStyle w:val="24"/>
              <w:tblW w:w="76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3279"/>
              <w:gridCol w:w="2823"/>
              <w:gridCol w:w="443"/>
            </w:tblGrid>
            <w:tr w14:paraId="255E36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716" w:type="pct"/>
                  <w:noWrap w:val="0"/>
                  <w:vAlign w:val="center"/>
                </w:tcPr>
                <w:p w14:paraId="487CB8BD">
                  <w:pPr>
                    <w:jc w:val="center"/>
                    <w:rPr>
                      <w:b/>
                      <w:bCs/>
                      <w:color w:val="auto"/>
                      <w:szCs w:val="21"/>
                      <w:highlight w:val="none"/>
                    </w:rPr>
                  </w:pPr>
                  <w:r>
                    <w:rPr>
                      <w:b/>
                      <w:bCs/>
                      <w:color w:val="auto"/>
                      <w:szCs w:val="21"/>
                      <w:highlight w:val="none"/>
                    </w:rPr>
                    <w:t>文件</w:t>
                  </w:r>
                </w:p>
              </w:tc>
              <w:tc>
                <w:tcPr>
                  <w:tcW w:w="2146" w:type="pct"/>
                  <w:noWrap w:val="0"/>
                  <w:vAlign w:val="center"/>
                </w:tcPr>
                <w:p w14:paraId="37DB2CA2">
                  <w:pPr>
                    <w:jc w:val="center"/>
                    <w:rPr>
                      <w:b/>
                      <w:bCs/>
                      <w:color w:val="auto"/>
                      <w:szCs w:val="21"/>
                      <w:highlight w:val="none"/>
                    </w:rPr>
                  </w:pPr>
                  <w:r>
                    <w:rPr>
                      <w:b/>
                      <w:bCs/>
                      <w:color w:val="auto"/>
                      <w:szCs w:val="21"/>
                      <w:highlight w:val="none"/>
                    </w:rPr>
                    <w:t>政策要求</w:t>
                  </w:r>
                </w:p>
              </w:tc>
              <w:tc>
                <w:tcPr>
                  <w:tcW w:w="1847" w:type="pct"/>
                  <w:noWrap w:val="0"/>
                  <w:vAlign w:val="center"/>
                </w:tcPr>
                <w:p w14:paraId="23C7954D">
                  <w:pPr>
                    <w:jc w:val="center"/>
                    <w:rPr>
                      <w:b/>
                      <w:bCs/>
                      <w:color w:val="auto"/>
                      <w:szCs w:val="21"/>
                      <w:highlight w:val="none"/>
                    </w:rPr>
                  </w:pPr>
                  <w:r>
                    <w:rPr>
                      <w:b/>
                      <w:bCs/>
                      <w:color w:val="auto"/>
                      <w:szCs w:val="21"/>
                      <w:highlight w:val="none"/>
                    </w:rPr>
                    <w:t>本项目情况</w:t>
                  </w:r>
                </w:p>
              </w:tc>
              <w:tc>
                <w:tcPr>
                  <w:tcW w:w="289" w:type="pct"/>
                  <w:noWrap w:val="0"/>
                  <w:vAlign w:val="center"/>
                </w:tcPr>
                <w:p w14:paraId="72380D3E">
                  <w:pPr>
                    <w:jc w:val="center"/>
                    <w:rPr>
                      <w:b/>
                      <w:bCs/>
                      <w:color w:val="auto"/>
                      <w:szCs w:val="21"/>
                      <w:highlight w:val="none"/>
                    </w:rPr>
                  </w:pPr>
                  <w:r>
                    <w:rPr>
                      <w:b/>
                      <w:bCs/>
                      <w:color w:val="auto"/>
                      <w:szCs w:val="21"/>
                      <w:highlight w:val="none"/>
                    </w:rPr>
                    <w:t>相符性</w:t>
                  </w:r>
                </w:p>
              </w:tc>
            </w:tr>
            <w:tr w14:paraId="3CF10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restart"/>
                  <w:noWrap w:val="0"/>
                  <w:vAlign w:val="center"/>
                </w:tcPr>
                <w:p w14:paraId="000AE034">
                  <w:pPr>
                    <w:jc w:val="center"/>
                    <w:rPr>
                      <w:color w:val="auto"/>
                      <w:szCs w:val="21"/>
                      <w:highlight w:val="none"/>
                    </w:rPr>
                  </w:pPr>
                  <w:r>
                    <w:rPr>
                      <w:color w:val="auto"/>
                      <w:szCs w:val="21"/>
                      <w:highlight w:val="none"/>
                    </w:rPr>
                    <w:t>《西咸新区-泾河新城分区规划修编（2016-2035）》</w:t>
                  </w:r>
                </w:p>
              </w:tc>
              <w:tc>
                <w:tcPr>
                  <w:tcW w:w="2146" w:type="pct"/>
                  <w:noWrap w:val="0"/>
                  <w:vAlign w:val="center"/>
                </w:tcPr>
                <w:p w14:paraId="32A94E54">
                  <w:pPr>
                    <w:pStyle w:val="8"/>
                    <w:rPr>
                      <w:color w:val="auto"/>
                      <w:szCs w:val="21"/>
                      <w:highlight w:val="none"/>
                    </w:rPr>
                  </w:pPr>
                  <w:r>
                    <w:rPr>
                      <w:rFonts w:hint="eastAsia"/>
                      <w:color w:val="auto"/>
                      <w:highlight w:val="none"/>
                      <w:lang w:val="en-US" w:eastAsia="zh-CN"/>
                    </w:rPr>
                    <w:t>发展定位：以先进制造业、现代服务业、现代农业为主导产业，以智能制造、生产性服务、文化旅游和茯茶产业为特色产业，具有浓厚古今文化韵味、智慧宜居氛围的大西安北部生态休闲示范区和渭北创新产业服务高地。</w:t>
                  </w:r>
                </w:p>
              </w:tc>
              <w:tc>
                <w:tcPr>
                  <w:tcW w:w="1847" w:type="pct"/>
                  <w:vMerge w:val="restart"/>
                  <w:noWrap w:val="0"/>
                  <w:vAlign w:val="center"/>
                </w:tcPr>
                <w:p w14:paraId="1BD36D63">
                  <w:pPr>
                    <w:pStyle w:val="8"/>
                    <w:rPr>
                      <w:color w:val="auto"/>
                      <w:highlight w:val="none"/>
                    </w:rPr>
                  </w:pPr>
                  <w:r>
                    <w:rPr>
                      <w:color w:val="auto"/>
                      <w:szCs w:val="21"/>
                      <w:highlight w:val="none"/>
                      <w:lang w:bidi="ar"/>
                    </w:rPr>
                    <w:t>本项目位于</w:t>
                  </w:r>
                  <w:r>
                    <w:rPr>
                      <w:rFonts w:hint="eastAsia"/>
                      <w:color w:val="auto"/>
                      <w:szCs w:val="21"/>
                      <w:highlight w:val="none"/>
                      <w:lang w:bidi="ar"/>
                    </w:rPr>
                    <w:t>泾河新城原点西二路陕西力拓重工机械有限公司三号厂房</w:t>
                  </w:r>
                  <w:r>
                    <w:rPr>
                      <w:color w:val="auto"/>
                      <w:szCs w:val="21"/>
                      <w:highlight w:val="none"/>
                      <w:lang w:bidi="ar"/>
                    </w:rPr>
                    <w:t>，</w:t>
                  </w:r>
                  <w:r>
                    <w:rPr>
                      <w:rFonts w:hint="eastAsia"/>
                      <w:color w:val="auto"/>
                      <w:szCs w:val="21"/>
                      <w:highlight w:val="none"/>
                      <w:lang w:val="en-US" w:eastAsia="zh-CN" w:bidi="ar"/>
                    </w:rPr>
                    <w:t>位于</w:t>
                  </w:r>
                  <w:r>
                    <w:rPr>
                      <w:color w:val="auto"/>
                      <w:szCs w:val="21"/>
                      <w:highlight w:val="none"/>
                      <w:lang w:bidi="ar"/>
                    </w:rPr>
                    <w:t>规划范围内</w:t>
                  </w:r>
                  <w:r>
                    <w:rPr>
                      <w:rFonts w:hint="eastAsia"/>
                      <w:color w:val="auto"/>
                      <w:szCs w:val="21"/>
                      <w:highlight w:val="none"/>
                      <w:lang w:eastAsia="zh-CN" w:bidi="ar"/>
                    </w:rPr>
                    <w:t>，</w:t>
                  </w:r>
                  <w:r>
                    <w:rPr>
                      <w:rFonts w:hint="eastAsia"/>
                      <w:color w:val="auto"/>
                      <w:szCs w:val="21"/>
                      <w:highlight w:val="none"/>
                      <w:lang w:val="en-US" w:eastAsia="zh-CN" w:bidi="ar"/>
                    </w:rPr>
                    <w:t>属于</w:t>
                  </w:r>
                  <w:r>
                    <w:rPr>
                      <w:rFonts w:hint="eastAsia"/>
                      <w:color w:val="auto"/>
                      <w:highlight w:val="none"/>
                      <w:lang w:val="en-US" w:eastAsia="zh-CN"/>
                    </w:rPr>
                    <w:t>泾河新城八个功能分区之一的中国原点智慧科创产业区</w:t>
                  </w:r>
                  <w:r>
                    <w:rPr>
                      <w:color w:val="auto"/>
                      <w:szCs w:val="21"/>
                      <w:highlight w:val="none"/>
                      <w:lang w:bidi="ar"/>
                    </w:rPr>
                    <w:t>，</w:t>
                  </w:r>
                  <w:r>
                    <w:rPr>
                      <w:rFonts w:hint="eastAsia"/>
                      <w:color w:val="auto"/>
                      <w:szCs w:val="21"/>
                      <w:highlight w:val="none"/>
                      <w:lang w:val="en-US" w:eastAsia="zh-CN" w:bidi="ar"/>
                    </w:rPr>
                    <w:t>本项目为</w:t>
                  </w:r>
                  <w:r>
                    <w:rPr>
                      <w:rFonts w:hint="eastAsia"/>
                      <w:color w:val="auto"/>
                      <w:szCs w:val="21"/>
                      <w:highlight w:val="none"/>
                      <w:lang w:bidi="ar"/>
                    </w:rPr>
                    <w:t>电子专用材料制造</w:t>
                  </w:r>
                  <w:r>
                    <w:rPr>
                      <w:color w:val="auto"/>
                      <w:szCs w:val="21"/>
                      <w:highlight w:val="none"/>
                      <w:lang w:bidi="ar"/>
                    </w:rPr>
                    <w:t>，</w:t>
                  </w:r>
                  <w:r>
                    <w:rPr>
                      <w:rFonts w:hint="eastAsia"/>
                      <w:color w:val="auto"/>
                      <w:szCs w:val="21"/>
                      <w:highlight w:val="none"/>
                      <w:lang w:val="en-US" w:eastAsia="zh-CN" w:bidi="ar"/>
                    </w:rPr>
                    <w:t>属于中国原点智慧科创产业区中的高端制造，</w:t>
                  </w:r>
                  <w:r>
                    <w:rPr>
                      <w:color w:val="auto"/>
                      <w:szCs w:val="21"/>
                      <w:highlight w:val="none"/>
                      <w:lang w:bidi="ar"/>
                    </w:rPr>
                    <w:t>符合</w:t>
                  </w:r>
                  <w:r>
                    <w:rPr>
                      <w:rFonts w:hint="eastAsia"/>
                      <w:color w:val="auto"/>
                      <w:szCs w:val="21"/>
                      <w:highlight w:val="none"/>
                      <w:lang w:bidi="ar"/>
                    </w:rPr>
                    <w:t>泾河新城总体</w:t>
                  </w:r>
                  <w:r>
                    <w:rPr>
                      <w:color w:val="auto"/>
                      <w:szCs w:val="21"/>
                      <w:highlight w:val="none"/>
                      <w:lang w:bidi="ar"/>
                    </w:rPr>
                    <w:t>定位。</w:t>
                  </w:r>
                </w:p>
              </w:tc>
              <w:tc>
                <w:tcPr>
                  <w:tcW w:w="289" w:type="pct"/>
                  <w:noWrap w:val="0"/>
                  <w:vAlign w:val="center"/>
                </w:tcPr>
                <w:p w14:paraId="7E54067A">
                  <w:pPr>
                    <w:jc w:val="center"/>
                    <w:rPr>
                      <w:color w:val="auto"/>
                      <w:szCs w:val="21"/>
                      <w:highlight w:val="none"/>
                    </w:rPr>
                  </w:pPr>
                  <w:r>
                    <w:rPr>
                      <w:rFonts w:hint="eastAsia"/>
                      <w:color w:val="auto"/>
                      <w:szCs w:val="21"/>
                      <w:highlight w:val="none"/>
                      <w:lang w:val="en-US" w:eastAsia="zh-CN"/>
                    </w:rPr>
                    <w:t>符合</w:t>
                  </w:r>
                </w:p>
              </w:tc>
            </w:tr>
            <w:tr w14:paraId="14FB0A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68E1F014">
                  <w:pPr>
                    <w:jc w:val="center"/>
                    <w:rPr>
                      <w:color w:val="auto"/>
                      <w:szCs w:val="21"/>
                      <w:highlight w:val="none"/>
                    </w:rPr>
                  </w:pPr>
                </w:p>
              </w:tc>
              <w:tc>
                <w:tcPr>
                  <w:tcW w:w="2146" w:type="pct"/>
                  <w:shd w:val="clear" w:color="auto" w:fill="auto"/>
                  <w:noWrap w:val="0"/>
                  <w:vAlign w:val="center"/>
                </w:tcPr>
                <w:p w14:paraId="2B465941">
                  <w:pPr>
                    <w:pStyle w:val="8"/>
                    <w:bidi w:val="0"/>
                    <w:rPr>
                      <w:rFonts w:hint="eastAsia"/>
                      <w:color w:val="auto"/>
                      <w:highlight w:val="none"/>
                      <w:lang w:val="en-US" w:eastAsia="zh-CN"/>
                    </w:rPr>
                  </w:pPr>
                  <w:r>
                    <w:rPr>
                      <w:rFonts w:hint="eastAsia"/>
                      <w:color w:val="auto"/>
                      <w:highlight w:val="none"/>
                      <w:lang w:val="en-US" w:eastAsia="zh-CN"/>
                    </w:rPr>
                    <w:t>结合规划总体定位要求，根据各片区主导功能的不同，将泾河新城划分为八个功能分区：</w:t>
                  </w:r>
                </w:p>
                <w:p w14:paraId="03FF7574">
                  <w:pPr>
                    <w:pStyle w:val="8"/>
                    <w:bidi w:val="0"/>
                    <w:rPr>
                      <w:rFonts w:hint="eastAsia"/>
                      <w:color w:val="auto"/>
                      <w:highlight w:val="none"/>
                      <w:lang w:val="en-US" w:eastAsia="zh-CN"/>
                    </w:rPr>
                  </w:pPr>
                  <w:r>
                    <w:rPr>
                      <w:rFonts w:hint="eastAsia"/>
                      <w:b/>
                      <w:bCs/>
                      <w:color w:val="auto"/>
                      <w:highlight w:val="none"/>
                      <w:lang w:val="en-US" w:eastAsia="zh-CN"/>
                    </w:rPr>
                    <w:t>1.大西安中轴线渭河北岸城市核心区：</w:t>
                  </w:r>
                  <w:r>
                    <w:rPr>
                      <w:rFonts w:hint="eastAsia"/>
                      <w:color w:val="auto"/>
                      <w:highlight w:val="none"/>
                      <w:lang w:val="en-US" w:eastAsia="zh-CN"/>
                    </w:rPr>
                    <w:t>大西安中轴线渭河北岸城市核心区包括泾河北岸，大西安中轴线北延伸段（正阳大道）东西两侧区域，东至西铜一级路、南至泾河北岸、西至延西高速、北至高泾大道，是大西安中轴线北部心中的核心功能承载区和形象展示区，以文化体育、商业商贸、医疗康体和商业商贸等为主要功能。</w:t>
                  </w:r>
                </w:p>
                <w:p w14:paraId="4AA5C172">
                  <w:pPr>
                    <w:pStyle w:val="8"/>
                    <w:bidi w:val="0"/>
                    <w:rPr>
                      <w:rFonts w:hint="eastAsia"/>
                      <w:b w:val="0"/>
                      <w:bCs w:val="0"/>
                      <w:color w:val="auto"/>
                      <w:highlight w:val="none"/>
                      <w:lang w:val="en-US" w:eastAsia="zh-CN"/>
                    </w:rPr>
                  </w:pPr>
                  <w:r>
                    <w:rPr>
                      <w:rFonts w:hint="eastAsia"/>
                      <w:b/>
                      <w:bCs/>
                      <w:color w:val="auto"/>
                      <w:highlight w:val="none"/>
                      <w:lang w:val="en-US" w:eastAsia="zh-CN"/>
                    </w:rPr>
                    <w:t>2.一河两岸生态景观区：</w:t>
                  </w:r>
                  <w:r>
                    <w:rPr>
                      <w:rFonts w:hint="eastAsia"/>
                      <w:b w:val="0"/>
                      <w:bCs w:val="0"/>
                      <w:color w:val="auto"/>
                      <w:highlight w:val="none"/>
                      <w:lang w:val="en-US" w:eastAsia="zh-CN"/>
                    </w:rPr>
                    <w:t>一河两岸生态景观区包括泾河及周边的滩地，形成以泾河湾、渡口、湿地公园等为主要内容，以休闲观光、亲水娱乐等功能为主的旅游观光和生态景观片区。</w:t>
                  </w:r>
                </w:p>
                <w:p w14:paraId="16AEBBD4">
                  <w:pPr>
                    <w:pStyle w:val="8"/>
                    <w:bidi w:val="0"/>
                    <w:rPr>
                      <w:rFonts w:hint="eastAsia"/>
                      <w:b w:val="0"/>
                      <w:bCs w:val="0"/>
                      <w:color w:val="auto"/>
                      <w:highlight w:val="none"/>
                      <w:lang w:val="en-US" w:eastAsia="zh-CN"/>
                    </w:rPr>
                  </w:pPr>
                  <w:r>
                    <w:rPr>
                      <w:rFonts w:hint="eastAsia"/>
                      <w:b/>
                      <w:bCs/>
                      <w:color w:val="auto"/>
                      <w:highlight w:val="none"/>
                      <w:lang w:val="en-US" w:eastAsia="zh-CN"/>
                    </w:rPr>
                    <w:t>3.崇文尚学国际生活服务区：</w:t>
                  </w:r>
                  <w:r>
                    <w:rPr>
                      <w:rFonts w:hint="eastAsia"/>
                      <w:b w:val="0"/>
                      <w:bCs w:val="0"/>
                      <w:color w:val="auto"/>
                      <w:highlight w:val="none"/>
                      <w:lang w:val="en-US" w:eastAsia="zh-CN"/>
                    </w:rPr>
                    <w:t>崇文尚学国际生活服务区包括以茶马大道西侧的行政办公区、商务办公区以及崇文湖为核心的高尚生活服务区，东至延西高速、南至泾河北岸、西至镇东路、北至高泾大道，主导功能为国际基础教育、综合办公和高端居住。</w:t>
                  </w:r>
                </w:p>
                <w:p w14:paraId="6518EA00">
                  <w:pPr>
                    <w:pStyle w:val="8"/>
                    <w:bidi w:val="0"/>
                    <w:rPr>
                      <w:rFonts w:hint="eastAsia"/>
                      <w:b w:val="0"/>
                      <w:bCs w:val="0"/>
                      <w:color w:val="auto"/>
                      <w:highlight w:val="none"/>
                      <w:lang w:val="en-US" w:eastAsia="zh-CN"/>
                    </w:rPr>
                  </w:pPr>
                  <w:r>
                    <w:rPr>
                      <w:rFonts w:hint="eastAsia"/>
                      <w:b/>
                      <w:bCs/>
                      <w:color w:val="auto"/>
                      <w:highlight w:val="none"/>
                      <w:lang w:val="en-US" w:eastAsia="zh-CN"/>
                    </w:rPr>
                    <w:t>4.中国原点智慧科创产业区：</w:t>
                  </w:r>
                  <w:r>
                    <w:rPr>
                      <w:rFonts w:hint="eastAsia"/>
                      <w:b w:val="0"/>
                      <w:bCs w:val="0"/>
                      <w:color w:val="auto"/>
                      <w:highlight w:val="none"/>
                      <w:lang w:val="en-US" w:eastAsia="zh-CN"/>
                    </w:rPr>
                    <w:t>中国原点智慧科创产业区包括以大地原点为中心，涵盖东西两侧的工业产业园，东至西铜一级路，南至高泾大道、西至茶马大道、北至原点大道，以智能制造和高端制造为主，兼有研发会展和居住生活等功能。</w:t>
                  </w:r>
                </w:p>
                <w:p w14:paraId="1BCB0A19">
                  <w:pPr>
                    <w:pStyle w:val="8"/>
                    <w:bidi w:val="0"/>
                    <w:rPr>
                      <w:rFonts w:hint="eastAsia"/>
                      <w:b w:val="0"/>
                      <w:bCs w:val="0"/>
                      <w:color w:val="auto"/>
                      <w:highlight w:val="none"/>
                      <w:lang w:val="en-US" w:eastAsia="zh-CN"/>
                    </w:rPr>
                  </w:pPr>
                  <w:r>
                    <w:rPr>
                      <w:rFonts w:hint="eastAsia"/>
                      <w:b/>
                      <w:bCs/>
                      <w:color w:val="auto"/>
                      <w:highlight w:val="none"/>
                      <w:lang w:val="en-US" w:eastAsia="zh-CN"/>
                    </w:rPr>
                    <w:t>5.茯茶农业旅游示范区：</w:t>
                  </w:r>
                  <w:r>
                    <w:rPr>
                      <w:rFonts w:hint="eastAsia"/>
                      <w:b w:val="0"/>
                      <w:bCs w:val="0"/>
                      <w:color w:val="auto"/>
                      <w:highlight w:val="none"/>
                      <w:lang w:val="en-US" w:eastAsia="zh-CN"/>
                    </w:rPr>
                    <w:t>茯茶农业旅游示范区包括茯茶小镇、花里小镇及其周边的农林用地，东至茶马大道，南至泾河北岸、西至秦龙大道、北至原点大道，重点发展以茯茶业为主的都市农业，兼具文化展示、休闲旅游和农业体验等旅游功能。</w:t>
                  </w:r>
                </w:p>
                <w:p w14:paraId="1BCF0937">
                  <w:pPr>
                    <w:pStyle w:val="8"/>
                    <w:bidi w:val="0"/>
                    <w:rPr>
                      <w:rFonts w:hint="eastAsia"/>
                      <w:b w:val="0"/>
                      <w:bCs w:val="0"/>
                      <w:color w:val="auto"/>
                      <w:highlight w:val="none"/>
                      <w:lang w:val="en-US" w:eastAsia="zh-CN"/>
                    </w:rPr>
                  </w:pPr>
                  <w:r>
                    <w:rPr>
                      <w:rFonts w:hint="eastAsia"/>
                      <w:b/>
                      <w:bCs/>
                      <w:color w:val="auto"/>
                      <w:highlight w:val="none"/>
                      <w:lang w:val="en-US" w:eastAsia="zh-CN"/>
                    </w:rPr>
                    <w:t>6.乐华娱乐康体体验区：</w:t>
                  </w:r>
                  <w:r>
                    <w:rPr>
                      <w:rFonts w:hint="eastAsia"/>
                      <w:b w:val="0"/>
                      <w:bCs w:val="0"/>
                      <w:color w:val="auto"/>
                      <w:highlight w:val="none"/>
                      <w:lang w:val="en-US" w:eastAsia="zh-CN"/>
                    </w:rPr>
                    <w:t>乐华娱乐休闲区是以乐华城、88度温泉等为娱乐、度假项目为核心，以居住、商业、中小学等配套设施为辅助的城市综合片区，东至正阳大道，南至泾河新城南边界、西至泾河新城西边界、北至泾河新城南岸，主导功能为娱乐休闲、商业商贸和居住生活。</w:t>
                  </w:r>
                </w:p>
                <w:p w14:paraId="090CE52D">
                  <w:pPr>
                    <w:pStyle w:val="8"/>
                    <w:bidi w:val="0"/>
                    <w:rPr>
                      <w:rFonts w:hint="eastAsia"/>
                      <w:b w:val="0"/>
                      <w:bCs w:val="0"/>
                      <w:color w:val="auto"/>
                      <w:highlight w:val="none"/>
                      <w:lang w:val="en-US" w:eastAsia="zh-CN"/>
                    </w:rPr>
                  </w:pPr>
                  <w:r>
                    <w:rPr>
                      <w:rFonts w:hint="eastAsia"/>
                      <w:b/>
                      <w:bCs/>
                      <w:color w:val="auto"/>
                      <w:highlight w:val="none"/>
                      <w:lang w:val="en-US" w:eastAsia="zh-CN"/>
                    </w:rPr>
                    <w:t>7.泾阳秦商文化生活服务区：</w:t>
                  </w:r>
                  <w:r>
                    <w:rPr>
                      <w:rFonts w:hint="eastAsia"/>
                      <w:b w:val="0"/>
                      <w:bCs w:val="0"/>
                      <w:color w:val="auto"/>
                      <w:highlight w:val="none"/>
                      <w:lang w:val="en-US" w:eastAsia="zh-CN"/>
                    </w:rPr>
                    <w:t>泾阳秦商文化生活服务区特指泾干镇现状建成区，东至秦龙大道、西至吉元大街、南至高泾大道、北至原点达到，是以文化展示、居住生活、旅游服务、商业商贸等功能为主的综合服务区。</w:t>
                  </w:r>
                </w:p>
                <w:p w14:paraId="28F0D508">
                  <w:pPr>
                    <w:pStyle w:val="8"/>
                    <w:bidi w:val="0"/>
                    <w:ind w:left="0" w:leftChars="0"/>
                    <w:rPr>
                      <w:rFonts w:hint="eastAsia" w:ascii="Times New Roman" w:hAnsi="Times New Roman" w:eastAsia="宋体" w:cs="Times New Roman"/>
                      <w:b w:val="0"/>
                      <w:bCs w:val="0"/>
                      <w:color w:val="auto"/>
                      <w:kern w:val="0"/>
                      <w:sz w:val="21"/>
                      <w:szCs w:val="20"/>
                      <w:highlight w:val="none"/>
                      <w:lang w:val="en-US" w:eastAsia="zh-CN" w:bidi="ar-SA"/>
                    </w:rPr>
                  </w:pPr>
                  <w:r>
                    <w:rPr>
                      <w:rFonts w:hint="eastAsia"/>
                      <w:b/>
                      <w:bCs/>
                      <w:color w:val="auto"/>
                      <w:highlight w:val="none"/>
                      <w:lang w:val="en-US" w:eastAsia="zh-CN"/>
                    </w:rPr>
                    <w:t>8.泾阳科教创新创业区：</w:t>
                  </w:r>
                  <w:r>
                    <w:rPr>
                      <w:rFonts w:hint="eastAsia"/>
                      <w:b w:val="0"/>
                      <w:bCs w:val="0"/>
                      <w:color w:val="auto"/>
                      <w:highlight w:val="none"/>
                      <w:lang w:val="en-US" w:eastAsia="zh-CN"/>
                    </w:rPr>
                    <w:t>泾阳科教创新创业区位于泾干镇现状建成区以南，东至秦龙大道、西至吉元大街、南至泾河北岸、北至高泾大道，以科研教育、文化休闲功能为主，兼具居住生活、商业商贸等功能，是泾河新城西部片区未来拓展的核心区域和优先发展的重点区域。</w:t>
                  </w:r>
                </w:p>
              </w:tc>
              <w:tc>
                <w:tcPr>
                  <w:tcW w:w="1847" w:type="pct"/>
                  <w:vMerge w:val="continue"/>
                  <w:noWrap w:val="0"/>
                  <w:vAlign w:val="center"/>
                </w:tcPr>
                <w:p w14:paraId="334132CB">
                  <w:pPr>
                    <w:pStyle w:val="8"/>
                    <w:rPr>
                      <w:color w:val="auto"/>
                      <w:szCs w:val="21"/>
                      <w:highlight w:val="none"/>
                      <w:lang w:bidi="ar"/>
                    </w:rPr>
                  </w:pPr>
                </w:p>
              </w:tc>
              <w:tc>
                <w:tcPr>
                  <w:tcW w:w="289" w:type="pct"/>
                  <w:noWrap w:val="0"/>
                  <w:vAlign w:val="center"/>
                </w:tcPr>
                <w:p w14:paraId="71638E7C">
                  <w:pPr>
                    <w:jc w:val="center"/>
                    <w:rPr>
                      <w:rFonts w:hint="default" w:eastAsia="宋体"/>
                      <w:color w:val="auto"/>
                      <w:szCs w:val="21"/>
                      <w:highlight w:val="none"/>
                      <w:lang w:val="en-US" w:eastAsia="zh-CN"/>
                    </w:rPr>
                  </w:pPr>
                  <w:r>
                    <w:rPr>
                      <w:rFonts w:hint="eastAsia"/>
                      <w:color w:val="auto"/>
                      <w:szCs w:val="21"/>
                      <w:highlight w:val="none"/>
                      <w:lang w:val="en-US" w:eastAsia="zh-CN"/>
                    </w:rPr>
                    <w:t>符合</w:t>
                  </w:r>
                </w:p>
              </w:tc>
            </w:tr>
            <w:tr w14:paraId="2C751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restart"/>
                  <w:noWrap w:val="0"/>
                  <w:vAlign w:val="center"/>
                </w:tcPr>
                <w:p w14:paraId="09F3FFB0">
                  <w:pPr>
                    <w:jc w:val="center"/>
                    <w:rPr>
                      <w:color w:val="auto"/>
                      <w:szCs w:val="21"/>
                      <w:highlight w:val="none"/>
                    </w:rPr>
                  </w:pPr>
                  <w:r>
                    <w:rPr>
                      <w:color w:val="auto"/>
                      <w:szCs w:val="21"/>
                      <w:highlight w:val="none"/>
                    </w:rPr>
                    <w:t>《</w:t>
                  </w:r>
                  <w:r>
                    <w:rPr>
                      <w:rFonts w:hint="eastAsia"/>
                      <w:color w:val="auto"/>
                      <w:szCs w:val="21"/>
                      <w:highlight w:val="none"/>
                    </w:rPr>
                    <w:t>陕西省西咸新区泾河新城分区规划（2016-2035）环境影响报告书</w:t>
                  </w:r>
                  <w:r>
                    <w:rPr>
                      <w:color w:val="auto"/>
                      <w:szCs w:val="21"/>
                      <w:highlight w:val="none"/>
                    </w:rPr>
                    <w:t>》</w:t>
                  </w:r>
                </w:p>
              </w:tc>
              <w:tc>
                <w:tcPr>
                  <w:tcW w:w="2146" w:type="pct"/>
                  <w:noWrap w:val="0"/>
                  <w:vAlign w:val="center"/>
                </w:tcPr>
                <w:p w14:paraId="580F34C2">
                  <w:pPr>
                    <w:pStyle w:val="8"/>
                    <w:rPr>
                      <w:color w:val="auto"/>
                      <w:highlight w:val="none"/>
                    </w:rPr>
                  </w:pPr>
                  <w:r>
                    <w:rPr>
                      <w:rFonts w:hint="eastAsia"/>
                      <w:color w:val="auto"/>
                      <w:highlight w:val="none"/>
                    </w:rPr>
                    <w:t>企业应强化废气污染物治理措施,确保废气排放满足《大气污染物综合排放标准》(GB16279-1996)二级标准或相应行业标准特别排放限值要求。</w:t>
                  </w:r>
                </w:p>
              </w:tc>
              <w:tc>
                <w:tcPr>
                  <w:tcW w:w="1847" w:type="pct"/>
                  <w:noWrap w:val="0"/>
                  <w:vAlign w:val="center"/>
                </w:tcPr>
                <w:p w14:paraId="1738CF27">
                  <w:pPr>
                    <w:pStyle w:val="8"/>
                    <w:rPr>
                      <w:rFonts w:hint="eastAsia" w:eastAsia="宋体"/>
                      <w:color w:val="auto"/>
                      <w:highlight w:val="none"/>
                      <w:lang w:val="en-US" w:eastAsia="zh-CN"/>
                    </w:rPr>
                  </w:pPr>
                  <w:r>
                    <w:rPr>
                      <w:rFonts w:hint="eastAsia"/>
                      <w:color w:val="auto"/>
                      <w:highlight w:val="none"/>
                      <w:lang w:val="en-US" w:eastAsia="zh-CN"/>
                    </w:rPr>
                    <w:t>本项目</w:t>
                  </w:r>
                  <w:r>
                    <w:rPr>
                      <w:rFonts w:hint="eastAsia"/>
                      <w:color w:val="auto"/>
                      <w:highlight w:val="none"/>
                    </w:rPr>
                    <w:t>运营期</w:t>
                  </w:r>
                  <w:r>
                    <w:rPr>
                      <w:rFonts w:hint="eastAsia"/>
                      <w:color w:val="auto"/>
                      <w:highlight w:val="none"/>
                      <w:lang w:val="en-US" w:eastAsia="zh-CN"/>
                    </w:rPr>
                    <w:t>废气有上料粉尘和有机废气，上料粉尘经脉冲净化器配套喇叭口收集进入脉冲净化器处理后在车间无组织排放；有机废气由10个集气罩收集进入二级活性炭装置处理后通过1根18.5m高排气筒（DA001）达标排放。其中</w:t>
                  </w:r>
                  <w:r>
                    <w:rPr>
                      <w:rFonts w:hint="eastAsia"/>
                      <w:color w:val="auto"/>
                      <w:highlight w:val="none"/>
                    </w:rPr>
                    <w:t>非甲烷总烃有组织排放执行《大气污染物综合排放标准》（GB16297-1996）表2二级标准；无组织排放执行《大气污染物综合排放标准》（GB16297-1996）表2周界外浓度最高点浓度限值、厂区内挥发性有机物执行《挥发性有机物无组织排放控制标准》（GB37822-2019）附录A厂区内VOCs特别排放限值；颗粒物无组织执行《大气污染物综合排放标准》（GB16297-1996）表2周界外浓度最高点浓度限值</w:t>
                  </w:r>
                  <w:r>
                    <w:rPr>
                      <w:rFonts w:hint="eastAsia"/>
                      <w:color w:val="auto"/>
                      <w:highlight w:val="none"/>
                      <w:lang w:eastAsia="zh-CN"/>
                    </w:rPr>
                    <w:t>。</w:t>
                  </w:r>
                </w:p>
              </w:tc>
              <w:tc>
                <w:tcPr>
                  <w:tcW w:w="289" w:type="pct"/>
                  <w:noWrap w:val="0"/>
                  <w:vAlign w:val="center"/>
                </w:tcPr>
                <w:p w14:paraId="46861B93">
                  <w:pPr>
                    <w:jc w:val="center"/>
                    <w:rPr>
                      <w:rFonts w:hint="eastAsia" w:eastAsia="宋体"/>
                      <w:color w:val="auto"/>
                      <w:szCs w:val="21"/>
                      <w:highlight w:val="none"/>
                      <w:lang w:eastAsia="zh-CN"/>
                    </w:rPr>
                  </w:pPr>
                  <w:r>
                    <w:rPr>
                      <w:rFonts w:hint="eastAsia"/>
                      <w:color w:val="auto"/>
                      <w:szCs w:val="21"/>
                      <w:highlight w:val="none"/>
                      <w:lang w:val="en-US" w:eastAsia="zh-CN"/>
                    </w:rPr>
                    <w:t>符合</w:t>
                  </w:r>
                </w:p>
              </w:tc>
            </w:tr>
            <w:tr w14:paraId="300935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119D9139">
                  <w:pPr>
                    <w:jc w:val="center"/>
                    <w:rPr>
                      <w:color w:val="auto"/>
                      <w:szCs w:val="21"/>
                      <w:highlight w:val="none"/>
                    </w:rPr>
                  </w:pPr>
                </w:p>
              </w:tc>
              <w:tc>
                <w:tcPr>
                  <w:tcW w:w="2146" w:type="pct"/>
                  <w:noWrap w:val="0"/>
                  <w:vAlign w:val="center"/>
                </w:tcPr>
                <w:p w14:paraId="4DB7B9C7">
                  <w:pPr>
                    <w:pStyle w:val="8"/>
                    <w:rPr>
                      <w:rFonts w:hint="eastAsia"/>
                      <w:color w:val="auto"/>
                      <w:highlight w:val="none"/>
                    </w:rPr>
                  </w:pPr>
                  <w:r>
                    <w:rPr>
                      <w:rFonts w:hint="eastAsia"/>
                      <w:color w:val="auto"/>
                      <w:highlight w:val="none"/>
                    </w:rPr>
                    <w:t>加强监督管理，确保入驻企业的污水预处理设施正常运行，保证进入污水处理厂的污水水质满足污水处理厂设计水质的要求，特别是严格控制含有毒有害污染物的废水排放</w:t>
                  </w:r>
                  <w:r>
                    <w:rPr>
                      <w:rFonts w:hint="eastAsia"/>
                      <w:color w:val="auto"/>
                      <w:highlight w:val="none"/>
                      <w:lang w:eastAsia="zh-CN"/>
                    </w:rPr>
                    <w:t>，</w:t>
                  </w:r>
                  <w:r>
                    <w:rPr>
                      <w:rFonts w:hint="eastAsia"/>
                      <w:color w:val="auto"/>
                      <w:highlight w:val="none"/>
                    </w:rPr>
                    <w:t>应根据下游污水处理厂的污水处理工艺和尾水排放标准</w:t>
                  </w:r>
                  <w:r>
                    <w:rPr>
                      <w:rFonts w:hint="eastAsia"/>
                      <w:color w:val="auto"/>
                      <w:highlight w:val="none"/>
                      <w:lang w:eastAsia="zh-CN"/>
                    </w:rPr>
                    <w:t>，</w:t>
                  </w:r>
                  <w:r>
                    <w:rPr>
                      <w:rFonts w:hint="eastAsia"/>
                      <w:color w:val="auto"/>
                      <w:highlight w:val="none"/>
                    </w:rPr>
                    <w:t>从严考虑接管标准。</w:t>
                  </w:r>
                </w:p>
              </w:tc>
              <w:tc>
                <w:tcPr>
                  <w:tcW w:w="1847" w:type="pct"/>
                  <w:noWrap w:val="0"/>
                  <w:vAlign w:val="center"/>
                </w:tcPr>
                <w:p w14:paraId="53F890A7">
                  <w:pPr>
                    <w:pStyle w:val="8"/>
                    <w:rPr>
                      <w:rFonts w:hint="default" w:eastAsia="宋体"/>
                      <w:color w:val="auto"/>
                      <w:highlight w:val="none"/>
                      <w:lang w:val="en-US" w:eastAsia="zh-CN"/>
                    </w:rPr>
                  </w:pPr>
                  <w:r>
                    <w:rPr>
                      <w:rFonts w:hint="eastAsia"/>
                      <w:color w:val="auto"/>
                      <w:highlight w:val="none"/>
                    </w:rPr>
                    <w:t>本项目无生产废水产生，员工生活污水经化粪池（50m</w:t>
                  </w:r>
                  <w:r>
                    <w:rPr>
                      <w:rFonts w:hint="eastAsia"/>
                      <w:color w:val="auto"/>
                      <w:highlight w:val="none"/>
                      <w:vertAlign w:val="superscript"/>
                    </w:rPr>
                    <w:t>3</w:t>
                  </w:r>
                  <w:r>
                    <w:rPr>
                      <w:rFonts w:hint="eastAsia"/>
                      <w:color w:val="auto"/>
                      <w:highlight w:val="none"/>
                    </w:rPr>
                    <w:t>，位于车间西北侧）处理后通过市政污水管网排入泾河新城第二污水处理厂集中处理。员工生活污水排放执行《污水综合排放标准》</w:t>
                  </w:r>
                  <w:r>
                    <w:rPr>
                      <w:rFonts w:hint="eastAsia"/>
                      <w:color w:val="auto"/>
                      <w:highlight w:val="none"/>
                      <w:lang w:eastAsia="zh-CN"/>
                    </w:rPr>
                    <w:t>（</w:t>
                  </w:r>
                  <w:r>
                    <w:rPr>
                      <w:rFonts w:hint="eastAsia"/>
                      <w:color w:val="auto"/>
                      <w:highlight w:val="none"/>
                    </w:rPr>
                    <w:t>GB8978-1996</w:t>
                  </w:r>
                  <w:r>
                    <w:rPr>
                      <w:rFonts w:hint="eastAsia"/>
                      <w:color w:val="auto"/>
                      <w:highlight w:val="none"/>
                      <w:lang w:eastAsia="zh-CN"/>
                    </w:rPr>
                    <w:t>）</w:t>
                  </w:r>
                  <w:r>
                    <w:rPr>
                      <w:rFonts w:hint="eastAsia"/>
                      <w:color w:val="auto"/>
                      <w:highlight w:val="none"/>
                    </w:rPr>
                    <w:t>中的三级标准及《污水排入城镇下水道水质标准》</w:t>
                  </w:r>
                  <w:r>
                    <w:rPr>
                      <w:rFonts w:hint="eastAsia"/>
                      <w:color w:val="auto"/>
                      <w:highlight w:val="none"/>
                      <w:lang w:eastAsia="zh-CN"/>
                    </w:rPr>
                    <w:t>（</w:t>
                  </w:r>
                  <w:r>
                    <w:rPr>
                      <w:rFonts w:hint="eastAsia"/>
                      <w:color w:val="auto"/>
                      <w:highlight w:val="none"/>
                    </w:rPr>
                    <w:t>GB/T31962-2015</w:t>
                  </w:r>
                  <w:r>
                    <w:rPr>
                      <w:rFonts w:hint="eastAsia"/>
                      <w:color w:val="auto"/>
                      <w:highlight w:val="none"/>
                      <w:lang w:eastAsia="zh-CN"/>
                    </w:rPr>
                    <w:t>）</w:t>
                  </w:r>
                  <w:r>
                    <w:rPr>
                      <w:rFonts w:hint="eastAsia"/>
                      <w:color w:val="auto"/>
                      <w:highlight w:val="none"/>
                    </w:rPr>
                    <w:t>中</w:t>
                  </w:r>
                  <w:r>
                    <w:rPr>
                      <w:rFonts w:hint="eastAsia"/>
                      <w:color w:val="auto"/>
                      <w:highlight w:val="none"/>
                      <w:lang w:val="en-US" w:eastAsia="zh-CN"/>
                    </w:rPr>
                    <w:t>A</w:t>
                  </w:r>
                  <w:r>
                    <w:rPr>
                      <w:rFonts w:hint="eastAsia"/>
                      <w:color w:val="auto"/>
                      <w:highlight w:val="none"/>
                    </w:rPr>
                    <w:t>级标准。</w:t>
                  </w:r>
                  <w:r>
                    <w:rPr>
                      <w:rFonts w:hint="eastAsia"/>
                      <w:color w:val="auto"/>
                      <w:highlight w:val="none"/>
                      <w:lang w:val="en-US" w:eastAsia="zh-CN"/>
                    </w:rPr>
                    <w:t>本项目不涉及有毒有害污染物的废水排放。</w:t>
                  </w:r>
                </w:p>
              </w:tc>
              <w:tc>
                <w:tcPr>
                  <w:tcW w:w="289" w:type="pct"/>
                  <w:noWrap w:val="0"/>
                  <w:vAlign w:val="center"/>
                </w:tcPr>
                <w:p w14:paraId="3050BE6A">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2F1366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689BFBBA">
                  <w:pPr>
                    <w:jc w:val="center"/>
                    <w:rPr>
                      <w:color w:val="auto"/>
                      <w:szCs w:val="21"/>
                      <w:highlight w:val="none"/>
                    </w:rPr>
                  </w:pPr>
                </w:p>
              </w:tc>
              <w:tc>
                <w:tcPr>
                  <w:tcW w:w="2146" w:type="pct"/>
                  <w:noWrap w:val="0"/>
                  <w:vAlign w:val="center"/>
                </w:tcPr>
                <w:p w14:paraId="458AA397">
                  <w:pPr>
                    <w:pStyle w:val="8"/>
                    <w:rPr>
                      <w:rFonts w:hint="eastAsia"/>
                      <w:color w:val="auto"/>
                      <w:highlight w:val="none"/>
                    </w:rPr>
                  </w:pPr>
                  <w:r>
                    <w:rPr>
                      <w:rFonts w:hint="eastAsia"/>
                      <w:color w:val="auto"/>
                      <w:highlight w:val="none"/>
                    </w:rPr>
                    <w:t>工业企业各种噪声源必须做到达标排放</w:t>
                  </w:r>
                  <w:r>
                    <w:rPr>
                      <w:rFonts w:hint="eastAsia"/>
                      <w:color w:val="auto"/>
                      <w:highlight w:val="none"/>
                      <w:lang w:eastAsia="zh-CN"/>
                    </w:rPr>
                    <w:t>，</w:t>
                  </w:r>
                  <w:r>
                    <w:rPr>
                      <w:rFonts w:hint="eastAsia"/>
                      <w:color w:val="auto"/>
                      <w:highlight w:val="none"/>
                    </w:rPr>
                    <w:t>达到《工业企业厂界环境噪声排放标准》(GB12348-2008)中相关标准要求。</w:t>
                  </w:r>
                </w:p>
              </w:tc>
              <w:tc>
                <w:tcPr>
                  <w:tcW w:w="1847" w:type="pct"/>
                  <w:noWrap w:val="0"/>
                  <w:vAlign w:val="center"/>
                </w:tcPr>
                <w:p w14:paraId="45243E7B">
                  <w:pPr>
                    <w:pStyle w:val="8"/>
                    <w:rPr>
                      <w:rFonts w:hint="eastAsia" w:eastAsia="宋体"/>
                      <w:color w:val="auto"/>
                      <w:highlight w:val="none"/>
                      <w:lang w:eastAsia="zh-CN"/>
                    </w:rPr>
                  </w:pPr>
                  <w:r>
                    <w:rPr>
                      <w:rFonts w:hint="eastAsia"/>
                      <w:color w:val="auto"/>
                      <w:highlight w:val="none"/>
                      <w:lang w:val="en-US" w:eastAsia="zh-CN"/>
                    </w:rPr>
                    <w:t>本项目</w:t>
                  </w:r>
                  <w:r>
                    <w:rPr>
                      <w:rFonts w:hint="eastAsia"/>
                      <w:color w:val="auto"/>
                      <w:highlight w:val="none"/>
                    </w:rPr>
                    <w:t>运营期厂界噪声执行《工业企业厂界环境噪声排放标准》（GB12348-2008）中的</w:t>
                  </w:r>
                  <w:r>
                    <w:rPr>
                      <w:rFonts w:hint="eastAsia"/>
                      <w:color w:val="auto"/>
                      <w:highlight w:val="none"/>
                      <w:lang w:val="en-US" w:eastAsia="zh-CN"/>
                    </w:rPr>
                    <w:t>3</w:t>
                  </w:r>
                  <w:r>
                    <w:rPr>
                      <w:rFonts w:hint="eastAsia"/>
                      <w:color w:val="auto"/>
                      <w:highlight w:val="none"/>
                    </w:rPr>
                    <w:t>类标准限值</w:t>
                  </w:r>
                  <w:r>
                    <w:rPr>
                      <w:rFonts w:hint="eastAsia"/>
                      <w:color w:val="auto"/>
                      <w:highlight w:val="none"/>
                      <w:lang w:eastAsia="zh-CN"/>
                    </w:rPr>
                    <w:t>。</w:t>
                  </w:r>
                </w:p>
              </w:tc>
              <w:tc>
                <w:tcPr>
                  <w:tcW w:w="289" w:type="pct"/>
                  <w:noWrap w:val="0"/>
                  <w:vAlign w:val="center"/>
                </w:tcPr>
                <w:p w14:paraId="65711A90">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5F6EE1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09B7F7AA">
                  <w:pPr>
                    <w:jc w:val="center"/>
                    <w:rPr>
                      <w:color w:val="auto"/>
                      <w:szCs w:val="21"/>
                      <w:highlight w:val="none"/>
                    </w:rPr>
                  </w:pPr>
                </w:p>
              </w:tc>
              <w:tc>
                <w:tcPr>
                  <w:tcW w:w="2146" w:type="pct"/>
                  <w:noWrap w:val="0"/>
                  <w:vAlign w:val="center"/>
                </w:tcPr>
                <w:p w14:paraId="27DBF764">
                  <w:pPr>
                    <w:pStyle w:val="8"/>
                    <w:rPr>
                      <w:rFonts w:hint="eastAsia"/>
                      <w:color w:val="auto"/>
                      <w:highlight w:val="none"/>
                    </w:rPr>
                  </w:pPr>
                  <w:r>
                    <w:rPr>
                      <w:rFonts w:hint="eastAsia"/>
                      <w:color w:val="auto"/>
                      <w:highlight w:val="none"/>
                    </w:rPr>
                    <w:t>各企业生产设备和辅助设备在选型、采购时应考虑使用低噪声、低振动的设备从源头上控制噪声。</w:t>
                  </w:r>
                </w:p>
              </w:tc>
              <w:tc>
                <w:tcPr>
                  <w:tcW w:w="1847" w:type="pct"/>
                  <w:vMerge w:val="restart"/>
                  <w:noWrap w:val="0"/>
                  <w:vAlign w:val="center"/>
                </w:tcPr>
                <w:p w14:paraId="20DFC8FA">
                  <w:pPr>
                    <w:pStyle w:val="8"/>
                    <w:rPr>
                      <w:color w:val="auto"/>
                      <w:highlight w:val="none"/>
                    </w:rPr>
                  </w:pPr>
                  <w:r>
                    <w:rPr>
                      <w:rFonts w:hint="eastAsia"/>
                      <w:color w:val="auto"/>
                      <w:highlight w:val="none"/>
                    </w:rPr>
                    <w:t>选用低噪声设备</w:t>
                  </w:r>
                  <w:r>
                    <w:rPr>
                      <w:rFonts w:hint="eastAsia"/>
                      <w:color w:val="auto"/>
                      <w:highlight w:val="none"/>
                      <w:lang w:eastAsia="zh-CN"/>
                    </w:rPr>
                    <w:t>，</w:t>
                  </w:r>
                  <w:r>
                    <w:rPr>
                      <w:rFonts w:hint="eastAsia"/>
                      <w:color w:val="auto"/>
                      <w:highlight w:val="none"/>
                    </w:rPr>
                    <w:t>建筑物隔声屏蔽及合理布局；</w:t>
                  </w:r>
                  <w:r>
                    <w:rPr>
                      <w:rFonts w:hint="eastAsia"/>
                      <w:color w:val="auto"/>
                      <w:highlight w:val="none"/>
                      <w:lang w:val="en-US" w:eastAsia="zh-CN"/>
                    </w:rPr>
                    <w:t>设备</w:t>
                  </w:r>
                  <w:r>
                    <w:rPr>
                      <w:rFonts w:hint="eastAsia"/>
                      <w:color w:val="auto"/>
                      <w:highlight w:val="none"/>
                    </w:rPr>
                    <w:t>均位于厂房内，采用基础减振降噪措施，有机废气处理装置配套风机加设隔声罩；空压机位于厂房内，采用基础减振加消声器降噪措施。</w:t>
                  </w:r>
                </w:p>
              </w:tc>
              <w:tc>
                <w:tcPr>
                  <w:tcW w:w="289" w:type="pct"/>
                  <w:noWrap w:val="0"/>
                  <w:vAlign w:val="center"/>
                </w:tcPr>
                <w:p w14:paraId="32394991">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0F3237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766E54A5">
                  <w:pPr>
                    <w:jc w:val="center"/>
                    <w:rPr>
                      <w:color w:val="auto"/>
                      <w:szCs w:val="21"/>
                      <w:highlight w:val="none"/>
                    </w:rPr>
                  </w:pPr>
                </w:p>
              </w:tc>
              <w:tc>
                <w:tcPr>
                  <w:tcW w:w="2146" w:type="pct"/>
                  <w:noWrap w:val="0"/>
                  <w:vAlign w:val="center"/>
                </w:tcPr>
                <w:p w14:paraId="5AFC2AC3">
                  <w:pPr>
                    <w:pStyle w:val="8"/>
                    <w:rPr>
                      <w:rFonts w:hint="eastAsia"/>
                      <w:color w:val="auto"/>
                      <w:highlight w:val="none"/>
                    </w:rPr>
                  </w:pPr>
                  <w:r>
                    <w:rPr>
                      <w:rFonts w:hint="eastAsia"/>
                      <w:color w:val="auto"/>
                      <w:highlight w:val="none"/>
                    </w:rPr>
                    <w:t>对各企业而言，要针对不同的噪声源特性，采取不同的控制措施。如可采用消声器来降低空气动力设备的进排气口噪声和沿管道传播的噪声</w:t>
                  </w:r>
                  <w:r>
                    <w:rPr>
                      <w:rFonts w:hint="eastAsia"/>
                      <w:color w:val="auto"/>
                      <w:highlight w:val="none"/>
                      <w:lang w:eastAsia="zh-CN"/>
                    </w:rPr>
                    <w:t>；</w:t>
                  </w:r>
                  <w:r>
                    <w:rPr>
                      <w:rFonts w:hint="eastAsia"/>
                      <w:color w:val="auto"/>
                      <w:highlight w:val="none"/>
                    </w:rPr>
                    <w:t>采用吸声材料、吸声结构来降低噪声发射引起的混响声</w:t>
                  </w:r>
                  <w:r>
                    <w:rPr>
                      <w:rFonts w:hint="eastAsia"/>
                      <w:color w:val="auto"/>
                      <w:highlight w:val="none"/>
                      <w:lang w:eastAsia="zh-CN"/>
                    </w:rPr>
                    <w:t>；</w:t>
                  </w:r>
                  <w:r>
                    <w:rPr>
                      <w:rFonts w:hint="eastAsia"/>
                      <w:color w:val="auto"/>
                      <w:highlight w:val="none"/>
                    </w:rPr>
                    <w:t>此外还可在噪声传播途径上设置隔声罩、隔声室、隔声屏、隔声棚、隔声门、隔声窗等来阻挡噪声传播。</w:t>
                  </w:r>
                </w:p>
              </w:tc>
              <w:tc>
                <w:tcPr>
                  <w:tcW w:w="1847" w:type="pct"/>
                  <w:vMerge w:val="continue"/>
                  <w:noWrap w:val="0"/>
                  <w:vAlign w:val="center"/>
                </w:tcPr>
                <w:p w14:paraId="572CCEEE">
                  <w:pPr>
                    <w:pStyle w:val="8"/>
                    <w:rPr>
                      <w:color w:val="auto"/>
                      <w:highlight w:val="none"/>
                    </w:rPr>
                  </w:pPr>
                </w:p>
              </w:tc>
              <w:tc>
                <w:tcPr>
                  <w:tcW w:w="289" w:type="pct"/>
                  <w:noWrap w:val="0"/>
                  <w:vAlign w:val="center"/>
                </w:tcPr>
                <w:p w14:paraId="036E2C22">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49D0BC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2AC1D3A4">
                  <w:pPr>
                    <w:jc w:val="center"/>
                    <w:rPr>
                      <w:color w:val="auto"/>
                      <w:szCs w:val="21"/>
                      <w:highlight w:val="none"/>
                    </w:rPr>
                  </w:pPr>
                </w:p>
              </w:tc>
              <w:tc>
                <w:tcPr>
                  <w:tcW w:w="2146" w:type="pct"/>
                  <w:noWrap w:val="0"/>
                  <w:vAlign w:val="center"/>
                </w:tcPr>
                <w:p w14:paraId="25068F9B">
                  <w:pPr>
                    <w:pStyle w:val="8"/>
                    <w:rPr>
                      <w:rFonts w:hint="eastAsia"/>
                      <w:color w:val="auto"/>
                      <w:highlight w:val="none"/>
                    </w:rPr>
                  </w:pPr>
                  <w:r>
                    <w:rPr>
                      <w:rFonts w:hint="eastAsia"/>
                      <w:color w:val="auto"/>
                      <w:highlight w:val="none"/>
                    </w:rPr>
                    <w:t>规划新增项目产生的一般工业固体废物可以回收利用的，企业直接回收利用，或送厂家进行回收再利用，或外卖其他企业回收利用</w:t>
                  </w:r>
                  <w:r>
                    <w:rPr>
                      <w:rFonts w:hint="eastAsia"/>
                      <w:color w:val="auto"/>
                      <w:highlight w:val="none"/>
                      <w:lang w:eastAsia="zh-CN"/>
                    </w:rPr>
                    <w:t>；</w:t>
                  </w:r>
                  <w:r>
                    <w:rPr>
                      <w:rFonts w:hint="eastAsia"/>
                      <w:color w:val="auto"/>
                      <w:highlight w:val="none"/>
                    </w:rPr>
                    <w:t>无法综合利用的一般工业固体废物按《一般工业固体废物处贮存、处置场污染控制标准》(GB18599-2020)要求，进行贮存和处置。</w:t>
                  </w:r>
                </w:p>
              </w:tc>
              <w:tc>
                <w:tcPr>
                  <w:tcW w:w="1847" w:type="pct"/>
                  <w:noWrap w:val="0"/>
                  <w:vAlign w:val="center"/>
                </w:tcPr>
                <w:p w14:paraId="26E53B9E">
                  <w:pPr>
                    <w:pStyle w:val="8"/>
                    <w:rPr>
                      <w:rFonts w:hint="eastAsia" w:eastAsia="宋体"/>
                      <w:color w:val="auto"/>
                      <w:highlight w:val="none"/>
                      <w:lang w:eastAsia="zh-CN"/>
                    </w:rPr>
                  </w:pPr>
                  <w:r>
                    <w:rPr>
                      <w:rFonts w:hint="eastAsia"/>
                      <w:color w:val="auto"/>
                      <w:highlight w:val="none"/>
                      <w:lang w:val="en-US" w:eastAsia="zh-CN"/>
                    </w:rPr>
                    <w:t>本项目</w:t>
                  </w:r>
                  <w:r>
                    <w:rPr>
                      <w:rFonts w:hint="eastAsia"/>
                      <w:color w:val="auto"/>
                      <w:highlight w:val="none"/>
                    </w:rPr>
                    <w:t>一般工业固废包括除尘灰、废模具、废边角料、废包装材料、废铝合金，分类收集后暂存于一般工业固废暂存区（位于库房北部，面积10m</w:t>
                  </w:r>
                  <w:r>
                    <w:rPr>
                      <w:rFonts w:hint="eastAsia"/>
                      <w:color w:val="auto"/>
                      <w:highlight w:val="none"/>
                      <w:vertAlign w:val="superscript"/>
                    </w:rPr>
                    <w:t>2</w:t>
                  </w:r>
                  <w:r>
                    <w:rPr>
                      <w:rFonts w:hint="eastAsia"/>
                      <w:color w:val="auto"/>
                      <w:highlight w:val="none"/>
                    </w:rPr>
                    <w:t>），其中除尘灰定期回收综合利用，废模具厂家定期回收，废边角料、废包装材料、废铝合金定期外售综合利用。环评要求本项目一般固废暂存区严格按照《一般工业固体废物贮存和填埋污染控制标准》（GB18599-2020）等相关要求，进行防风、防雨、防晒等工程建设</w:t>
                  </w:r>
                  <w:r>
                    <w:rPr>
                      <w:rFonts w:hint="eastAsia"/>
                      <w:color w:val="auto"/>
                      <w:highlight w:val="none"/>
                      <w:lang w:eastAsia="zh-CN"/>
                    </w:rPr>
                    <w:t>。</w:t>
                  </w:r>
                </w:p>
              </w:tc>
              <w:tc>
                <w:tcPr>
                  <w:tcW w:w="289" w:type="pct"/>
                  <w:noWrap w:val="0"/>
                  <w:vAlign w:val="center"/>
                </w:tcPr>
                <w:p w14:paraId="6302C82A">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7513EB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6" w:type="pct"/>
                  <w:vMerge w:val="continue"/>
                  <w:noWrap w:val="0"/>
                  <w:vAlign w:val="center"/>
                </w:tcPr>
                <w:p w14:paraId="45226384">
                  <w:pPr>
                    <w:jc w:val="center"/>
                    <w:rPr>
                      <w:color w:val="auto"/>
                      <w:szCs w:val="21"/>
                      <w:highlight w:val="none"/>
                    </w:rPr>
                  </w:pPr>
                </w:p>
              </w:tc>
              <w:tc>
                <w:tcPr>
                  <w:tcW w:w="2146" w:type="pct"/>
                  <w:noWrap w:val="0"/>
                  <w:vAlign w:val="center"/>
                </w:tcPr>
                <w:p w14:paraId="205B47F3">
                  <w:pPr>
                    <w:pStyle w:val="8"/>
                    <w:rPr>
                      <w:rFonts w:hint="eastAsia"/>
                      <w:color w:val="auto"/>
                      <w:highlight w:val="none"/>
                    </w:rPr>
                  </w:pPr>
                  <w:r>
                    <w:rPr>
                      <w:rFonts w:hint="eastAsia"/>
                      <w:color w:val="auto"/>
                      <w:highlight w:val="none"/>
                    </w:rPr>
                    <w:t>危险废物在泾河新城内各企业自行建设临时堆放时，必须做好防、防水等措施，其收集储存、运输、处置过程均必须按照《危险废物贮存污染控制标准》(GB18597-2001)和《危险废物填埋污染控制标准》</w:t>
                  </w:r>
                  <w:r>
                    <w:rPr>
                      <w:rFonts w:hint="eastAsia"/>
                      <w:color w:val="auto"/>
                      <w:highlight w:val="none"/>
                      <w:lang w:eastAsia="zh-CN"/>
                    </w:rPr>
                    <w:t>（</w:t>
                  </w:r>
                  <w:r>
                    <w:rPr>
                      <w:rFonts w:hint="eastAsia"/>
                      <w:color w:val="auto"/>
                      <w:highlight w:val="none"/>
                    </w:rPr>
                    <w:t>GB18598-2001</w:t>
                  </w:r>
                  <w:r>
                    <w:rPr>
                      <w:rFonts w:hint="eastAsia"/>
                      <w:color w:val="auto"/>
                      <w:highlight w:val="none"/>
                      <w:lang w:eastAsia="zh-CN"/>
                    </w:rPr>
                    <w:t>）</w:t>
                  </w:r>
                  <w:r>
                    <w:rPr>
                      <w:rFonts w:hint="eastAsia"/>
                      <w:color w:val="auto"/>
                      <w:highlight w:val="none"/>
                    </w:rPr>
                    <w:t>进行专门处置，避免发生事故污染。</w:t>
                  </w:r>
                </w:p>
              </w:tc>
              <w:tc>
                <w:tcPr>
                  <w:tcW w:w="1847" w:type="pct"/>
                  <w:noWrap w:val="0"/>
                  <w:vAlign w:val="center"/>
                </w:tcPr>
                <w:p w14:paraId="6052FD24">
                  <w:pPr>
                    <w:pStyle w:val="8"/>
                    <w:rPr>
                      <w:rFonts w:hint="eastAsia" w:eastAsia="宋体"/>
                      <w:color w:val="auto"/>
                      <w:highlight w:val="none"/>
                      <w:lang w:eastAsia="zh-CN"/>
                    </w:rPr>
                  </w:pPr>
                  <w:r>
                    <w:rPr>
                      <w:rFonts w:hint="eastAsia"/>
                      <w:color w:val="auto"/>
                      <w:highlight w:val="none"/>
                    </w:rPr>
                    <w:t>危险废物包括有机废气处理产生的废活性炭、废油桶、废含油抹布，分类收集后暂存于危废贮存库，依托陕西力拓重工机械有限公司现有危废贮存库，根据建设单位提供资料，陕西力拓重工机械有限公司给本项目划分的可依托面积为</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本项目所产生的危废</w:t>
                  </w:r>
                  <w:r>
                    <w:rPr>
                      <w:rFonts w:hint="eastAsia"/>
                      <w:color w:val="auto"/>
                      <w:highlight w:val="none"/>
                    </w:rPr>
                    <w:t>定期交由有资质单位处置。环评要求严格按《危险废物贮存污染控制标准》（GB18597-2023）相关要求对危险废物进行贮存及转移</w:t>
                  </w:r>
                  <w:r>
                    <w:rPr>
                      <w:rFonts w:hint="eastAsia"/>
                      <w:color w:val="auto"/>
                      <w:highlight w:val="none"/>
                      <w:lang w:eastAsia="zh-CN"/>
                    </w:rPr>
                    <w:t>。</w:t>
                  </w:r>
                </w:p>
              </w:tc>
              <w:tc>
                <w:tcPr>
                  <w:tcW w:w="289" w:type="pct"/>
                  <w:noWrap w:val="0"/>
                  <w:vAlign w:val="center"/>
                </w:tcPr>
                <w:p w14:paraId="33F30889">
                  <w:pPr>
                    <w:jc w:val="center"/>
                    <w:rPr>
                      <w:rFonts w:hint="eastAsia"/>
                      <w:color w:val="auto"/>
                      <w:szCs w:val="21"/>
                      <w:highlight w:val="none"/>
                      <w:lang w:val="en-US" w:eastAsia="zh-CN"/>
                    </w:rPr>
                  </w:pPr>
                  <w:r>
                    <w:rPr>
                      <w:rFonts w:hint="eastAsia"/>
                      <w:color w:val="auto"/>
                      <w:szCs w:val="21"/>
                      <w:highlight w:val="none"/>
                      <w:lang w:val="en-US" w:eastAsia="zh-CN"/>
                    </w:rPr>
                    <w:t>符合</w:t>
                  </w:r>
                </w:p>
              </w:tc>
            </w:tr>
            <w:tr w14:paraId="2B2FA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716" w:type="pct"/>
                  <w:vMerge w:val="restart"/>
                  <w:noWrap w:val="0"/>
                  <w:vAlign w:val="center"/>
                </w:tcPr>
                <w:p w14:paraId="78A14EB3">
                  <w:pPr>
                    <w:jc w:val="center"/>
                    <w:rPr>
                      <w:color w:val="auto"/>
                      <w:szCs w:val="21"/>
                      <w:highlight w:val="none"/>
                    </w:rPr>
                  </w:pPr>
                  <w:r>
                    <w:rPr>
                      <w:color w:val="auto"/>
                      <w:szCs w:val="21"/>
                      <w:highlight w:val="none"/>
                    </w:rPr>
                    <w:t>《陕西省西咸新区泾河新城分区规划（2016-2035）环境影响报告书》及审查意见</w:t>
                  </w:r>
                </w:p>
              </w:tc>
              <w:tc>
                <w:tcPr>
                  <w:tcW w:w="2146" w:type="pct"/>
                  <w:noWrap w:val="0"/>
                  <w:vAlign w:val="center"/>
                </w:tcPr>
                <w:p w14:paraId="33D77FEF">
                  <w:pPr>
                    <w:rPr>
                      <w:color w:val="auto"/>
                      <w:highlight w:val="none"/>
                    </w:rPr>
                  </w:pPr>
                  <w:r>
                    <w:rPr>
                      <w:color w:val="auto"/>
                      <w:szCs w:val="21"/>
                      <w:highlight w:val="none"/>
                    </w:rPr>
                    <w:t>规划实施后区域污水集中收集处理，部分污水经处理作为中水回用，水污染物排放现状大幅降低，泾河能够满足水环境容量要求。</w:t>
                  </w:r>
                </w:p>
              </w:tc>
              <w:tc>
                <w:tcPr>
                  <w:tcW w:w="1847" w:type="pct"/>
                  <w:noWrap w:val="0"/>
                  <w:vAlign w:val="center"/>
                </w:tcPr>
                <w:p w14:paraId="0D8AC4CF">
                  <w:pPr>
                    <w:autoSpaceDE w:val="0"/>
                    <w:autoSpaceDN w:val="0"/>
                    <w:contextualSpacing/>
                    <w:jc w:val="both"/>
                    <w:rPr>
                      <w:rFonts w:hint="eastAsia"/>
                      <w:color w:val="auto"/>
                      <w:highlight w:val="none"/>
                    </w:rPr>
                  </w:pPr>
                  <w:r>
                    <w:rPr>
                      <w:rFonts w:hint="eastAsia"/>
                      <w:color w:val="auto"/>
                      <w:sz w:val="21"/>
                      <w:szCs w:val="21"/>
                      <w:highlight w:val="none"/>
                      <w:lang w:val="en-US" w:eastAsia="zh-CN"/>
                    </w:rPr>
                    <w:t>本项目无生产废水，员工生活污水经化粪池（</w:t>
                  </w:r>
                  <w:r>
                    <w:rPr>
                      <w:rFonts w:hint="eastAsia"/>
                      <w:color w:val="auto"/>
                      <w:sz w:val="21"/>
                      <w:szCs w:val="21"/>
                      <w:highlight w:val="none"/>
                    </w:rPr>
                    <w:t>50m</w:t>
                  </w:r>
                  <w:r>
                    <w:rPr>
                      <w:rFonts w:hint="eastAsia"/>
                      <w:color w:val="auto"/>
                      <w:sz w:val="21"/>
                      <w:szCs w:val="21"/>
                      <w:highlight w:val="none"/>
                      <w:vertAlign w:val="superscript"/>
                    </w:rPr>
                    <w:t>3</w:t>
                  </w:r>
                  <w:r>
                    <w:rPr>
                      <w:rFonts w:hint="eastAsia"/>
                      <w:color w:val="auto"/>
                      <w:sz w:val="21"/>
                      <w:szCs w:val="21"/>
                      <w:highlight w:val="none"/>
                    </w:rPr>
                    <w:t>，位于</w:t>
                  </w:r>
                  <w:r>
                    <w:rPr>
                      <w:rFonts w:hint="eastAsia"/>
                      <w:color w:val="auto"/>
                      <w:sz w:val="21"/>
                      <w:szCs w:val="21"/>
                      <w:highlight w:val="none"/>
                      <w:lang w:val="en-US" w:eastAsia="zh-CN"/>
                    </w:rPr>
                    <w:t>车间西</w:t>
                  </w:r>
                  <w:r>
                    <w:rPr>
                      <w:rFonts w:hint="eastAsia"/>
                      <w:color w:val="auto"/>
                      <w:sz w:val="21"/>
                      <w:szCs w:val="21"/>
                      <w:highlight w:val="none"/>
                    </w:rPr>
                    <w:t>北侧</w:t>
                  </w:r>
                  <w:r>
                    <w:rPr>
                      <w:rFonts w:hint="eastAsia"/>
                      <w:color w:val="auto"/>
                      <w:sz w:val="21"/>
                      <w:szCs w:val="21"/>
                      <w:highlight w:val="none"/>
                      <w:lang w:val="en-US" w:eastAsia="zh-CN"/>
                    </w:rPr>
                    <w:t>）处理后通过市政污水管网排入泾河新城第二污水处理厂集中处理</w:t>
                  </w:r>
                  <w:r>
                    <w:rPr>
                      <w:rFonts w:hint="eastAsia"/>
                      <w:color w:val="auto"/>
                      <w:highlight w:val="none"/>
                    </w:rPr>
                    <w:t>。</w:t>
                  </w:r>
                </w:p>
              </w:tc>
              <w:tc>
                <w:tcPr>
                  <w:tcW w:w="289" w:type="pct"/>
                  <w:noWrap w:val="0"/>
                  <w:vAlign w:val="center"/>
                </w:tcPr>
                <w:p w14:paraId="7CCA4D59">
                  <w:pPr>
                    <w:jc w:val="center"/>
                    <w:rPr>
                      <w:color w:val="auto"/>
                      <w:szCs w:val="21"/>
                      <w:highlight w:val="none"/>
                    </w:rPr>
                  </w:pPr>
                  <w:r>
                    <w:rPr>
                      <w:rFonts w:hint="eastAsia"/>
                      <w:color w:val="auto"/>
                      <w:szCs w:val="21"/>
                      <w:highlight w:val="none"/>
                      <w:lang w:val="en-US" w:eastAsia="zh-CN"/>
                    </w:rPr>
                    <w:t>符合</w:t>
                  </w:r>
                </w:p>
              </w:tc>
            </w:tr>
            <w:tr w14:paraId="4306F4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15" w:hRule="atLeast"/>
                <w:jc w:val="center"/>
              </w:trPr>
              <w:tc>
                <w:tcPr>
                  <w:tcW w:w="716" w:type="pct"/>
                  <w:vMerge w:val="continue"/>
                  <w:noWrap w:val="0"/>
                  <w:vAlign w:val="center"/>
                </w:tcPr>
                <w:p w14:paraId="2863E9F2">
                  <w:pPr>
                    <w:widowControl/>
                    <w:ind w:firstLine="420" w:firstLineChars="200"/>
                    <w:rPr>
                      <w:color w:val="auto"/>
                      <w:szCs w:val="21"/>
                      <w:highlight w:val="none"/>
                    </w:rPr>
                  </w:pPr>
                </w:p>
              </w:tc>
              <w:tc>
                <w:tcPr>
                  <w:tcW w:w="2146" w:type="pct"/>
                  <w:noWrap w:val="0"/>
                  <w:vAlign w:val="center"/>
                </w:tcPr>
                <w:p w14:paraId="3D97A7D2">
                  <w:pPr>
                    <w:rPr>
                      <w:color w:val="auto"/>
                      <w:highlight w:val="none"/>
                    </w:rPr>
                  </w:pPr>
                  <w:r>
                    <w:rPr>
                      <w:color w:val="auto"/>
                      <w:szCs w:val="21"/>
                      <w:highlight w:val="none"/>
                    </w:rPr>
                    <w:t>加强运输车辆的管理，如对运输土方、建筑垃圾或散装建材等的车辆，控制其装载量，并要求其采用篷布覆盖或密闭方式等，可减少路面尘源。</w:t>
                  </w:r>
                </w:p>
              </w:tc>
              <w:tc>
                <w:tcPr>
                  <w:tcW w:w="1847" w:type="pct"/>
                  <w:noWrap w:val="0"/>
                  <w:vAlign w:val="center"/>
                </w:tcPr>
                <w:p w14:paraId="6D51A626">
                  <w:pPr>
                    <w:autoSpaceDE w:val="0"/>
                    <w:autoSpaceDN w:val="0"/>
                    <w:contextualSpacing/>
                    <w:rPr>
                      <w:color w:val="auto"/>
                      <w:highlight w:val="none"/>
                    </w:rPr>
                  </w:pPr>
                  <w:r>
                    <w:rPr>
                      <w:rFonts w:hint="eastAsia"/>
                      <w:color w:val="auto"/>
                      <w:highlight w:val="none"/>
                    </w:rPr>
                    <w:t>本项目</w:t>
                  </w:r>
                  <w:r>
                    <w:rPr>
                      <w:color w:val="auto"/>
                      <w:highlight w:val="none"/>
                    </w:rPr>
                    <w:t>利用已建成厂房，施工期仅为设备安装，不涉及土方运输；其他运输时严格按施工要求</w:t>
                  </w:r>
                  <w:r>
                    <w:rPr>
                      <w:rFonts w:hint="eastAsia"/>
                      <w:color w:val="auto"/>
                      <w:highlight w:val="none"/>
                    </w:rPr>
                    <w:t>。</w:t>
                  </w:r>
                </w:p>
              </w:tc>
              <w:tc>
                <w:tcPr>
                  <w:tcW w:w="289" w:type="pct"/>
                  <w:noWrap w:val="0"/>
                  <w:vAlign w:val="center"/>
                </w:tcPr>
                <w:p w14:paraId="0F35B6CD">
                  <w:pPr>
                    <w:jc w:val="center"/>
                    <w:rPr>
                      <w:color w:val="auto"/>
                      <w:szCs w:val="21"/>
                      <w:highlight w:val="none"/>
                    </w:rPr>
                  </w:pPr>
                  <w:r>
                    <w:rPr>
                      <w:rFonts w:hint="eastAsia"/>
                      <w:color w:val="auto"/>
                      <w:szCs w:val="21"/>
                      <w:highlight w:val="none"/>
                      <w:lang w:val="en-US" w:eastAsia="zh-CN"/>
                    </w:rPr>
                    <w:t>符合</w:t>
                  </w:r>
                </w:p>
              </w:tc>
            </w:tr>
            <w:tr w14:paraId="1C466A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8" w:hRule="atLeast"/>
                <w:jc w:val="center"/>
              </w:trPr>
              <w:tc>
                <w:tcPr>
                  <w:tcW w:w="716" w:type="pct"/>
                  <w:vMerge w:val="continue"/>
                  <w:noWrap w:val="0"/>
                  <w:vAlign w:val="center"/>
                </w:tcPr>
                <w:p w14:paraId="7FC7F6C5">
                  <w:pPr>
                    <w:widowControl/>
                    <w:ind w:firstLine="420" w:firstLineChars="200"/>
                    <w:rPr>
                      <w:color w:val="auto"/>
                      <w:szCs w:val="21"/>
                      <w:highlight w:val="none"/>
                    </w:rPr>
                  </w:pPr>
                </w:p>
              </w:tc>
              <w:tc>
                <w:tcPr>
                  <w:tcW w:w="2146" w:type="pct"/>
                  <w:noWrap w:val="0"/>
                  <w:vAlign w:val="center"/>
                </w:tcPr>
                <w:p w14:paraId="41F3B1C8">
                  <w:pPr>
                    <w:rPr>
                      <w:color w:val="auto"/>
                      <w:highlight w:val="none"/>
                    </w:rPr>
                  </w:pPr>
                  <w:r>
                    <w:rPr>
                      <w:color w:val="auto"/>
                      <w:szCs w:val="21"/>
                      <w:highlight w:val="none"/>
                    </w:rPr>
                    <w:t>规划新增项目产生的一般工业固体废物可以回收利用的，企业直接回收利用，或送厂家进行回收再利用，或外卖其他企业回收利用；无法综合利用的一般工业固体废物按《一般工业固体废物贮存和填埋污染控制标准》（GB18599-2020）要求，进行贮存。对于涉及危险废物的企业应建立危险废物暂存库并严格按照重点防渗区进行防渗处理，防止污染地下水，并定期及时交由有资质单位处置，应与有危险废物处置资质单位建立长期合作关系。</w:t>
                  </w:r>
                </w:p>
              </w:tc>
              <w:tc>
                <w:tcPr>
                  <w:tcW w:w="1847" w:type="pct"/>
                  <w:noWrap w:val="0"/>
                  <w:vAlign w:val="center"/>
                </w:tcPr>
                <w:p w14:paraId="0A52B786">
                  <w:pPr>
                    <w:autoSpaceDE w:val="0"/>
                    <w:autoSpaceDN w:val="0"/>
                    <w:contextualSpacing/>
                    <w:jc w:val="both"/>
                    <w:rPr>
                      <w:rFonts w:hint="eastAsia"/>
                      <w:color w:val="auto"/>
                      <w:szCs w:val="21"/>
                      <w:highlight w:val="none"/>
                      <w:lang w:eastAsia="zh-CN"/>
                    </w:rPr>
                  </w:pPr>
                  <w:r>
                    <w:rPr>
                      <w:color w:val="auto"/>
                      <w:szCs w:val="21"/>
                      <w:highlight w:val="none"/>
                    </w:rPr>
                    <w:t>本项目</w:t>
                  </w:r>
                  <w:r>
                    <w:rPr>
                      <w:rFonts w:hint="eastAsia"/>
                      <w:color w:val="auto"/>
                      <w:szCs w:val="21"/>
                      <w:highlight w:val="none"/>
                    </w:rPr>
                    <w:t>一般工业固废包括除尘灰、废模具、废边角料、废包装材料、废铝合金</w:t>
                  </w:r>
                  <w:r>
                    <w:rPr>
                      <w:rFonts w:hint="eastAsia"/>
                      <w:color w:val="auto"/>
                      <w:szCs w:val="21"/>
                      <w:highlight w:val="none"/>
                      <w:lang w:eastAsia="zh-CN"/>
                    </w:rPr>
                    <w:t>，</w:t>
                  </w:r>
                  <w:r>
                    <w:rPr>
                      <w:rFonts w:hint="eastAsia"/>
                      <w:color w:val="auto"/>
                      <w:szCs w:val="21"/>
                      <w:highlight w:val="none"/>
                      <w:lang w:val="en-US" w:eastAsia="zh-CN"/>
                    </w:rPr>
                    <w:t>分类收集后暂存于一般工业固废暂存区</w:t>
                  </w:r>
                  <w:r>
                    <w:rPr>
                      <w:rFonts w:hint="eastAsia"/>
                      <w:color w:val="auto"/>
                      <w:szCs w:val="21"/>
                      <w:highlight w:val="none"/>
                      <w:lang w:eastAsia="zh-CN"/>
                    </w:rPr>
                    <w:t>（</w:t>
                  </w:r>
                  <w:r>
                    <w:rPr>
                      <w:rFonts w:hint="eastAsia"/>
                      <w:color w:val="auto"/>
                      <w:szCs w:val="21"/>
                      <w:highlight w:val="none"/>
                      <w:lang w:val="en-US" w:eastAsia="zh-CN"/>
                    </w:rPr>
                    <w:t>位于库房北部，面积10m</w:t>
                  </w:r>
                  <w:r>
                    <w:rPr>
                      <w:rFonts w:hint="eastAsia"/>
                      <w:color w:val="auto"/>
                      <w:szCs w:val="21"/>
                      <w:highlight w:val="none"/>
                      <w:vertAlign w:val="superscript"/>
                      <w:lang w:val="en-US" w:eastAsia="zh-CN"/>
                    </w:rPr>
                    <w:t>2</w:t>
                  </w:r>
                  <w:r>
                    <w:rPr>
                      <w:rFonts w:hint="eastAsia"/>
                      <w:color w:val="auto"/>
                      <w:szCs w:val="21"/>
                      <w:highlight w:val="none"/>
                      <w:lang w:eastAsia="zh-CN"/>
                    </w:rPr>
                    <w:t>）</w:t>
                  </w:r>
                  <w:r>
                    <w:rPr>
                      <w:color w:val="auto"/>
                      <w:szCs w:val="21"/>
                      <w:highlight w:val="none"/>
                    </w:rPr>
                    <w:t>，</w:t>
                  </w:r>
                  <w:r>
                    <w:rPr>
                      <w:rFonts w:hint="eastAsia"/>
                      <w:color w:val="auto"/>
                      <w:szCs w:val="21"/>
                      <w:highlight w:val="none"/>
                      <w:lang w:val="en-US" w:eastAsia="zh-CN"/>
                    </w:rPr>
                    <w:t>其中除尘灰定期回收综合利用，</w:t>
                  </w:r>
                  <w:r>
                    <w:rPr>
                      <w:rFonts w:hint="eastAsia"/>
                      <w:color w:val="auto"/>
                      <w:szCs w:val="21"/>
                      <w:highlight w:val="none"/>
                    </w:rPr>
                    <w:t>废模具厂家定期回收</w:t>
                  </w:r>
                  <w:r>
                    <w:rPr>
                      <w:rFonts w:hint="eastAsia"/>
                      <w:color w:val="auto"/>
                      <w:szCs w:val="21"/>
                      <w:highlight w:val="none"/>
                      <w:lang w:eastAsia="zh-CN"/>
                    </w:rPr>
                    <w:t>，</w:t>
                  </w:r>
                  <w:r>
                    <w:rPr>
                      <w:rFonts w:hint="eastAsia"/>
                      <w:color w:val="auto"/>
                      <w:szCs w:val="21"/>
                      <w:highlight w:val="none"/>
                    </w:rPr>
                    <w:t>废边角料、废包装材料、废铝合金定期外售综合利用</w:t>
                  </w:r>
                  <w:r>
                    <w:rPr>
                      <w:rFonts w:hint="eastAsia"/>
                      <w:color w:val="auto"/>
                      <w:szCs w:val="21"/>
                      <w:highlight w:val="none"/>
                      <w:lang w:eastAsia="zh-CN"/>
                    </w:rPr>
                    <w:t>。</w:t>
                  </w:r>
                </w:p>
                <w:p w14:paraId="752D2A97">
                  <w:pPr>
                    <w:autoSpaceDE w:val="0"/>
                    <w:autoSpaceDN w:val="0"/>
                    <w:contextualSpacing/>
                    <w:jc w:val="both"/>
                    <w:rPr>
                      <w:color w:val="auto"/>
                      <w:highlight w:val="none"/>
                    </w:rPr>
                  </w:pPr>
                  <w:r>
                    <w:rPr>
                      <w:rFonts w:hint="eastAsia"/>
                      <w:color w:val="auto"/>
                      <w:szCs w:val="21"/>
                      <w:highlight w:val="none"/>
                      <w:lang w:val="en-US" w:eastAsia="zh-CN"/>
                    </w:rPr>
                    <w:t>本项目</w:t>
                  </w:r>
                  <w:r>
                    <w:rPr>
                      <w:rFonts w:hint="eastAsia"/>
                      <w:color w:val="auto"/>
                      <w:highlight w:val="none"/>
                    </w:rPr>
                    <w:t>危险废物包括有机废气处理产生的废活性炭、废油桶、废含油抹布，分类收集后暂存于危废贮存库，依托陕西力拓重工机械有限公司现有危废贮存库，根据建设单位提供资料，陕西力拓重工机械有限公司给本项目划分的可依托面积为</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本项目所产生的危废</w:t>
                  </w:r>
                  <w:r>
                    <w:rPr>
                      <w:rFonts w:hint="eastAsia"/>
                      <w:color w:val="auto"/>
                      <w:szCs w:val="21"/>
                      <w:highlight w:val="none"/>
                      <w:lang w:eastAsia="zh-CN"/>
                    </w:rPr>
                    <w:t>定期交由有资质单位处置。</w:t>
                  </w:r>
                </w:p>
              </w:tc>
              <w:tc>
                <w:tcPr>
                  <w:tcW w:w="289" w:type="pct"/>
                  <w:noWrap w:val="0"/>
                  <w:vAlign w:val="center"/>
                </w:tcPr>
                <w:p w14:paraId="7BF82FC9">
                  <w:pPr>
                    <w:jc w:val="center"/>
                    <w:rPr>
                      <w:color w:val="auto"/>
                      <w:szCs w:val="21"/>
                      <w:highlight w:val="none"/>
                    </w:rPr>
                  </w:pPr>
                  <w:r>
                    <w:rPr>
                      <w:rFonts w:hint="eastAsia"/>
                      <w:color w:val="auto"/>
                      <w:szCs w:val="21"/>
                      <w:highlight w:val="none"/>
                      <w:lang w:val="en-US" w:eastAsia="zh-CN"/>
                    </w:rPr>
                    <w:t>符合</w:t>
                  </w:r>
                </w:p>
              </w:tc>
            </w:tr>
          </w:tbl>
          <w:p w14:paraId="7C750601">
            <w:pPr>
              <w:rPr>
                <w:color w:val="auto"/>
                <w:highlight w:val="none"/>
              </w:rPr>
            </w:pPr>
          </w:p>
          <w:p w14:paraId="3D41B7D0">
            <w:pPr>
              <w:autoSpaceDE w:val="0"/>
              <w:autoSpaceDN w:val="0"/>
              <w:rPr>
                <w:rFonts w:hint="eastAsia" w:ascii="宋体" w:hAnsi="宋体" w:cs="宋体"/>
                <w:color w:val="auto"/>
                <w:kern w:val="0"/>
                <w:szCs w:val="21"/>
                <w:highlight w:val="none"/>
              </w:rPr>
            </w:pPr>
          </w:p>
          <w:p w14:paraId="405FB07B">
            <w:pPr>
              <w:pStyle w:val="11"/>
              <w:rPr>
                <w:rFonts w:hint="eastAsia" w:ascii="宋体" w:hAnsi="宋体" w:cs="宋体"/>
                <w:color w:val="auto"/>
                <w:kern w:val="0"/>
                <w:szCs w:val="21"/>
                <w:highlight w:val="none"/>
              </w:rPr>
            </w:pPr>
          </w:p>
          <w:p w14:paraId="2B51028C">
            <w:pPr>
              <w:pStyle w:val="11"/>
              <w:rPr>
                <w:rFonts w:hint="eastAsia" w:ascii="宋体" w:hAnsi="宋体" w:cs="宋体"/>
                <w:color w:val="auto"/>
                <w:kern w:val="0"/>
                <w:szCs w:val="21"/>
                <w:highlight w:val="none"/>
              </w:rPr>
            </w:pPr>
          </w:p>
          <w:p w14:paraId="00A8C092">
            <w:pPr>
              <w:pStyle w:val="11"/>
              <w:rPr>
                <w:rFonts w:hint="eastAsia" w:ascii="宋体" w:hAnsi="宋体" w:cs="宋体"/>
                <w:color w:val="auto"/>
                <w:kern w:val="0"/>
                <w:szCs w:val="21"/>
                <w:highlight w:val="none"/>
              </w:rPr>
            </w:pPr>
          </w:p>
          <w:p w14:paraId="06C218BD">
            <w:pPr>
              <w:pStyle w:val="11"/>
              <w:rPr>
                <w:rFonts w:hint="eastAsia" w:ascii="宋体" w:hAnsi="宋体" w:cs="宋体"/>
                <w:color w:val="auto"/>
                <w:kern w:val="0"/>
                <w:szCs w:val="21"/>
                <w:highlight w:val="none"/>
              </w:rPr>
            </w:pPr>
          </w:p>
          <w:p w14:paraId="49F70C9A">
            <w:pPr>
              <w:pStyle w:val="11"/>
              <w:rPr>
                <w:rFonts w:hint="eastAsia" w:ascii="宋体" w:hAnsi="宋体" w:cs="宋体"/>
                <w:color w:val="auto"/>
                <w:kern w:val="0"/>
                <w:szCs w:val="21"/>
                <w:highlight w:val="none"/>
              </w:rPr>
            </w:pPr>
          </w:p>
          <w:p w14:paraId="484DE0F3">
            <w:pPr>
              <w:pStyle w:val="11"/>
              <w:rPr>
                <w:rFonts w:hint="eastAsia" w:ascii="宋体" w:hAnsi="宋体" w:cs="宋体"/>
                <w:color w:val="auto"/>
                <w:kern w:val="0"/>
                <w:szCs w:val="21"/>
                <w:highlight w:val="none"/>
              </w:rPr>
            </w:pPr>
          </w:p>
          <w:p w14:paraId="5FA41AE5">
            <w:pPr>
              <w:pStyle w:val="11"/>
              <w:rPr>
                <w:rFonts w:hint="eastAsia" w:ascii="宋体" w:hAnsi="宋体" w:cs="宋体"/>
                <w:color w:val="auto"/>
                <w:kern w:val="0"/>
                <w:szCs w:val="21"/>
                <w:highlight w:val="none"/>
              </w:rPr>
            </w:pPr>
          </w:p>
          <w:p w14:paraId="3DE51A8E">
            <w:pPr>
              <w:pStyle w:val="11"/>
              <w:rPr>
                <w:rFonts w:hint="eastAsia" w:ascii="宋体" w:hAnsi="宋体" w:cs="宋体"/>
                <w:color w:val="auto"/>
                <w:kern w:val="0"/>
                <w:szCs w:val="21"/>
                <w:highlight w:val="none"/>
              </w:rPr>
            </w:pPr>
          </w:p>
          <w:p w14:paraId="3C89B105">
            <w:pPr>
              <w:pStyle w:val="11"/>
              <w:rPr>
                <w:rFonts w:hint="eastAsia" w:ascii="宋体" w:hAnsi="宋体" w:cs="宋体"/>
                <w:color w:val="auto"/>
                <w:kern w:val="0"/>
                <w:szCs w:val="21"/>
                <w:highlight w:val="none"/>
              </w:rPr>
            </w:pPr>
          </w:p>
          <w:p w14:paraId="085A961F">
            <w:pPr>
              <w:pStyle w:val="11"/>
              <w:rPr>
                <w:rFonts w:hint="eastAsia" w:ascii="宋体" w:hAnsi="宋体" w:cs="宋体"/>
                <w:color w:val="auto"/>
                <w:kern w:val="0"/>
                <w:szCs w:val="21"/>
                <w:highlight w:val="none"/>
              </w:rPr>
            </w:pPr>
          </w:p>
          <w:p w14:paraId="7126B999">
            <w:pPr>
              <w:pStyle w:val="11"/>
              <w:rPr>
                <w:rFonts w:hint="eastAsia" w:ascii="宋体" w:hAnsi="宋体" w:cs="宋体"/>
                <w:color w:val="auto"/>
                <w:kern w:val="0"/>
                <w:szCs w:val="21"/>
                <w:highlight w:val="none"/>
              </w:rPr>
            </w:pPr>
          </w:p>
          <w:p w14:paraId="6CB1C83A">
            <w:pPr>
              <w:pStyle w:val="11"/>
              <w:rPr>
                <w:rFonts w:hint="eastAsia" w:ascii="宋体" w:hAnsi="宋体" w:cs="宋体"/>
                <w:color w:val="auto"/>
                <w:kern w:val="0"/>
                <w:szCs w:val="21"/>
                <w:highlight w:val="none"/>
              </w:rPr>
            </w:pPr>
          </w:p>
          <w:p w14:paraId="462D323B">
            <w:pPr>
              <w:pStyle w:val="11"/>
              <w:rPr>
                <w:rFonts w:hint="eastAsia" w:ascii="宋体" w:hAnsi="宋体" w:cs="宋体"/>
                <w:color w:val="auto"/>
                <w:kern w:val="0"/>
                <w:szCs w:val="21"/>
                <w:highlight w:val="none"/>
              </w:rPr>
            </w:pPr>
          </w:p>
          <w:p w14:paraId="4C8ABC63">
            <w:pPr>
              <w:pStyle w:val="11"/>
              <w:rPr>
                <w:rFonts w:hint="eastAsia" w:ascii="宋体" w:hAnsi="宋体" w:cs="宋体"/>
                <w:color w:val="auto"/>
                <w:kern w:val="0"/>
                <w:szCs w:val="21"/>
                <w:highlight w:val="none"/>
              </w:rPr>
            </w:pPr>
          </w:p>
          <w:p w14:paraId="0DFB2EC1">
            <w:pPr>
              <w:pStyle w:val="11"/>
              <w:rPr>
                <w:rFonts w:hint="eastAsia" w:ascii="宋体" w:hAnsi="宋体" w:cs="宋体"/>
                <w:color w:val="auto"/>
                <w:kern w:val="0"/>
                <w:szCs w:val="21"/>
                <w:highlight w:val="none"/>
              </w:rPr>
            </w:pPr>
          </w:p>
          <w:p w14:paraId="0B798194">
            <w:pPr>
              <w:pStyle w:val="11"/>
              <w:rPr>
                <w:rFonts w:hint="eastAsia" w:ascii="宋体" w:hAnsi="宋体" w:cs="宋体"/>
                <w:color w:val="auto"/>
                <w:kern w:val="0"/>
                <w:szCs w:val="21"/>
                <w:highlight w:val="none"/>
              </w:rPr>
            </w:pPr>
          </w:p>
          <w:p w14:paraId="19EF7932">
            <w:pPr>
              <w:pStyle w:val="11"/>
              <w:rPr>
                <w:rFonts w:hint="eastAsia" w:ascii="宋体" w:hAnsi="宋体" w:cs="宋体"/>
                <w:color w:val="auto"/>
                <w:kern w:val="0"/>
                <w:szCs w:val="21"/>
                <w:highlight w:val="none"/>
              </w:rPr>
            </w:pPr>
          </w:p>
          <w:p w14:paraId="5369BC8B">
            <w:pPr>
              <w:pStyle w:val="11"/>
              <w:rPr>
                <w:rFonts w:hint="eastAsia" w:ascii="宋体" w:hAnsi="宋体" w:cs="宋体"/>
                <w:color w:val="auto"/>
                <w:kern w:val="0"/>
                <w:szCs w:val="21"/>
                <w:highlight w:val="none"/>
              </w:rPr>
            </w:pPr>
          </w:p>
          <w:p w14:paraId="567942EE">
            <w:pPr>
              <w:pStyle w:val="11"/>
              <w:rPr>
                <w:rFonts w:hint="eastAsia" w:ascii="宋体" w:hAnsi="宋体" w:cs="宋体"/>
                <w:color w:val="auto"/>
                <w:kern w:val="0"/>
                <w:szCs w:val="21"/>
                <w:highlight w:val="none"/>
              </w:rPr>
            </w:pPr>
          </w:p>
          <w:p w14:paraId="5C33295E">
            <w:pPr>
              <w:pStyle w:val="11"/>
              <w:rPr>
                <w:rFonts w:hint="eastAsia" w:ascii="宋体" w:hAnsi="宋体" w:cs="宋体"/>
                <w:color w:val="auto"/>
                <w:kern w:val="0"/>
                <w:szCs w:val="21"/>
                <w:highlight w:val="none"/>
              </w:rPr>
            </w:pPr>
          </w:p>
          <w:p w14:paraId="55F6A07C">
            <w:pPr>
              <w:pStyle w:val="11"/>
              <w:rPr>
                <w:rFonts w:hint="eastAsia" w:ascii="宋体" w:hAnsi="宋体" w:cs="宋体"/>
                <w:color w:val="auto"/>
                <w:kern w:val="0"/>
                <w:szCs w:val="21"/>
                <w:highlight w:val="none"/>
              </w:rPr>
            </w:pPr>
          </w:p>
          <w:p w14:paraId="1D48CB1E">
            <w:pPr>
              <w:pStyle w:val="11"/>
              <w:rPr>
                <w:rFonts w:hint="eastAsia" w:ascii="宋体" w:hAnsi="宋体" w:cs="宋体"/>
                <w:color w:val="auto"/>
                <w:kern w:val="0"/>
                <w:szCs w:val="21"/>
                <w:highlight w:val="none"/>
              </w:rPr>
            </w:pPr>
          </w:p>
          <w:p w14:paraId="6EABE565">
            <w:pPr>
              <w:pStyle w:val="11"/>
              <w:rPr>
                <w:rFonts w:hint="eastAsia" w:ascii="宋体" w:hAnsi="宋体" w:cs="宋体"/>
                <w:color w:val="auto"/>
                <w:kern w:val="0"/>
                <w:szCs w:val="21"/>
                <w:highlight w:val="none"/>
              </w:rPr>
            </w:pPr>
          </w:p>
          <w:p w14:paraId="4BA086D2">
            <w:pPr>
              <w:pStyle w:val="11"/>
              <w:rPr>
                <w:rFonts w:hint="eastAsia" w:ascii="宋体" w:hAnsi="宋体" w:cs="宋体"/>
                <w:color w:val="auto"/>
                <w:kern w:val="0"/>
                <w:szCs w:val="21"/>
                <w:highlight w:val="none"/>
              </w:rPr>
            </w:pPr>
          </w:p>
          <w:p w14:paraId="43EF881D">
            <w:pPr>
              <w:pStyle w:val="11"/>
              <w:rPr>
                <w:rFonts w:hint="eastAsia" w:ascii="宋体" w:hAnsi="宋体" w:cs="宋体"/>
                <w:color w:val="auto"/>
                <w:kern w:val="0"/>
                <w:szCs w:val="21"/>
                <w:highlight w:val="none"/>
              </w:rPr>
            </w:pPr>
          </w:p>
          <w:p w14:paraId="61C558FB">
            <w:pPr>
              <w:pStyle w:val="11"/>
              <w:rPr>
                <w:rFonts w:hint="eastAsia" w:ascii="宋体" w:hAnsi="宋体" w:cs="宋体"/>
                <w:color w:val="auto"/>
                <w:kern w:val="0"/>
                <w:szCs w:val="21"/>
                <w:highlight w:val="none"/>
              </w:rPr>
            </w:pPr>
          </w:p>
          <w:p w14:paraId="49CD934A">
            <w:pPr>
              <w:pStyle w:val="11"/>
              <w:rPr>
                <w:rFonts w:hint="eastAsia" w:ascii="宋体" w:hAnsi="宋体" w:cs="宋体"/>
                <w:color w:val="auto"/>
                <w:kern w:val="0"/>
                <w:szCs w:val="21"/>
                <w:highlight w:val="none"/>
              </w:rPr>
            </w:pPr>
          </w:p>
          <w:p w14:paraId="3E00881C">
            <w:pPr>
              <w:pStyle w:val="11"/>
              <w:rPr>
                <w:rFonts w:hint="eastAsia" w:ascii="宋体" w:hAnsi="宋体" w:cs="宋体"/>
                <w:color w:val="auto"/>
                <w:kern w:val="0"/>
                <w:szCs w:val="21"/>
                <w:highlight w:val="none"/>
              </w:rPr>
            </w:pPr>
          </w:p>
          <w:p w14:paraId="25D502FB">
            <w:pPr>
              <w:pStyle w:val="11"/>
              <w:rPr>
                <w:rFonts w:hint="eastAsia" w:ascii="宋体" w:hAnsi="宋体" w:cs="宋体"/>
                <w:color w:val="auto"/>
                <w:kern w:val="0"/>
                <w:szCs w:val="21"/>
                <w:highlight w:val="none"/>
              </w:rPr>
            </w:pPr>
          </w:p>
          <w:p w14:paraId="31FB2102">
            <w:pPr>
              <w:pStyle w:val="11"/>
              <w:rPr>
                <w:rFonts w:hint="eastAsia" w:ascii="宋体" w:hAnsi="宋体" w:cs="宋体"/>
                <w:color w:val="auto"/>
                <w:kern w:val="0"/>
                <w:szCs w:val="21"/>
                <w:highlight w:val="none"/>
              </w:rPr>
            </w:pPr>
          </w:p>
          <w:p w14:paraId="34D5474C">
            <w:pPr>
              <w:pStyle w:val="11"/>
              <w:rPr>
                <w:rFonts w:hint="eastAsia" w:ascii="宋体" w:hAnsi="宋体" w:cs="宋体"/>
                <w:color w:val="auto"/>
                <w:kern w:val="0"/>
                <w:szCs w:val="21"/>
                <w:highlight w:val="none"/>
              </w:rPr>
            </w:pPr>
          </w:p>
          <w:p w14:paraId="4D19DB83">
            <w:pPr>
              <w:pStyle w:val="11"/>
              <w:rPr>
                <w:rFonts w:hint="eastAsia" w:ascii="宋体" w:hAnsi="宋体" w:cs="宋体"/>
                <w:color w:val="auto"/>
                <w:kern w:val="0"/>
                <w:szCs w:val="21"/>
                <w:highlight w:val="none"/>
              </w:rPr>
            </w:pPr>
          </w:p>
          <w:p w14:paraId="7FF5F80F">
            <w:pPr>
              <w:pStyle w:val="11"/>
              <w:rPr>
                <w:rFonts w:hint="eastAsia" w:ascii="宋体" w:hAnsi="宋体" w:cs="宋体"/>
                <w:color w:val="auto"/>
                <w:kern w:val="0"/>
                <w:szCs w:val="21"/>
                <w:highlight w:val="none"/>
              </w:rPr>
            </w:pPr>
          </w:p>
          <w:p w14:paraId="055DC3F9">
            <w:pPr>
              <w:pStyle w:val="11"/>
              <w:rPr>
                <w:rFonts w:hint="eastAsia" w:ascii="宋体" w:hAnsi="宋体" w:cs="宋体"/>
                <w:color w:val="auto"/>
                <w:kern w:val="0"/>
                <w:szCs w:val="21"/>
                <w:highlight w:val="none"/>
              </w:rPr>
            </w:pPr>
          </w:p>
        </w:tc>
      </w:tr>
      <w:tr w14:paraId="40B2D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2" w:type="pct"/>
          <w:trHeight w:val="10849" w:hRule="atLeast"/>
          <w:jc w:val="center"/>
        </w:trPr>
        <w:tc>
          <w:tcPr>
            <w:tcW w:w="580" w:type="pct"/>
            <w:gridSpan w:val="2"/>
            <w:noWrap w:val="0"/>
            <w:vAlign w:val="center"/>
          </w:tcPr>
          <w:p w14:paraId="69995512">
            <w:pPr>
              <w:autoSpaceDE w:val="0"/>
              <w:autoSpaceDN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4366" w:type="pct"/>
            <w:gridSpan w:val="4"/>
            <w:noWrap w:val="0"/>
            <w:vAlign w:val="center"/>
          </w:tcPr>
          <w:p w14:paraId="1B209AEC">
            <w:pPr>
              <w:autoSpaceDE w:val="0"/>
              <w:autoSpaceDN w:val="0"/>
              <w:spacing w:line="360" w:lineRule="auto"/>
              <w:ind w:firstLine="482" w:firstLineChars="200"/>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1、产业政策符合性分析</w:t>
            </w:r>
          </w:p>
          <w:p w14:paraId="59A6101F">
            <w:pPr>
              <w:pStyle w:val="7"/>
              <w:ind w:firstLine="480"/>
              <w:rPr>
                <w:rFonts w:hint="eastAsia"/>
                <w:color w:val="auto"/>
                <w:highlight w:val="none"/>
              </w:rPr>
            </w:pPr>
            <w:r>
              <w:rPr>
                <w:color w:val="auto"/>
                <w:highlight w:val="none"/>
              </w:rPr>
              <w:t>依据《产业结构调整指导目录（2024年本）》，本项目不属于其中的鼓励类、限制类、淘汰类项目</w:t>
            </w:r>
            <w:r>
              <w:rPr>
                <w:rFonts w:hint="eastAsia"/>
                <w:color w:val="auto"/>
                <w:highlight w:val="none"/>
              </w:rPr>
              <w:t>，视为允许类</w:t>
            </w:r>
            <w:r>
              <w:rPr>
                <w:color w:val="auto"/>
                <w:highlight w:val="none"/>
              </w:rPr>
              <w:t>；</w:t>
            </w:r>
            <w:r>
              <w:rPr>
                <w:rFonts w:hint="eastAsia"/>
                <w:color w:val="auto"/>
                <w:highlight w:val="none"/>
              </w:rPr>
              <w:t>本项目不涉及</w:t>
            </w:r>
            <w:r>
              <w:rPr>
                <w:color w:val="auto"/>
                <w:highlight w:val="none"/>
              </w:rPr>
              <w:t>《市场准入负面清单》（</w:t>
            </w:r>
            <w:r>
              <w:rPr>
                <w:rFonts w:hint="eastAsia"/>
                <w:color w:val="auto"/>
                <w:highlight w:val="none"/>
              </w:rPr>
              <w:t>2025</w:t>
            </w:r>
            <w:r>
              <w:rPr>
                <w:color w:val="auto"/>
                <w:highlight w:val="none"/>
              </w:rPr>
              <w:t>年版）</w:t>
            </w:r>
            <w:r>
              <w:rPr>
                <w:rFonts w:hint="eastAsia"/>
                <w:color w:val="auto"/>
                <w:highlight w:val="none"/>
                <w:lang w:eastAsia="zh-CN"/>
              </w:rPr>
              <w:t>；</w:t>
            </w:r>
            <w:r>
              <w:rPr>
                <w:rFonts w:hint="eastAsia"/>
                <w:color w:val="auto"/>
                <w:highlight w:val="none"/>
                <w:lang w:val="en-US" w:eastAsia="zh-CN"/>
              </w:rPr>
              <w:t>本项目已取得陕西省西咸新区泾河新城管理委员会</w:t>
            </w:r>
            <w:r>
              <w:rPr>
                <w:rFonts w:hint="eastAsia"/>
                <w:color w:val="auto"/>
                <w:highlight w:val="none"/>
                <w:lang w:val="en-US" w:eastAsia="zh-CN"/>
              </w:rPr>
              <w:t>的</w:t>
            </w:r>
            <w:r>
              <w:rPr>
                <w:rFonts w:hint="eastAsia"/>
                <w:color w:val="auto"/>
                <w:highlight w:val="none"/>
                <w:lang w:val="en-US" w:eastAsia="zh-CN"/>
              </w:rPr>
              <w:t>陕西省企业投资项目备案确认书（项目代码：2509-611206-04-05-109747，见附件2）。</w:t>
            </w:r>
            <w:r>
              <w:rPr>
                <w:color w:val="auto"/>
                <w:highlight w:val="none"/>
              </w:rPr>
              <w:t>因此，</w:t>
            </w:r>
            <w:r>
              <w:rPr>
                <w:rFonts w:hint="eastAsia"/>
                <w:color w:val="auto"/>
                <w:highlight w:val="none"/>
              </w:rPr>
              <w:t>本项目符合国家产业政策要求。</w:t>
            </w:r>
          </w:p>
          <w:p w14:paraId="6C4B138E">
            <w:pPr>
              <w:pStyle w:val="7"/>
              <w:ind w:firstLine="482"/>
              <w:rPr>
                <w:b/>
                <w:bCs/>
                <w:color w:val="auto"/>
                <w:highlight w:val="none"/>
              </w:rPr>
            </w:pPr>
            <w:r>
              <w:rPr>
                <w:rFonts w:hint="eastAsia"/>
                <w:b/>
                <w:bCs/>
                <w:color w:val="auto"/>
                <w:highlight w:val="none"/>
              </w:rPr>
              <w:t>2</w:t>
            </w:r>
            <w:r>
              <w:rPr>
                <w:b/>
                <w:bCs/>
                <w:color w:val="auto"/>
                <w:highlight w:val="none"/>
              </w:rPr>
              <w:t>、“三线一单”符合性分析</w:t>
            </w:r>
          </w:p>
          <w:p w14:paraId="7784819C">
            <w:pPr>
              <w:snapToGrid/>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lang w:eastAsia="zh-CN"/>
              </w:rPr>
              <w:t>《</w:t>
            </w:r>
            <w:r>
              <w:rPr>
                <w:rFonts w:hint="eastAsia"/>
                <w:color w:val="auto"/>
                <w:sz w:val="24"/>
                <w:highlight w:val="none"/>
                <w:lang w:val="en-US" w:eastAsia="zh-CN"/>
              </w:rPr>
              <w:t>陕西省人民政府关于加快实施“三线一单”生态环境分区管控的意见</w:t>
            </w:r>
            <w:r>
              <w:rPr>
                <w:rFonts w:hint="eastAsia"/>
                <w:color w:val="auto"/>
                <w:sz w:val="24"/>
                <w:highlight w:val="none"/>
                <w:lang w:eastAsia="zh-CN"/>
              </w:rPr>
              <w:t>》（</w:t>
            </w:r>
            <w:r>
              <w:rPr>
                <w:rFonts w:hint="eastAsia"/>
                <w:color w:val="auto"/>
                <w:sz w:val="24"/>
                <w:highlight w:val="none"/>
                <w:lang w:val="en-US" w:eastAsia="zh-CN"/>
              </w:rPr>
              <w:t>陕政发〔2020〕11号</w:t>
            </w:r>
            <w:r>
              <w:rPr>
                <w:rFonts w:hint="eastAsia"/>
                <w:color w:val="auto"/>
                <w:sz w:val="24"/>
                <w:highlight w:val="none"/>
                <w:lang w:eastAsia="zh-CN"/>
              </w:rPr>
              <w:t>）、</w:t>
            </w:r>
            <w:r>
              <w:rPr>
                <w:rFonts w:hint="eastAsia"/>
                <w:color w:val="auto"/>
                <w:sz w:val="24"/>
                <w:highlight w:val="none"/>
                <w:lang w:eastAsia="zh-CN"/>
              </w:rPr>
              <w:t>《2023年陕西省生态环境分区管控成果动态更新实施方案》（市生态委办发〔2024〕16号）</w:t>
            </w:r>
            <w:r>
              <w:rPr>
                <w:color w:val="auto"/>
                <w:sz w:val="24"/>
                <w:highlight w:val="none"/>
              </w:rPr>
              <w:t>，</w:t>
            </w:r>
            <w:r>
              <w:rPr>
                <w:color w:val="auto"/>
                <w:sz w:val="24"/>
                <w:highlight w:val="none"/>
              </w:rPr>
              <w:t>落实生态保护红线、环境质量底线、资源利用上线和生态环境准入清单（以下简称“三线一单”），建立健全生态环境分区管控体系。</w:t>
            </w:r>
          </w:p>
          <w:p w14:paraId="340E56D3">
            <w:pPr>
              <w:autoSpaceDE w:val="0"/>
              <w:autoSpaceDN w:val="0"/>
              <w:spacing w:line="360" w:lineRule="auto"/>
              <w:ind w:firstLine="480" w:firstLineChars="200"/>
              <w:contextualSpacing/>
              <w:rPr>
                <w:color w:val="auto"/>
                <w:sz w:val="24"/>
                <w:szCs w:val="32"/>
                <w:highlight w:val="none"/>
              </w:rPr>
            </w:pPr>
            <w:r>
              <w:rPr>
                <w:rFonts w:hint="eastAsia"/>
                <w:color w:val="auto"/>
                <w:sz w:val="24"/>
                <w:szCs w:val="32"/>
                <w:highlight w:val="none"/>
              </w:rPr>
              <w:t>本项目与“三线一单”符合性分析如下。</w:t>
            </w:r>
          </w:p>
          <w:p w14:paraId="27D87A06">
            <w:pPr>
              <w:autoSpaceDE w:val="0"/>
              <w:autoSpaceDN w:val="0"/>
              <w:ind w:firstLine="482" w:firstLineChars="200"/>
              <w:contextualSpacing/>
              <w:jc w:val="center"/>
              <w:rPr>
                <w:b/>
                <w:color w:val="auto"/>
                <w:kern w:val="0"/>
                <w:sz w:val="24"/>
                <w:highlight w:val="none"/>
              </w:rPr>
            </w:pPr>
            <w:r>
              <w:rPr>
                <w:b/>
                <w:bCs/>
                <w:color w:val="auto"/>
                <w:sz w:val="24"/>
                <w:highlight w:val="none"/>
              </w:rPr>
              <w:t>表1-2</w:t>
            </w:r>
            <w:r>
              <w:rPr>
                <w:rFonts w:hint="eastAsia"/>
                <w:b/>
                <w:bCs/>
                <w:color w:val="auto"/>
                <w:sz w:val="24"/>
                <w:highlight w:val="none"/>
              </w:rPr>
              <w:t xml:space="preserve"> </w:t>
            </w:r>
            <w:r>
              <w:rPr>
                <w:b/>
                <w:bCs/>
                <w:color w:val="auto"/>
                <w:sz w:val="24"/>
                <w:highlight w:val="none"/>
              </w:rPr>
              <w:t xml:space="preserve"> “三线一单”符合性分析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4033"/>
              <w:gridCol w:w="1925"/>
              <w:gridCol w:w="579"/>
            </w:tblGrid>
            <w:tr w14:paraId="64097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7537FBCE">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“三线一单”</w:t>
                  </w:r>
                </w:p>
              </w:tc>
              <w:tc>
                <w:tcPr>
                  <w:tcW w:w="2678" w:type="pct"/>
                  <w:noWrap w:val="0"/>
                  <w:vAlign w:val="center"/>
                </w:tcPr>
                <w:p w14:paraId="175E5DDD">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内容</w:t>
                  </w:r>
                </w:p>
              </w:tc>
              <w:tc>
                <w:tcPr>
                  <w:tcW w:w="1278" w:type="pct"/>
                  <w:noWrap w:val="0"/>
                  <w:vAlign w:val="center"/>
                </w:tcPr>
                <w:p w14:paraId="431C7C49">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本项目情况</w:t>
                  </w:r>
                </w:p>
              </w:tc>
              <w:tc>
                <w:tcPr>
                  <w:tcW w:w="385" w:type="pct"/>
                  <w:noWrap w:val="0"/>
                  <w:vAlign w:val="center"/>
                </w:tcPr>
                <w:p w14:paraId="5F265BA4">
                  <w:pPr>
                    <w:autoSpaceDE w:val="0"/>
                    <w:autoSpaceDN w:val="0"/>
                    <w:adjustRightInd/>
                    <w:snapToGrid/>
                    <w:ind w:left="-105" w:leftChars="-50" w:right="-105" w:rightChars="-50"/>
                    <w:contextualSpacing/>
                    <w:jc w:val="center"/>
                    <w:rPr>
                      <w:b/>
                      <w:bCs/>
                      <w:color w:val="auto"/>
                      <w:kern w:val="0"/>
                      <w:szCs w:val="21"/>
                      <w:highlight w:val="none"/>
                    </w:rPr>
                  </w:pPr>
                  <w:r>
                    <w:rPr>
                      <w:b/>
                      <w:bCs/>
                      <w:color w:val="auto"/>
                      <w:kern w:val="0"/>
                      <w:szCs w:val="21"/>
                      <w:highlight w:val="none"/>
                    </w:rPr>
                    <w:t>符合性</w:t>
                  </w:r>
                </w:p>
              </w:tc>
            </w:tr>
            <w:tr w14:paraId="23F6A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5287A8C">
                  <w:pPr>
                    <w:autoSpaceDE w:val="0"/>
                    <w:autoSpaceDN w:val="0"/>
                    <w:contextualSpacing/>
                    <w:jc w:val="center"/>
                    <w:rPr>
                      <w:color w:val="auto"/>
                      <w:kern w:val="0"/>
                      <w:szCs w:val="21"/>
                      <w:highlight w:val="none"/>
                    </w:rPr>
                  </w:pPr>
                  <w:r>
                    <w:rPr>
                      <w:color w:val="auto"/>
                      <w:kern w:val="0"/>
                      <w:szCs w:val="21"/>
                      <w:highlight w:val="none"/>
                    </w:rPr>
                    <w:t>生态保护红线</w:t>
                  </w:r>
                </w:p>
              </w:tc>
              <w:tc>
                <w:tcPr>
                  <w:tcW w:w="2678" w:type="pct"/>
                  <w:noWrap w:val="0"/>
                  <w:vAlign w:val="center"/>
                </w:tcPr>
                <w:p w14:paraId="49C3C080">
                  <w:pPr>
                    <w:autoSpaceDE w:val="0"/>
                    <w:autoSpaceDN w:val="0"/>
                    <w:contextualSpacing/>
                    <w:jc w:val="both"/>
                    <w:rPr>
                      <w:color w:val="auto"/>
                      <w:kern w:val="0"/>
                      <w:szCs w:val="21"/>
                      <w:highlight w:val="none"/>
                    </w:rPr>
                  </w:pPr>
                  <w:r>
                    <w:rPr>
                      <w:color w:val="auto"/>
                      <w:kern w:val="0"/>
                      <w:szCs w:val="21"/>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278" w:type="pct"/>
                  <w:noWrap w:val="0"/>
                  <w:vAlign w:val="center"/>
                </w:tcPr>
                <w:p w14:paraId="36F63DC5">
                  <w:pPr>
                    <w:autoSpaceDE w:val="0"/>
                    <w:autoSpaceDN w:val="0"/>
                    <w:contextualSpacing/>
                    <w:rPr>
                      <w:color w:val="auto"/>
                      <w:kern w:val="0"/>
                      <w:szCs w:val="21"/>
                      <w:highlight w:val="none"/>
                    </w:rPr>
                  </w:pPr>
                  <w:r>
                    <w:rPr>
                      <w:color w:val="auto"/>
                      <w:kern w:val="0"/>
                      <w:szCs w:val="21"/>
                      <w:highlight w:val="none"/>
                    </w:rPr>
                    <w:t>本项目位于</w:t>
                  </w:r>
                  <w:r>
                    <w:rPr>
                      <w:rFonts w:hint="eastAsia"/>
                      <w:color w:val="auto"/>
                      <w:kern w:val="0"/>
                      <w:szCs w:val="21"/>
                      <w:highlight w:val="none"/>
                    </w:rPr>
                    <w:t>泾河新城原点西二路陕西力拓重工机械有限公司三号厂房</w:t>
                  </w:r>
                  <w:r>
                    <w:rPr>
                      <w:color w:val="auto"/>
                      <w:kern w:val="0"/>
                      <w:szCs w:val="21"/>
                      <w:highlight w:val="none"/>
                    </w:rPr>
                    <w:t>，</w:t>
                  </w:r>
                  <w:r>
                    <w:rPr>
                      <w:rFonts w:hint="eastAsia"/>
                      <w:color w:val="auto"/>
                      <w:kern w:val="0"/>
                      <w:szCs w:val="21"/>
                      <w:highlight w:val="none"/>
                      <w:lang w:val="en-US" w:eastAsia="zh-CN"/>
                    </w:rPr>
                    <w:t>位于生态环境管控单元中的重点管控单元，</w:t>
                  </w:r>
                  <w:r>
                    <w:rPr>
                      <w:color w:val="auto"/>
                      <w:kern w:val="0"/>
                      <w:szCs w:val="21"/>
                      <w:highlight w:val="none"/>
                    </w:rPr>
                    <w:t>不涉及生态保护红线。</w:t>
                  </w:r>
                </w:p>
              </w:tc>
              <w:tc>
                <w:tcPr>
                  <w:tcW w:w="385" w:type="pct"/>
                  <w:noWrap w:val="0"/>
                  <w:vAlign w:val="center"/>
                </w:tcPr>
                <w:p w14:paraId="46BCBC46">
                  <w:pPr>
                    <w:autoSpaceDE w:val="0"/>
                    <w:autoSpaceDN w:val="0"/>
                    <w:contextualSpacing/>
                    <w:jc w:val="center"/>
                    <w:rPr>
                      <w:color w:val="auto"/>
                      <w:kern w:val="0"/>
                      <w:szCs w:val="21"/>
                      <w:highlight w:val="none"/>
                    </w:rPr>
                  </w:pPr>
                  <w:r>
                    <w:rPr>
                      <w:color w:val="auto"/>
                      <w:kern w:val="0"/>
                      <w:szCs w:val="21"/>
                      <w:highlight w:val="none"/>
                    </w:rPr>
                    <w:t>符合</w:t>
                  </w:r>
                </w:p>
              </w:tc>
            </w:tr>
            <w:tr w14:paraId="69228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AC4F3F6">
                  <w:pPr>
                    <w:autoSpaceDE w:val="0"/>
                    <w:autoSpaceDN w:val="0"/>
                    <w:contextualSpacing/>
                    <w:jc w:val="center"/>
                    <w:rPr>
                      <w:color w:val="auto"/>
                      <w:kern w:val="0"/>
                      <w:szCs w:val="21"/>
                      <w:highlight w:val="none"/>
                    </w:rPr>
                  </w:pPr>
                  <w:r>
                    <w:rPr>
                      <w:color w:val="auto"/>
                      <w:kern w:val="0"/>
                      <w:szCs w:val="21"/>
                      <w:highlight w:val="none"/>
                    </w:rPr>
                    <w:t>环境质量底线</w:t>
                  </w:r>
                </w:p>
              </w:tc>
              <w:tc>
                <w:tcPr>
                  <w:tcW w:w="2678" w:type="pct"/>
                  <w:noWrap w:val="0"/>
                  <w:vAlign w:val="center"/>
                </w:tcPr>
                <w:p w14:paraId="2A4E1B9D">
                  <w:pPr>
                    <w:autoSpaceDE w:val="0"/>
                    <w:autoSpaceDN w:val="0"/>
                    <w:contextualSpacing/>
                    <w:jc w:val="center"/>
                    <w:rPr>
                      <w:color w:val="auto"/>
                      <w:kern w:val="0"/>
                      <w:szCs w:val="21"/>
                      <w:highlight w:val="none"/>
                    </w:rPr>
                  </w:pPr>
                  <w:r>
                    <w:rPr>
                      <w:color w:val="auto"/>
                      <w:kern w:val="0"/>
                      <w:szCs w:val="21"/>
                      <w:highlight w:val="none"/>
                    </w:rPr>
                    <w:t>项目环评应对照区域环境质量目标，深入分析预测项目建设对环境质量的影响，强化污染防治措施和污染物排放控制要求。</w:t>
                  </w:r>
                </w:p>
              </w:tc>
              <w:tc>
                <w:tcPr>
                  <w:tcW w:w="1278" w:type="pct"/>
                  <w:noWrap w:val="0"/>
                  <w:vAlign w:val="center"/>
                </w:tcPr>
                <w:p w14:paraId="72729DEF">
                  <w:pPr>
                    <w:autoSpaceDE w:val="0"/>
                    <w:autoSpaceDN w:val="0"/>
                    <w:contextualSpacing/>
                    <w:rPr>
                      <w:rFonts w:hint="eastAsia"/>
                      <w:color w:val="auto"/>
                      <w:kern w:val="0"/>
                      <w:szCs w:val="21"/>
                      <w:highlight w:val="none"/>
                    </w:rPr>
                  </w:pPr>
                  <w:r>
                    <w:rPr>
                      <w:rFonts w:hint="eastAsia"/>
                      <w:color w:val="auto"/>
                      <w:kern w:val="0"/>
                      <w:szCs w:val="21"/>
                      <w:highlight w:val="none"/>
                    </w:rPr>
                    <w:t>本</w:t>
                  </w:r>
                  <w:r>
                    <w:rPr>
                      <w:color w:val="auto"/>
                      <w:kern w:val="0"/>
                      <w:szCs w:val="21"/>
                      <w:highlight w:val="none"/>
                    </w:rPr>
                    <w:t>项目通过采取报告中提出的各项污染防治措施后，不会导致项目所在区域大气、水、声等环境质量现状发生明显变化</w:t>
                  </w:r>
                  <w:r>
                    <w:rPr>
                      <w:rFonts w:hint="eastAsia"/>
                      <w:color w:val="auto"/>
                      <w:kern w:val="0"/>
                      <w:szCs w:val="21"/>
                      <w:highlight w:val="none"/>
                    </w:rPr>
                    <w:t>。</w:t>
                  </w:r>
                </w:p>
              </w:tc>
              <w:tc>
                <w:tcPr>
                  <w:tcW w:w="385" w:type="pct"/>
                  <w:noWrap w:val="0"/>
                  <w:vAlign w:val="center"/>
                </w:tcPr>
                <w:p w14:paraId="51B92845">
                  <w:pPr>
                    <w:autoSpaceDE w:val="0"/>
                    <w:autoSpaceDN w:val="0"/>
                    <w:contextualSpacing/>
                    <w:jc w:val="center"/>
                    <w:rPr>
                      <w:color w:val="auto"/>
                      <w:kern w:val="0"/>
                      <w:szCs w:val="21"/>
                      <w:highlight w:val="none"/>
                    </w:rPr>
                  </w:pPr>
                  <w:r>
                    <w:rPr>
                      <w:color w:val="auto"/>
                      <w:kern w:val="0"/>
                      <w:szCs w:val="21"/>
                      <w:highlight w:val="none"/>
                    </w:rPr>
                    <w:t>符合</w:t>
                  </w:r>
                </w:p>
              </w:tc>
            </w:tr>
            <w:tr w14:paraId="7EDA4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2F92DE63">
                  <w:pPr>
                    <w:autoSpaceDE w:val="0"/>
                    <w:autoSpaceDN w:val="0"/>
                    <w:contextualSpacing/>
                    <w:jc w:val="center"/>
                    <w:rPr>
                      <w:color w:val="auto"/>
                      <w:kern w:val="0"/>
                      <w:szCs w:val="21"/>
                      <w:highlight w:val="none"/>
                    </w:rPr>
                  </w:pPr>
                  <w:r>
                    <w:rPr>
                      <w:color w:val="auto"/>
                      <w:kern w:val="0"/>
                      <w:szCs w:val="21"/>
                      <w:highlight w:val="none"/>
                    </w:rPr>
                    <w:t>资源利用上线</w:t>
                  </w:r>
                </w:p>
              </w:tc>
              <w:tc>
                <w:tcPr>
                  <w:tcW w:w="2678" w:type="pct"/>
                  <w:noWrap w:val="0"/>
                  <w:vAlign w:val="center"/>
                </w:tcPr>
                <w:p w14:paraId="7E4EDE2F">
                  <w:pPr>
                    <w:autoSpaceDE w:val="0"/>
                    <w:autoSpaceDN w:val="0"/>
                    <w:jc w:val="center"/>
                    <w:rPr>
                      <w:color w:val="auto"/>
                      <w:kern w:val="0"/>
                      <w:szCs w:val="21"/>
                      <w:highlight w:val="none"/>
                    </w:rPr>
                  </w:pPr>
                  <w:r>
                    <w:rPr>
                      <w:color w:val="auto"/>
                      <w:kern w:val="0"/>
                      <w:szCs w:val="21"/>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278" w:type="pct"/>
                  <w:noWrap w:val="0"/>
                  <w:vAlign w:val="center"/>
                </w:tcPr>
                <w:p w14:paraId="666493A3">
                  <w:pPr>
                    <w:autoSpaceDE w:val="0"/>
                    <w:autoSpaceDN w:val="0"/>
                    <w:contextualSpacing/>
                    <w:rPr>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采用电能</w:t>
                  </w:r>
                  <w:r>
                    <w:rPr>
                      <w:rFonts w:hint="eastAsia"/>
                      <w:color w:val="auto"/>
                      <w:kern w:val="0"/>
                      <w:szCs w:val="21"/>
                      <w:highlight w:val="none"/>
                    </w:rPr>
                    <w:t>，属于清洁能源，不触及资源利用上线。</w:t>
                  </w:r>
                </w:p>
              </w:tc>
              <w:tc>
                <w:tcPr>
                  <w:tcW w:w="385" w:type="pct"/>
                  <w:noWrap w:val="0"/>
                  <w:vAlign w:val="center"/>
                </w:tcPr>
                <w:p w14:paraId="451AFECD">
                  <w:pPr>
                    <w:autoSpaceDE w:val="0"/>
                    <w:autoSpaceDN w:val="0"/>
                    <w:contextualSpacing/>
                    <w:jc w:val="center"/>
                    <w:rPr>
                      <w:color w:val="auto"/>
                      <w:kern w:val="0"/>
                      <w:szCs w:val="21"/>
                      <w:highlight w:val="none"/>
                    </w:rPr>
                  </w:pPr>
                  <w:r>
                    <w:rPr>
                      <w:color w:val="auto"/>
                      <w:kern w:val="0"/>
                      <w:szCs w:val="21"/>
                      <w:highlight w:val="none"/>
                    </w:rPr>
                    <w:t>符合</w:t>
                  </w:r>
                </w:p>
              </w:tc>
            </w:tr>
            <w:tr w14:paraId="445BB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noWrap w:val="0"/>
                  <w:vAlign w:val="center"/>
                </w:tcPr>
                <w:p w14:paraId="5BE608EA">
                  <w:pPr>
                    <w:autoSpaceDE w:val="0"/>
                    <w:autoSpaceDN w:val="0"/>
                    <w:contextualSpacing/>
                    <w:jc w:val="center"/>
                    <w:rPr>
                      <w:color w:val="auto"/>
                      <w:kern w:val="0"/>
                      <w:szCs w:val="21"/>
                      <w:highlight w:val="none"/>
                    </w:rPr>
                  </w:pPr>
                  <w:r>
                    <w:rPr>
                      <w:color w:val="auto"/>
                      <w:kern w:val="0"/>
                      <w:szCs w:val="21"/>
                      <w:highlight w:val="none"/>
                    </w:rPr>
                    <w:t>环境准入负面清单</w:t>
                  </w:r>
                </w:p>
              </w:tc>
              <w:tc>
                <w:tcPr>
                  <w:tcW w:w="2678" w:type="pct"/>
                  <w:noWrap w:val="0"/>
                  <w:vAlign w:val="center"/>
                </w:tcPr>
                <w:p w14:paraId="4FB7A0D7">
                  <w:pPr>
                    <w:autoSpaceDE w:val="0"/>
                    <w:autoSpaceDN w:val="0"/>
                    <w:contextualSpacing/>
                    <w:jc w:val="both"/>
                    <w:rPr>
                      <w:color w:val="auto"/>
                      <w:kern w:val="0"/>
                      <w:szCs w:val="21"/>
                      <w:highlight w:val="none"/>
                    </w:rPr>
                  </w:pPr>
                  <w:r>
                    <w:rPr>
                      <w:color w:val="auto"/>
                      <w:kern w:val="0"/>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278" w:type="pct"/>
                  <w:noWrap w:val="0"/>
                  <w:vAlign w:val="center"/>
                </w:tcPr>
                <w:p w14:paraId="3B50C1A6">
                  <w:pPr>
                    <w:autoSpaceDE w:val="0"/>
                    <w:autoSpaceDN w:val="0"/>
                    <w:contextualSpacing/>
                    <w:rPr>
                      <w:color w:val="auto"/>
                      <w:kern w:val="0"/>
                      <w:szCs w:val="21"/>
                      <w:highlight w:val="none"/>
                    </w:rPr>
                  </w:pPr>
                  <w:r>
                    <w:rPr>
                      <w:rFonts w:hint="eastAsia"/>
                      <w:color w:val="auto"/>
                      <w:kern w:val="0"/>
                      <w:szCs w:val="21"/>
                      <w:highlight w:val="none"/>
                    </w:rPr>
                    <w:t>本</w:t>
                  </w:r>
                  <w:r>
                    <w:rPr>
                      <w:color w:val="auto"/>
                      <w:kern w:val="0"/>
                      <w:szCs w:val="21"/>
                      <w:highlight w:val="none"/>
                    </w:rPr>
                    <w:t>项</w:t>
                  </w:r>
                  <w:r>
                    <w:rPr>
                      <w:rFonts w:hint="eastAsia"/>
                      <w:color w:val="auto"/>
                      <w:kern w:val="0"/>
                      <w:szCs w:val="21"/>
                      <w:highlight w:val="none"/>
                    </w:rPr>
                    <w:t>目不涉及陕西省国家重点生态功能区；本项目不在规划环评或生态分区管控中的准入清单内。</w:t>
                  </w:r>
                </w:p>
              </w:tc>
              <w:tc>
                <w:tcPr>
                  <w:tcW w:w="385" w:type="pct"/>
                  <w:noWrap w:val="0"/>
                  <w:vAlign w:val="center"/>
                </w:tcPr>
                <w:p w14:paraId="6B865B6D">
                  <w:pPr>
                    <w:autoSpaceDE w:val="0"/>
                    <w:autoSpaceDN w:val="0"/>
                    <w:contextualSpacing/>
                    <w:jc w:val="center"/>
                    <w:rPr>
                      <w:color w:val="auto"/>
                      <w:kern w:val="0"/>
                      <w:szCs w:val="21"/>
                      <w:highlight w:val="none"/>
                    </w:rPr>
                  </w:pPr>
                  <w:r>
                    <w:rPr>
                      <w:color w:val="auto"/>
                      <w:kern w:val="0"/>
                      <w:szCs w:val="21"/>
                      <w:highlight w:val="none"/>
                    </w:rPr>
                    <w:t>符合</w:t>
                  </w:r>
                </w:p>
              </w:tc>
            </w:tr>
          </w:tbl>
          <w:p w14:paraId="33CB8F24">
            <w:pPr>
              <w:pStyle w:val="23"/>
              <w:spacing w:after="0" w:line="360" w:lineRule="auto"/>
              <w:ind w:left="0" w:leftChars="0" w:firstLine="480"/>
              <w:rPr>
                <w:rFonts w:hint="eastAsia"/>
                <w:color w:val="auto"/>
                <w:sz w:val="24"/>
                <w:highlight w:val="none"/>
              </w:rPr>
            </w:pPr>
            <w:r>
              <w:rPr>
                <w:rFonts w:hint="eastAsia"/>
                <w:color w:val="auto"/>
                <w:sz w:val="24"/>
                <w:highlight w:val="none"/>
              </w:rPr>
              <w:t>根据《陕西省“三线一单”生态环境分区管控应用技术指南：环境影响评价（试行）》，环评文件涉及“三线一单”生态环境分区管控符合性分析应采取“一图一表一说明”的表达方式，本项目“三线一单”生态环境分区管控方案符合性分析如下：</w:t>
            </w:r>
          </w:p>
          <w:p w14:paraId="60A57DAE">
            <w:pPr>
              <w:pStyle w:val="23"/>
              <w:spacing w:after="0" w:line="360" w:lineRule="auto"/>
              <w:ind w:left="0" w:leftChars="0" w:firstLine="480"/>
              <w:rPr>
                <w:rFonts w:hint="eastAsia"/>
                <w:color w:val="auto"/>
                <w:sz w:val="24"/>
                <w:highlight w:val="none"/>
              </w:rPr>
            </w:pPr>
            <w:r>
              <w:rPr>
                <w:rFonts w:hint="eastAsia"/>
                <w:color w:val="auto"/>
                <w:sz w:val="24"/>
                <w:highlight w:val="none"/>
              </w:rPr>
              <w:t>（1）“一图”</w:t>
            </w:r>
          </w:p>
          <w:p w14:paraId="2D688CC8">
            <w:pPr>
              <w:pStyle w:val="23"/>
              <w:spacing w:after="0" w:line="360" w:lineRule="auto"/>
              <w:ind w:left="0" w:leftChars="0" w:firstLine="480"/>
              <w:rPr>
                <w:rFonts w:hint="default" w:eastAsia="宋体"/>
                <w:color w:val="auto"/>
                <w:sz w:val="24"/>
                <w:highlight w:val="none"/>
                <w:lang w:val="en-US" w:eastAsia="zh-CN"/>
              </w:rPr>
            </w:pPr>
            <w:r>
              <w:rPr>
                <w:rFonts w:hint="eastAsia"/>
                <w:color w:val="auto"/>
                <w:sz w:val="24"/>
                <w:highlight w:val="none"/>
                <w:lang w:val="en-US" w:eastAsia="zh-CN"/>
              </w:rPr>
              <w:t>本</w:t>
            </w:r>
            <w:r>
              <w:rPr>
                <w:rFonts w:hint="eastAsia"/>
                <w:color w:val="auto"/>
                <w:sz w:val="24"/>
                <w:highlight w:val="none"/>
              </w:rPr>
              <w:t>项目位于陕西省咸阳市泾阳县重点管控单元（西咸新区）</w:t>
            </w:r>
            <w:r>
              <w:rPr>
                <w:rFonts w:hint="eastAsia"/>
                <w:color w:val="auto"/>
                <w:sz w:val="24"/>
                <w:highlight w:val="none"/>
                <w:lang w:val="en-US" w:eastAsia="zh-CN"/>
              </w:rPr>
              <w:t>内，具体见图1-1。</w:t>
            </w:r>
          </w:p>
          <w:p w14:paraId="2FAE5F73">
            <w:pPr>
              <w:pStyle w:val="23"/>
              <w:spacing w:after="0" w:line="360" w:lineRule="auto"/>
              <w:ind w:left="0" w:leftChars="0" w:firstLine="0" w:firstLineChars="0"/>
              <w:jc w:val="center"/>
              <w:rPr>
                <w:rFonts w:hint="eastAsia"/>
                <w:color w:val="auto"/>
                <w:sz w:val="24"/>
                <w:highlight w:val="none"/>
              </w:rPr>
            </w:pPr>
            <w:r>
              <w:rPr>
                <w:color w:val="auto"/>
                <w:highlight w:val="none"/>
              </w:rPr>
              <w:drawing>
                <wp:inline distT="0" distB="0" distL="114300" distR="114300">
                  <wp:extent cx="2154555" cy="3491865"/>
                  <wp:effectExtent l="0" t="0" r="17145"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2154555" cy="3491865"/>
                          </a:xfrm>
                          <a:prstGeom prst="rect">
                            <a:avLst/>
                          </a:prstGeom>
                          <a:noFill/>
                          <a:ln>
                            <a:noFill/>
                          </a:ln>
                        </pic:spPr>
                      </pic:pic>
                    </a:graphicData>
                  </a:graphic>
                </wp:inline>
              </w:drawing>
            </w:r>
          </w:p>
          <w:p w14:paraId="08CF9094">
            <w:pPr>
              <w:autoSpaceDE w:val="0"/>
              <w:autoSpaceDN w:val="0"/>
              <w:ind w:firstLine="482" w:firstLineChars="200"/>
              <w:contextualSpacing/>
              <w:jc w:val="center"/>
              <w:rPr>
                <w:rFonts w:hint="eastAsia"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图1-1 项目在生态环境管控单元分布示意图中的位置</w:t>
            </w:r>
          </w:p>
          <w:p w14:paraId="569F1C35">
            <w:pPr>
              <w:pStyle w:val="23"/>
              <w:spacing w:after="0" w:line="360" w:lineRule="auto"/>
              <w:ind w:left="0" w:leftChars="0" w:firstLine="480"/>
              <w:rPr>
                <w:rFonts w:hint="eastAsia"/>
                <w:color w:val="auto"/>
                <w:sz w:val="24"/>
                <w:highlight w:val="none"/>
              </w:rPr>
            </w:pPr>
            <w:r>
              <w:rPr>
                <w:rFonts w:hint="eastAsia"/>
                <w:color w:val="auto"/>
                <w:sz w:val="24"/>
                <w:highlight w:val="none"/>
              </w:rPr>
              <w:t>（2）“一表”</w:t>
            </w:r>
          </w:p>
          <w:p w14:paraId="0A53310A">
            <w:pPr>
              <w:pStyle w:val="23"/>
              <w:spacing w:after="0" w:line="360" w:lineRule="auto"/>
              <w:ind w:left="0" w:leftChars="0" w:firstLine="480"/>
              <w:rPr>
                <w:rFonts w:hint="eastAsia"/>
                <w:color w:val="auto"/>
                <w:sz w:val="24"/>
                <w:highlight w:val="none"/>
                <w:lang w:val="en-US" w:eastAsia="zh-CN"/>
              </w:rPr>
            </w:pPr>
            <w:r>
              <w:rPr>
                <w:rFonts w:hint="eastAsia"/>
                <w:color w:val="auto"/>
                <w:sz w:val="24"/>
                <w:highlight w:val="none"/>
                <w:lang w:val="en-US" w:eastAsia="zh-CN"/>
              </w:rPr>
              <w:t>本</w:t>
            </w:r>
            <w:r>
              <w:rPr>
                <w:rFonts w:hint="eastAsia"/>
                <w:color w:val="auto"/>
                <w:sz w:val="24"/>
                <w:highlight w:val="none"/>
              </w:rPr>
              <w:t>项目所涉及的生态环境分区管控准入清单</w:t>
            </w:r>
            <w:r>
              <w:rPr>
                <w:rFonts w:hint="eastAsia"/>
                <w:color w:val="auto"/>
                <w:sz w:val="24"/>
                <w:highlight w:val="none"/>
                <w:lang w:val="en-US" w:eastAsia="zh-CN"/>
              </w:rPr>
              <w:t>见表1-3。</w:t>
            </w:r>
          </w:p>
          <w:p w14:paraId="7CB160FC">
            <w:pPr>
              <w:pStyle w:val="23"/>
              <w:spacing w:after="0" w:line="360" w:lineRule="auto"/>
              <w:ind w:left="0" w:leftChars="0" w:firstLine="480"/>
              <w:rPr>
                <w:rFonts w:hint="default"/>
                <w:color w:val="auto"/>
                <w:sz w:val="24"/>
                <w:highlight w:val="none"/>
                <w:lang w:val="en-US" w:eastAsia="zh-CN"/>
              </w:rPr>
            </w:pPr>
            <w:r>
              <w:rPr>
                <w:rFonts w:hint="default"/>
                <w:color w:val="auto"/>
                <w:sz w:val="24"/>
                <w:highlight w:val="none"/>
                <w:lang w:val="en-US" w:eastAsia="zh-CN"/>
              </w:rPr>
              <w:t>（3）“一说明”</w:t>
            </w:r>
          </w:p>
          <w:p w14:paraId="52EEB31F">
            <w:pPr>
              <w:pStyle w:val="7"/>
              <w:ind w:firstLine="480"/>
              <w:rPr>
                <w:rFonts w:hint="eastAsia"/>
                <w:color w:val="auto"/>
                <w:sz w:val="24"/>
                <w:highlight w:val="none"/>
              </w:rPr>
            </w:pPr>
            <w:r>
              <w:rPr>
                <w:rFonts w:hint="default"/>
                <w:color w:val="auto"/>
                <w:sz w:val="24"/>
                <w:highlight w:val="none"/>
                <w:lang w:val="en-US" w:eastAsia="zh-CN"/>
              </w:rPr>
              <w:t>项目</w:t>
            </w:r>
            <w:r>
              <w:rPr>
                <w:rFonts w:hint="eastAsia"/>
                <w:color w:val="auto"/>
                <w:sz w:val="24"/>
                <w:highlight w:val="none"/>
              </w:rPr>
              <w:t>位于陕西省咸阳市泾阳县重点管控单元（西咸新区）中的大气环境受体敏感重点管控区、水环境城镇生活污染重点管控区、高污染燃料禁燃区等重点管控单元，不涉及优先管控单元。项目建设满足各重点管控单元空间布局约束、污染物排放管控要求，符合</w:t>
            </w:r>
            <w:r>
              <w:rPr>
                <w:rFonts w:hint="eastAsia"/>
                <w:color w:val="auto"/>
                <w:sz w:val="24"/>
                <w:highlight w:val="none"/>
              </w:rPr>
              <w:t>《2023年咸阳市生态环境分区管控调整方案》（咸政办函〔2024〕162号）</w:t>
            </w:r>
            <w:r>
              <w:rPr>
                <w:rFonts w:hint="eastAsia"/>
                <w:color w:val="auto"/>
                <w:sz w:val="24"/>
                <w:highlight w:val="none"/>
              </w:rPr>
              <w:t>要求。</w:t>
            </w:r>
          </w:p>
          <w:p w14:paraId="4E790BAC">
            <w:pPr>
              <w:pStyle w:val="7"/>
              <w:ind w:firstLine="480"/>
              <w:rPr>
                <w:rFonts w:hint="eastAsia"/>
                <w:color w:val="auto"/>
                <w:sz w:val="24"/>
                <w:highlight w:val="none"/>
              </w:rPr>
            </w:pPr>
          </w:p>
          <w:p w14:paraId="4620EED9">
            <w:pPr>
              <w:pStyle w:val="7"/>
              <w:ind w:firstLine="480"/>
              <w:rPr>
                <w:rFonts w:hint="eastAsia"/>
                <w:color w:val="auto"/>
                <w:sz w:val="24"/>
                <w:highlight w:val="none"/>
              </w:rPr>
            </w:pPr>
          </w:p>
          <w:p w14:paraId="1DB4F271">
            <w:pPr>
              <w:pStyle w:val="7"/>
              <w:ind w:firstLine="480"/>
              <w:rPr>
                <w:rFonts w:hint="eastAsia"/>
                <w:color w:val="auto"/>
                <w:sz w:val="24"/>
                <w:highlight w:val="none"/>
              </w:rPr>
            </w:pPr>
          </w:p>
          <w:p w14:paraId="69A31BD4">
            <w:pPr>
              <w:pStyle w:val="7"/>
              <w:ind w:firstLine="480"/>
              <w:rPr>
                <w:rFonts w:hint="eastAsia"/>
                <w:color w:val="auto"/>
                <w:sz w:val="24"/>
                <w:highlight w:val="none"/>
              </w:rPr>
            </w:pPr>
          </w:p>
          <w:p w14:paraId="4D25FBE8">
            <w:pPr>
              <w:pStyle w:val="7"/>
              <w:ind w:firstLine="480"/>
              <w:rPr>
                <w:rFonts w:hint="eastAsia"/>
                <w:color w:val="auto"/>
                <w:sz w:val="24"/>
                <w:highlight w:val="none"/>
              </w:rPr>
            </w:pPr>
          </w:p>
          <w:p w14:paraId="5E741E1C">
            <w:pPr>
              <w:pStyle w:val="7"/>
              <w:ind w:firstLine="480"/>
              <w:rPr>
                <w:rFonts w:hint="eastAsia"/>
                <w:color w:val="auto"/>
                <w:sz w:val="24"/>
                <w:highlight w:val="none"/>
              </w:rPr>
            </w:pPr>
          </w:p>
          <w:p w14:paraId="4EF1D6DD">
            <w:pPr>
              <w:pStyle w:val="7"/>
              <w:ind w:firstLine="480"/>
              <w:rPr>
                <w:rFonts w:hint="eastAsia"/>
                <w:color w:val="auto"/>
                <w:sz w:val="24"/>
                <w:highlight w:val="none"/>
              </w:rPr>
            </w:pPr>
          </w:p>
          <w:p w14:paraId="341E11D6">
            <w:pPr>
              <w:pStyle w:val="7"/>
              <w:ind w:firstLine="480"/>
              <w:rPr>
                <w:rFonts w:hint="eastAsia"/>
                <w:color w:val="auto"/>
                <w:sz w:val="24"/>
                <w:highlight w:val="none"/>
              </w:rPr>
            </w:pPr>
          </w:p>
          <w:p w14:paraId="17E5F50F">
            <w:pPr>
              <w:pStyle w:val="7"/>
              <w:ind w:firstLine="480"/>
              <w:rPr>
                <w:rFonts w:hint="eastAsia"/>
                <w:color w:val="auto"/>
                <w:sz w:val="24"/>
                <w:highlight w:val="none"/>
              </w:rPr>
            </w:pPr>
          </w:p>
          <w:p w14:paraId="60B8FCDF">
            <w:pPr>
              <w:pStyle w:val="13"/>
              <w:widowControl w:val="0"/>
              <w:numPr>
                <w:ilvl w:val="0"/>
                <w:numId w:val="0"/>
              </w:numPr>
              <w:adjustRightInd w:val="0"/>
              <w:snapToGrid w:val="0"/>
              <w:jc w:val="both"/>
              <w:rPr>
                <w:rFonts w:hint="eastAsia"/>
                <w:color w:val="auto"/>
                <w:sz w:val="24"/>
                <w:highlight w:val="none"/>
              </w:rPr>
            </w:pPr>
          </w:p>
          <w:p w14:paraId="36E556B5">
            <w:pPr>
              <w:pStyle w:val="13"/>
              <w:widowControl w:val="0"/>
              <w:numPr>
                <w:ilvl w:val="0"/>
                <w:numId w:val="0"/>
              </w:numPr>
              <w:adjustRightInd w:val="0"/>
              <w:snapToGrid w:val="0"/>
              <w:jc w:val="both"/>
              <w:rPr>
                <w:rFonts w:hint="eastAsia"/>
                <w:color w:val="auto"/>
                <w:sz w:val="24"/>
                <w:highlight w:val="none"/>
              </w:rPr>
            </w:pPr>
          </w:p>
          <w:p w14:paraId="09630C2E">
            <w:pPr>
              <w:pStyle w:val="13"/>
              <w:widowControl w:val="0"/>
              <w:numPr>
                <w:ilvl w:val="0"/>
                <w:numId w:val="0"/>
              </w:numPr>
              <w:adjustRightInd w:val="0"/>
              <w:snapToGrid w:val="0"/>
              <w:jc w:val="both"/>
              <w:rPr>
                <w:rFonts w:hint="eastAsia"/>
                <w:color w:val="auto"/>
                <w:sz w:val="24"/>
                <w:highlight w:val="none"/>
              </w:rPr>
            </w:pPr>
          </w:p>
          <w:p w14:paraId="67432DAE">
            <w:pPr>
              <w:pStyle w:val="13"/>
              <w:widowControl w:val="0"/>
              <w:numPr>
                <w:ilvl w:val="0"/>
                <w:numId w:val="0"/>
              </w:numPr>
              <w:adjustRightInd w:val="0"/>
              <w:snapToGrid w:val="0"/>
              <w:jc w:val="both"/>
              <w:rPr>
                <w:rFonts w:hint="eastAsia"/>
                <w:color w:val="auto"/>
                <w:sz w:val="24"/>
                <w:highlight w:val="none"/>
              </w:rPr>
            </w:pPr>
          </w:p>
          <w:p w14:paraId="3FC7BDB3">
            <w:pPr>
              <w:pStyle w:val="13"/>
              <w:widowControl w:val="0"/>
              <w:numPr>
                <w:ilvl w:val="0"/>
                <w:numId w:val="0"/>
              </w:numPr>
              <w:adjustRightInd w:val="0"/>
              <w:snapToGrid w:val="0"/>
              <w:jc w:val="both"/>
              <w:rPr>
                <w:rFonts w:hint="eastAsia"/>
                <w:color w:val="auto"/>
                <w:sz w:val="24"/>
                <w:highlight w:val="none"/>
              </w:rPr>
            </w:pPr>
          </w:p>
          <w:p w14:paraId="3F111712">
            <w:pPr>
              <w:pStyle w:val="13"/>
              <w:widowControl w:val="0"/>
              <w:numPr>
                <w:ilvl w:val="0"/>
                <w:numId w:val="0"/>
              </w:numPr>
              <w:adjustRightInd w:val="0"/>
              <w:snapToGrid w:val="0"/>
              <w:jc w:val="both"/>
              <w:rPr>
                <w:rFonts w:hint="eastAsia"/>
                <w:color w:val="auto"/>
                <w:sz w:val="24"/>
                <w:highlight w:val="none"/>
              </w:rPr>
            </w:pPr>
          </w:p>
          <w:p w14:paraId="3EE66147">
            <w:pPr>
              <w:pStyle w:val="13"/>
              <w:widowControl w:val="0"/>
              <w:numPr>
                <w:ilvl w:val="0"/>
                <w:numId w:val="0"/>
              </w:numPr>
              <w:adjustRightInd w:val="0"/>
              <w:snapToGrid w:val="0"/>
              <w:jc w:val="both"/>
              <w:rPr>
                <w:rFonts w:hint="eastAsia"/>
                <w:color w:val="auto"/>
                <w:sz w:val="24"/>
                <w:highlight w:val="none"/>
              </w:rPr>
            </w:pPr>
          </w:p>
          <w:p w14:paraId="2819B574">
            <w:pPr>
              <w:pStyle w:val="13"/>
              <w:widowControl w:val="0"/>
              <w:numPr>
                <w:ilvl w:val="0"/>
                <w:numId w:val="0"/>
              </w:numPr>
              <w:adjustRightInd w:val="0"/>
              <w:snapToGrid w:val="0"/>
              <w:jc w:val="both"/>
              <w:rPr>
                <w:rFonts w:hint="eastAsia"/>
                <w:color w:val="auto"/>
                <w:sz w:val="24"/>
                <w:highlight w:val="none"/>
              </w:rPr>
            </w:pPr>
          </w:p>
          <w:p w14:paraId="71385335">
            <w:pPr>
              <w:pStyle w:val="13"/>
              <w:widowControl w:val="0"/>
              <w:numPr>
                <w:ilvl w:val="0"/>
                <w:numId w:val="0"/>
              </w:numPr>
              <w:adjustRightInd w:val="0"/>
              <w:snapToGrid w:val="0"/>
              <w:jc w:val="both"/>
              <w:rPr>
                <w:rFonts w:hint="eastAsia"/>
                <w:color w:val="auto"/>
                <w:sz w:val="24"/>
                <w:highlight w:val="none"/>
              </w:rPr>
            </w:pPr>
          </w:p>
          <w:p w14:paraId="5536ABE9">
            <w:pPr>
              <w:pStyle w:val="13"/>
              <w:widowControl w:val="0"/>
              <w:numPr>
                <w:ilvl w:val="0"/>
                <w:numId w:val="0"/>
              </w:numPr>
              <w:adjustRightInd w:val="0"/>
              <w:snapToGrid w:val="0"/>
              <w:jc w:val="both"/>
              <w:rPr>
                <w:rFonts w:hint="eastAsia"/>
                <w:color w:val="auto"/>
                <w:sz w:val="24"/>
                <w:highlight w:val="none"/>
              </w:rPr>
            </w:pPr>
          </w:p>
          <w:p w14:paraId="7DF7349D">
            <w:pPr>
              <w:pStyle w:val="13"/>
              <w:widowControl w:val="0"/>
              <w:numPr>
                <w:ilvl w:val="0"/>
                <w:numId w:val="0"/>
              </w:numPr>
              <w:adjustRightInd w:val="0"/>
              <w:snapToGrid w:val="0"/>
              <w:jc w:val="both"/>
              <w:rPr>
                <w:rFonts w:hint="eastAsia"/>
                <w:color w:val="auto"/>
                <w:sz w:val="24"/>
                <w:highlight w:val="none"/>
              </w:rPr>
            </w:pPr>
          </w:p>
          <w:p w14:paraId="41F6A7EE">
            <w:pPr>
              <w:pStyle w:val="13"/>
              <w:widowControl w:val="0"/>
              <w:numPr>
                <w:ilvl w:val="0"/>
                <w:numId w:val="0"/>
              </w:numPr>
              <w:adjustRightInd w:val="0"/>
              <w:snapToGrid w:val="0"/>
              <w:jc w:val="both"/>
              <w:rPr>
                <w:rFonts w:hint="eastAsia"/>
                <w:color w:val="auto"/>
                <w:sz w:val="24"/>
                <w:highlight w:val="none"/>
              </w:rPr>
            </w:pPr>
          </w:p>
          <w:p w14:paraId="10368833">
            <w:pPr>
              <w:pStyle w:val="13"/>
              <w:widowControl w:val="0"/>
              <w:numPr>
                <w:ilvl w:val="0"/>
                <w:numId w:val="0"/>
              </w:numPr>
              <w:adjustRightInd w:val="0"/>
              <w:snapToGrid w:val="0"/>
              <w:jc w:val="both"/>
              <w:rPr>
                <w:rFonts w:hint="eastAsia"/>
                <w:color w:val="auto"/>
                <w:sz w:val="24"/>
                <w:highlight w:val="none"/>
              </w:rPr>
            </w:pPr>
          </w:p>
          <w:p w14:paraId="49F22833">
            <w:pPr>
              <w:pStyle w:val="13"/>
              <w:widowControl w:val="0"/>
              <w:numPr>
                <w:ilvl w:val="0"/>
                <w:numId w:val="0"/>
              </w:numPr>
              <w:adjustRightInd w:val="0"/>
              <w:snapToGrid w:val="0"/>
              <w:jc w:val="both"/>
              <w:rPr>
                <w:rFonts w:hint="eastAsia"/>
                <w:color w:val="auto"/>
                <w:sz w:val="24"/>
                <w:highlight w:val="none"/>
              </w:rPr>
            </w:pPr>
          </w:p>
          <w:p w14:paraId="01B22F0B">
            <w:pPr>
              <w:pStyle w:val="13"/>
              <w:widowControl w:val="0"/>
              <w:numPr>
                <w:ilvl w:val="0"/>
                <w:numId w:val="0"/>
              </w:numPr>
              <w:adjustRightInd w:val="0"/>
              <w:snapToGrid w:val="0"/>
              <w:jc w:val="both"/>
              <w:rPr>
                <w:rFonts w:hint="eastAsia"/>
                <w:color w:val="auto"/>
                <w:sz w:val="24"/>
                <w:highlight w:val="none"/>
              </w:rPr>
            </w:pPr>
          </w:p>
          <w:p w14:paraId="19E63DB3">
            <w:pPr>
              <w:pStyle w:val="13"/>
              <w:widowControl w:val="0"/>
              <w:numPr>
                <w:ilvl w:val="0"/>
                <w:numId w:val="0"/>
              </w:numPr>
              <w:adjustRightInd w:val="0"/>
              <w:snapToGrid w:val="0"/>
              <w:jc w:val="both"/>
              <w:rPr>
                <w:rFonts w:hint="eastAsia"/>
                <w:color w:val="auto"/>
                <w:sz w:val="24"/>
                <w:highlight w:val="none"/>
              </w:rPr>
            </w:pPr>
          </w:p>
          <w:p w14:paraId="0991BE43">
            <w:pPr>
              <w:pStyle w:val="13"/>
              <w:widowControl w:val="0"/>
              <w:numPr>
                <w:ilvl w:val="0"/>
                <w:numId w:val="0"/>
              </w:numPr>
              <w:adjustRightInd w:val="0"/>
              <w:snapToGrid w:val="0"/>
              <w:jc w:val="both"/>
              <w:rPr>
                <w:rFonts w:hint="eastAsia"/>
                <w:color w:val="auto"/>
                <w:sz w:val="24"/>
                <w:highlight w:val="none"/>
              </w:rPr>
            </w:pPr>
          </w:p>
          <w:p w14:paraId="3CD04C24">
            <w:pPr>
              <w:pStyle w:val="13"/>
              <w:widowControl w:val="0"/>
              <w:numPr>
                <w:ilvl w:val="0"/>
                <w:numId w:val="0"/>
              </w:numPr>
              <w:adjustRightInd w:val="0"/>
              <w:snapToGrid w:val="0"/>
              <w:jc w:val="both"/>
              <w:rPr>
                <w:rFonts w:hint="eastAsia"/>
                <w:color w:val="auto"/>
                <w:sz w:val="24"/>
                <w:highlight w:val="none"/>
              </w:rPr>
            </w:pPr>
          </w:p>
          <w:p w14:paraId="7DC3371D">
            <w:pPr>
              <w:pStyle w:val="13"/>
              <w:widowControl w:val="0"/>
              <w:numPr>
                <w:ilvl w:val="0"/>
                <w:numId w:val="0"/>
              </w:numPr>
              <w:adjustRightInd w:val="0"/>
              <w:snapToGrid w:val="0"/>
              <w:jc w:val="both"/>
              <w:rPr>
                <w:rFonts w:hint="eastAsia"/>
                <w:color w:val="auto"/>
                <w:sz w:val="24"/>
                <w:highlight w:val="none"/>
              </w:rPr>
            </w:pPr>
          </w:p>
          <w:p w14:paraId="39E488A2">
            <w:pPr>
              <w:pStyle w:val="13"/>
              <w:widowControl w:val="0"/>
              <w:numPr>
                <w:ilvl w:val="0"/>
                <w:numId w:val="0"/>
              </w:numPr>
              <w:adjustRightInd w:val="0"/>
              <w:snapToGrid w:val="0"/>
              <w:jc w:val="both"/>
              <w:rPr>
                <w:rFonts w:hint="eastAsia"/>
                <w:color w:val="auto"/>
                <w:sz w:val="24"/>
                <w:highlight w:val="none"/>
              </w:rPr>
            </w:pPr>
          </w:p>
          <w:p w14:paraId="7E1FE6F1">
            <w:pPr>
              <w:pStyle w:val="13"/>
              <w:widowControl w:val="0"/>
              <w:numPr>
                <w:ilvl w:val="0"/>
                <w:numId w:val="0"/>
              </w:numPr>
              <w:adjustRightInd w:val="0"/>
              <w:snapToGrid w:val="0"/>
              <w:jc w:val="both"/>
              <w:rPr>
                <w:rFonts w:hint="eastAsia"/>
                <w:color w:val="auto"/>
                <w:sz w:val="24"/>
                <w:highlight w:val="none"/>
              </w:rPr>
            </w:pPr>
          </w:p>
        </w:tc>
      </w:tr>
    </w:tbl>
    <w:p w14:paraId="371015F5">
      <w:pPr>
        <w:spacing w:line="360" w:lineRule="auto"/>
        <w:rPr>
          <w:rFonts w:eastAsia="黑体"/>
          <w:color w:val="auto"/>
          <w:sz w:val="30"/>
          <w:highlight w:val="none"/>
        </w:rPr>
        <w:sectPr>
          <w:footerReference r:id="rId3" w:type="default"/>
          <w:pgSz w:w="11906" w:h="16838"/>
          <w:pgMar w:top="1701" w:right="1531" w:bottom="1701" w:left="1531" w:header="851" w:footer="1077" w:gutter="0"/>
          <w:pgNumType w:start="1"/>
          <w:cols w:space="720" w:num="1"/>
          <w:docGrid w:linePitch="312" w:charSpace="0"/>
        </w:sectPr>
      </w:pP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3159"/>
      </w:tblGrid>
      <w:tr w14:paraId="40886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4" w:hRule="atLeast"/>
          <w:jc w:val="center"/>
        </w:trPr>
        <w:tc>
          <w:tcPr>
            <w:tcW w:w="179" w:type="pct"/>
            <w:noWrap w:val="0"/>
            <w:vAlign w:val="center"/>
          </w:tcPr>
          <w:p w14:paraId="43857843">
            <w:pPr>
              <w:autoSpaceDE w:val="0"/>
              <w:autoSpaceDN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4820" w:type="pct"/>
            <w:noWrap w:val="0"/>
            <w:vAlign w:val="center"/>
          </w:tcPr>
          <w:p w14:paraId="55E1A843">
            <w:pPr>
              <w:autoSpaceDE w:val="0"/>
              <w:autoSpaceDN w:val="0"/>
              <w:spacing w:before="120" w:beforeLines="50"/>
              <w:jc w:val="center"/>
              <w:rPr>
                <w:b/>
                <w:bCs/>
                <w:color w:val="auto"/>
                <w:sz w:val="24"/>
                <w:highlight w:val="none"/>
              </w:rPr>
            </w:pPr>
            <w:r>
              <w:rPr>
                <w:b/>
                <w:bCs/>
                <w:color w:val="auto"/>
                <w:sz w:val="24"/>
                <w:highlight w:val="none"/>
              </w:rPr>
              <w:t>表1-</w:t>
            </w:r>
            <w:r>
              <w:rPr>
                <w:rFonts w:hint="eastAsia"/>
                <w:b/>
                <w:bCs/>
                <w:color w:val="auto"/>
                <w:sz w:val="24"/>
                <w:highlight w:val="none"/>
              </w:rPr>
              <w:t>3</w:t>
            </w:r>
            <w:r>
              <w:rPr>
                <w:b/>
                <w:bCs/>
                <w:color w:val="auto"/>
                <w:sz w:val="24"/>
                <w:highlight w:val="none"/>
              </w:rPr>
              <w:t xml:space="preserve"> 项目与环境管控单元管控要求相符性分析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758"/>
              <w:gridCol w:w="427"/>
              <w:gridCol w:w="494"/>
              <w:gridCol w:w="1245"/>
              <w:gridCol w:w="802"/>
              <w:gridCol w:w="1115"/>
              <w:gridCol w:w="4457"/>
              <w:gridCol w:w="2513"/>
              <w:gridCol w:w="705"/>
            </w:tblGrid>
            <w:tr w14:paraId="6F8FE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164" w:type="pct"/>
                  <w:noWrap w:val="0"/>
                  <w:vAlign w:val="center"/>
                </w:tcPr>
                <w:p w14:paraId="3C29A306">
                  <w:pPr>
                    <w:jc w:val="center"/>
                    <w:rPr>
                      <w:b/>
                      <w:bCs/>
                      <w:color w:val="auto"/>
                      <w:szCs w:val="21"/>
                      <w:highlight w:val="none"/>
                    </w:rPr>
                  </w:pPr>
                  <w:r>
                    <w:rPr>
                      <w:b/>
                      <w:bCs/>
                      <w:color w:val="auto"/>
                      <w:szCs w:val="21"/>
                      <w:highlight w:val="none"/>
                    </w:rPr>
                    <w:t>序号</w:t>
                  </w:r>
                </w:p>
              </w:tc>
              <w:tc>
                <w:tcPr>
                  <w:tcW w:w="293" w:type="pct"/>
                  <w:noWrap w:val="0"/>
                  <w:vAlign w:val="center"/>
                </w:tcPr>
                <w:p w14:paraId="6BE14679">
                  <w:pPr>
                    <w:jc w:val="center"/>
                    <w:rPr>
                      <w:b/>
                      <w:bCs/>
                      <w:color w:val="auto"/>
                      <w:szCs w:val="21"/>
                      <w:highlight w:val="none"/>
                    </w:rPr>
                  </w:pPr>
                  <w:r>
                    <w:rPr>
                      <w:b/>
                      <w:bCs/>
                      <w:color w:val="auto"/>
                      <w:szCs w:val="21"/>
                      <w:highlight w:val="none"/>
                    </w:rPr>
                    <w:t>环境管控单元名称</w:t>
                  </w:r>
                </w:p>
              </w:tc>
              <w:tc>
                <w:tcPr>
                  <w:tcW w:w="164" w:type="pct"/>
                  <w:noWrap w:val="0"/>
                  <w:vAlign w:val="center"/>
                </w:tcPr>
                <w:p w14:paraId="6987F0CA">
                  <w:pPr>
                    <w:jc w:val="center"/>
                    <w:rPr>
                      <w:b/>
                      <w:bCs/>
                      <w:color w:val="auto"/>
                      <w:szCs w:val="21"/>
                      <w:highlight w:val="none"/>
                    </w:rPr>
                  </w:pPr>
                  <w:r>
                    <w:rPr>
                      <w:b/>
                      <w:bCs/>
                      <w:color w:val="auto"/>
                      <w:szCs w:val="21"/>
                      <w:highlight w:val="none"/>
                    </w:rPr>
                    <w:t>市</w:t>
                  </w:r>
                </w:p>
              </w:tc>
              <w:tc>
                <w:tcPr>
                  <w:tcW w:w="191" w:type="pct"/>
                  <w:noWrap w:val="0"/>
                  <w:vAlign w:val="center"/>
                </w:tcPr>
                <w:p w14:paraId="0BC7A8A6">
                  <w:pPr>
                    <w:jc w:val="center"/>
                    <w:rPr>
                      <w:b/>
                      <w:bCs/>
                      <w:color w:val="auto"/>
                      <w:szCs w:val="21"/>
                      <w:highlight w:val="none"/>
                    </w:rPr>
                  </w:pPr>
                  <w:r>
                    <w:rPr>
                      <w:b/>
                      <w:bCs/>
                      <w:color w:val="auto"/>
                      <w:szCs w:val="21"/>
                      <w:highlight w:val="none"/>
                    </w:rPr>
                    <w:t>区县</w:t>
                  </w:r>
                </w:p>
              </w:tc>
              <w:tc>
                <w:tcPr>
                  <w:tcW w:w="481" w:type="pct"/>
                  <w:noWrap w:val="0"/>
                  <w:vAlign w:val="center"/>
                </w:tcPr>
                <w:p w14:paraId="7055A180">
                  <w:pPr>
                    <w:jc w:val="center"/>
                    <w:rPr>
                      <w:b/>
                      <w:bCs/>
                      <w:color w:val="auto"/>
                      <w:szCs w:val="21"/>
                      <w:highlight w:val="none"/>
                    </w:rPr>
                  </w:pPr>
                  <w:r>
                    <w:rPr>
                      <w:b/>
                      <w:bCs/>
                      <w:color w:val="auto"/>
                      <w:szCs w:val="21"/>
                      <w:highlight w:val="none"/>
                    </w:rPr>
                    <w:t>单元要素属性</w:t>
                  </w:r>
                </w:p>
              </w:tc>
              <w:tc>
                <w:tcPr>
                  <w:tcW w:w="310" w:type="pct"/>
                  <w:noWrap w:val="0"/>
                  <w:vAlign w:val="center"/>
                </w:tcPr>
                <w:p w14:paraId="31E9F492">
                  <w:pPr>
                    <w:jc w:val="center"/>
                    <w:rPr>
                      <w:b/>
                      <w:bCs/>
                      <w:color w:val="auto"/>
                      <w:szCs w:val="21"/>
                      <w:highlight w:val="none"/>
                    </w:rPr>
                  </w:pPr>
                  <w:r>
                    <w:rPr>
                      <w:b/>
                      <w:bCs/>
                      <w:color w:val="auto"/>
                      <w:szCs w:val="21"/>
                      <w:highlight w:val="none"/>
                    </w:rPr>
                    <w:t>管控要求分类</w:t>
                  </w:r>
                </w:p>
              </w:tc>
              <w:tc>
                <w:tcPr>
                  <w:tcW w:w="430" w:type="pct"/>
                  <w:noWrap w:val="0"/>
                  <w:vAlign w:val="center"/>
                </w:tcPr>
                <w:p w14:paraId="7F172C1A">
                  <w:pPr>
                    <w:jc w:val="center"/>
                    <w:rPr>
                      <w:b/>
                      <w:bCs/>
                      <w:color w:val="auto"/>
                      <w:szCs w:val="21"/>
                      <w:highlight w:val="none"/>
                    </w:rPr>
                  </w:pPr>
                  <w:r>
                    <w:rPr>
                      <w:rFonts w:hint="eastAsia"/>
                      <w:b/>
                      <w:bCs/>
                      <w:color w:val="auto"/>
                      <w:szCs w:val="21"/>
                      <w:highlight w:val="none"/>
                    </w:rPr>
                    <w:t>面积/长度</w:t>
                  </w:r>
                  <w:r>
                    <w:rPr>
                      <w:rFonts w:hint="eastAsia"/>
                      <w:b/>
                      <w:bCs/>
                      <w:color w:val="auto"/>
                      <w:szCs w:val="21"/>
                      <w:highlight w:val="none"/>
                      <w:lang w:eastAsia="zh-CN"/>
                    </w:rPr>
                    <w:t>（</w:t>
                  </w:r>
                  <w:r>
                    <w:rPr>
                      <w:rFonts w:hint="eastAsia"/>
                      <w:b/>
                      <w:bCs/>
                      <w:color w:val="auto"/>
                      <w:szCs w:val="21"/>
                      <w:highlight w:val="none"/>
                      <w:lang w:val="en-US" w:eastAsia="zh-CN"/>
                    </w:rPr>
                    <w:t>m</w:t>
                  </w:r>
                  <w:r>
                    <w:rPr>
                      <w:rFonts w:hint="eastAsia"/>
                      <w:b/>
                      <w:bCs/>
                      <w:color w:val="auto"/>
                      <w:szCs w:val="21"/>
                      <w:highlight w:val="none"/>
                      <w:vertAlign w:val="superscript"/>
                      <w:lang w:val="en-US" w:eastAsia="zh-CN"/>
                    </w:rPr>
                    <w:t>2</w:t>
                  </w:r>
                  <w:r>
                    <w:rPr>
                      <w:rFonts w:hint="eastAsia"/>
                      <w:b/>
                      <w:bCs/>
                      <w:color w:val="auto"/>
                      <w:szCs w:val="21"/>
                      <w:highlight w:val="none"/>
                      <w:lang w:val="en-US" w:eastAsia="zh-CN"/>
                    </w:rPr>
                    <w:t>/m</w:t>
                  </w:r>
                  <w:r>
                    <w:rPr>
                      <w:rFonts w:hint="eastAsia"/>
                      <w:b/>
                      <w:bCs/>
                      <w:color w:val="auto"/>
                      <w:szCs w:val="21"/>
                      <w:highlight w:val="none"/>
                      <w:lang w:eastAsia="zh-CN"/>
                    </w:rPr>
                    <w:t>）</w:t>
                  </w:r>
                </w:p>
              </w:tc>
              <w:tc>
                <w:tcPr>
                  <w:tcW w:w="1720" w:type="pct"/>
                  <w:noWrap w:val="0"/>
                  <w:vAlign w:val="center"/>
                </w:tcPr>
                <w:p w14:paraId="775096BC">
                  <w:pPr>
                    <w:jc w:val="center"/>
                    <w:rPr>
                      <w:b/>
                      <w:bCs/>
                      <w:color w:val="auto"/>
                      <w:szCs w:val="21"/>
                      <w:highlight w:val="none"/>
                    </w:rPr>
                  </w:pPr>
                  <w:r>
                    <w:rPr>
                      <w:b/>
                      <w:bCs/>
                      <w:color w:val="auto"/>
                      <w:szCs w:val="21"/>
                      <w:highlight w:val="none"/>
                    </w:rPr>
                    <w:t>管控要求</w:t>
                  </w:r>
                </w:p>
              </w:tc>
              <w:tc>
                <w:tcPr>
                  <w:tcW w:w="970" w:type="pct"/>
                  <w:noWrap w:val="0"/>
                  <w:vAlign w:val="center"/>
                </w:tcPr>
                <w:p w14:paraId="2E58A5E0">
                  <w:pPr>
                    <w:jc w:val="center"/>
                    <w:rPr>
                      <w:b/>
                      <w:bCs/>
                      <w:color w:val="auto"/>
                      <w:szCs w:val="21"/>
                      <w:highlight w:val="none"/>
                    </w:rPr>
                  </w:pPr>
                  <w:r>
                    <w:rPr>
                      <w:b/>
                      <w:bCs/>
                      <w:color w:val="auto"/>
                      <w:szCs w:val="21"/>
                      <w:highlight w:val="none"/>
                    </w:rPr>
                    <w:t>本项目情况</w:t>
                  </w:r>
                </w:p>
              </w:tc>
              <w:tc>
                <w:tcPr>
                  <w:tcW w:w="272" w:type="pct"/>
                  <w:noWrap w:val="0"/>
                  <w:vAlign w:val="center"/>
                </w:tcPr>
                <w:p w14:paraId="1CCF66B2">
                  <w:pPr>
                    <w:jc w:val="center"/>
                    <w:rPr>
                      <w:b/>
                      <w:bCs/>
                      <w:color w:val="auto"/>
                      <w:szCs w:val="21"/>
                      <w:highlight w:val="none"/>
                    </w:rPr>
                  </w:pPr>
                  <w:r>
                    <w:rPr>
                      <w:b/>
                      <w:bCs/>
                      <w:color w:val="auto"/>
                      <w:szCs w:val="21"/>
                      <w:highlight w:val="none"/>
                    </w:rPr>
                    <w:t>相符性</w:t>
                  </w:r>
                </w:p>
              </w:tc>
            </w:tr>
            <w:tr w14:paraId="4E54DF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4" w:type="pct"/>
                  <w:vMerge w:val="restart"/>
                  <w:noWrap w:val="0"/>
                  <w:vAlign w:val="center"/>
                </w:tcPr>
                <w:p w14:paraId="7679632E">
                  <w:pPr>
                    <w:jc w:val="center"/>
                    <w:rPr>
                      <w:color w:val="auto"/>
                      <w:szCs w:val="21"/>
                      <w:highlight w:val="none"/>
                    </w:rPr>
                  </w:pPr>
                  <w:r>
                    <w:rPr>
                      <w:color w:val="auto"/>
                      <w:szCs w:val="21"/>
                      <w:highlight w:val="none"/>
                    </w:rPr>
                    <w:t>1</w:t>
                  </w:r>
                </w:p>
              </w:tc>
              <w:tc>
                <w:tcPr>
                  <w:tcW w:w="293" w:type="pct"/>
                  <w:vMerge w:val="restart"/>
                  <w:noWrap w:val="0"/>
                  <w:vAlign w:val="center"/>
                </w:tcPr>
                <w:p w14:paraId="21D88755">
                  <w:pPr>
                    <w:jc w:val="center"/>
                    <w:rPr>
                      <w:color w:val="auto"/>
                      <w:szCs w:val="21"/>
                      <w:highlight w:val="none"/>
                    </w:rPr>
                  </w:pPr>
                  <w:r>
                    <w:rPr>
                      <w:color w:val="auto"/>
                      <w:szCs w:val="21"/>
                      <w:highlight w:val="none"/>
                    </w:rPr>
                    <w:t>陕西省咸阳市泾阳县重点管控单元</w:t>
                  </w:r>
                  <w:r>
                    <w:rPr>
                      <w:rFonts w:hint="eastAsia"/>
                      <w:color w:val="auto"/>
                      <w:szCs w:val="21"/>
                      <w:highlight w:val="none"/>
                      <w:lang w:val="en-US" w:eastAsia="zh-CN"/>
                    </w:rPr>
                    <w:t>11</w:t>
                  </w:r>
                  <w:r>
                    <w:rPr>
                      <w:color w:val="auto"/>
                      <w:szCs w:val="21"/>
                      <w:highlight w:val="none"/>
                    </w:rPr>
                    <w:t>（西咸新区）</w:t>
                  </w:r>
                </w:p>
              </w:tc>
              <w:tc>
                <w:tcPr>
                  <w:tcW w:w="164" w:type="pct"/>
                  <w:vMerge w:val="restart"/>
                  <w:noWrap w:val="0"/>
                  <w:vAlign w:val="center"/>
                </w:tcPr>
                <w:p w14:paraId="600BDF69">
                  <w:pPr>
                    <w:jc w:val="center"/>
                    <w:rPr>
                      <w:color w:val="auto"/>
                      <w:szCs w:val="21"/>
                      <w:highlight w:val="none"/>
                    </w:rPr>
                  </w:pPr>
                  <w:r>
                    <w:rPr>
                      <w:color w:val="auto"/>
                      <w:szCs w:val="21"/>
                      <w:highlight w:val="none"/>
                    </w:rPr>
                    <w:t>咸阳市</w:t>
                  </w:r>
                </w:p>
              </w:tc>
              <w:tc>
                <w:tcPr>
                  <w:tcW w:w="191" w:type="pct"/>
                  <w:vMerge w:val="restart"/>
                  <w:noWrap w:val="0"/>
                  <w:vAlign w:val="center"/>
                </w:tcPr>
                <w:p w14:paraId="10F9240D">
                  <w:pPr>
                    <w:jc w:val="center"/>
                    <w:rPr>
                      <w:color w:val="auto"/>
                      <w:szCs w:val="21"/>
                      <w:highlight w:val="none"/>
                    </w:rPr>
                  </w:pPr>
                  <w:r>
                    <w:rPr>
                      <w:color w:val="auto"/>
                      <w:szCs w:val="21"/>
                      <w:highlight w:val="none"/>
                    </w:rPr>
                    <w:t>泾阳县</w:t>
                  </w:r>
                </w:p>
              </w:tc>
              <w:tc>
                <w:tcPr>
                  <w:tcW w:w="481" w:type="pct"/>
                  <w:vMerge w:val="restart"/>
                  <w:noWrap w:val="0"/>
                  <w:vAlign w:val="center"/>
                </w:tcPr>
                <w:p w14:paraId="4C17DE54">
                  <w:pPr>
                    <w:jc w:val="center"/>
                    <w:rPr>
                      <w:color w:val="auto"/>
                      <w:szCs w:val="21"/>
                      <w:highlight w:val="none"/>
                    </w:rPr>
                  </w:pPr>
                  <w:r>
                    <w:rPr>
                      <w:rFonts w:hint="eastAsia"/>
                      <w:color w:val="auto"/>
                      <w:szCs w:val="21"/>
                      <w:highlight w:val="none"/>
                    </w:rPr>
                    <w:t>大气环境受体敏感重点管控区、水环境城镇生活污染重点管控区、高污染燃料禁燃区</w:t>
                  </w:r>
                </w:p>
              </w:tc>
              <w:tc>
                <w:tcPr>
                  <w:tcW w:w="310" w:type="pct"/>
                  <w:noWrap w:val="0"/>
                  <w:vAlign w:val="center"/>
                </w:tcPr>
                <w:p w14:paraId="055A272A">
                  <w:pPr>
                    <w:jc w:val="center"/>
                    <w:rPr>
                      <w:color w:val="auto"/>
                      <w:szCs w:val="21"/>
                      <w:highlight w:val="none"/>
                    </w:rPr>
                  </w:pPr>
                  <w:r>
                    <w:rPr>
                      <w:color w:val="auto"/>
                      <w:szCs w:val="21"/>
                      <w:highlight w:val="none"/>
                    </w:rPr>
                    <w:t>空间布局约束</w:t>
                  </w:r>
                </w:p>
              </w:tc>
              <w:tc>
                <w:tcPr>
                  <w:tcW w:w="430" w:type="pct"/>
                  <w:vMerge w:val="restart"/>
                  <w:noWrap w:val="0"/>
                  <w:vAlign w:val="center"/>
                </w:tcPr>
                <w:p w14:paraId="1FA9D4ED">
                  <w:pPr>
                    <w:jc w:val="center"/>
                    <w:rPr>
                      <w:rFonts w:hint="default" w:eastAsia="宋体"/>
                      <w:color w:val="auto"/>
                      <w:szCs w:val="21"/>
                      <w:highlight w:val="none"/>
                      <w:lang w:val="en-US" w:eastAsia="zh-CN"/>
                    </w:rPr>
                  </w:pPr>
                  <w:r>
                    <w:rPr>
                      <w:rFonts w:hint="eastAsia"/>
                      <w:color w:val="auto"/>
                      <w:szCs w:val="21"/>
                      <w:highlight w:val="none"/>
                      <w:lang w:val="en-US" w:eastAsia="zh-CN"/>
                    </w:rPr>
                    <w:t>1500</w:t>
                  </w:r>
                </w:p>
              </w:tc>
              <w:tc>
                <w:tcPr>
                  <w:tcW w:w="1720" w:type="pct"/>
                  <w:noWrap w:val="0"/>
                  <w:vAlign w:val="center"/>
                </w:tcPr>
                <w:p w14:paraId="44BA7EF1">
                  <w:pPr>
                    <w:pStyle w:val="8"/>
                    <w:rPr>
                      <w:color w:val="auto"/>
                      <w:highlight w:val="none"/>
                    </w:rPr>
                  </w:pPr>
                  <w:r>
                    <w:rPr>
                      <w:color w:val="auto"/>
                      <w:highlight w:val="none"/>
                    </w:rPr>
                    <w:t>大气环境受体敏感重点管控区：</w:t>
                  </w:r>
                </w:p>
                <w:p w14:paraId="50B9F080">
                  <w:pPr>
                    <w:pStyle w:val="8"/>
                    <w:rPr>
                      <w:color w:val="auto"/>
                      <w:highlight w:val="none"/>
                    </w:rPr>
                  </w:pPr>
                  <w:r>
                    <w:rPr>
                      <w:color w:val="auto"/>
                      <w:highlight w:val="none"/>
                    </w:rPr>
                    <w:t>1.严格控制新增《陕西省“两高”项目管理暂行目录》行业项目（民生等项目除外，后续对“两高”范围国家如有新规定的，从其规定）。</w:t>
                  </w:r>
                </w:p>
                <w:p w14:paraId="1620DDD5">
                  <w:pPr>
                    <w:pStyle w:val="8"/>
                    <w:rPr>
                      <w:color w:val="auto"/>
                      <w:highlight w:val="none"/>
                    </w:rPr>
                  </w:pPr>
                  <w:r>
                    <w:rPr>
                      <w:color w:val="auto"/>
                      <w:highlight w:val="none"/>
                    </w:rPr>
                    <w:t>2.推动重污染企业搬迁入园或依法关闭。</w:t>
                  </w:r>
                </w:p>
              </w:tc>
              <w:tc>
                <w:tcPr>
                  <w:tcW w:w="970" w:type="pct"/>
                  <w:noWrap w:val="0"/>
                  <w:vAlign w:val="center"/>
                </w:tcPr>
                <w:p w14:paraId="17100459">
                  <w:pPr>
                    <w:pStyle w:val="8"/>
                    <w:rPr>
                      <w:color w:val="auto"/>
                      <w:highlight w:val="none"/>
                    </w:rPr>
                  </w:pPr>
                  <w:r>
                    <w:rPr>
                      <w:rFonts w:hint="eastAsia"/>
                      <w:color w:val="auto"/>
                      <w:highlight w:val="none"/>
                    </w:rPr>
                    <w:t>本</w:t>
                  </w:r>
                  <w:r>
                    <w:rPr>
                      <w:color w:val="auto"/>
                      <w:highlight w:val="none"/>
                    </w:rPr>
                    <w:t>项目</w:t>
                  </w:r>
                  <w:r>
                    <w:rPr>
                      <w:rFonts w:hint="eastAsia"/>
                      <w:color w:val="auto"/>
                      <w:highlight w:val="none"/>
                      <w:lang w:val="en-US" w:eastAsia="zh-CN"/>
                    </w:rPr>
                    <w:t>属于</w:t>
                  </w:r>
                  <w:r>
                    <w:rPr>
                      <w:rFonts w:hint="eastAsia"/>
                      <w:color w:val="auto"/>
                      <w:highlight w:val="none"/>
                    </w:rPr>
                    <w:t>电子专用材料制造</w:t>
                  </w:r>
                  <w:r>
                    <w:rPr>
                      <w:rFonts w:hint="eastAsia"/>
                      <w:color w:val="auto"/>
                      <w:szCs w:val="21"/>
                      <w:highlight w:val="none"/>
                    </w:rPr>
                    <w:t>项目</w:t>
                  </w:r>
                  <w:r>
                    <w:rPr>
                      <w:color w:val="auto"/>
                      <w:highlight w:val="none"/>
                    </w:rPr>
                    <w:t>，</w:t>
                  </w:r>
                  <w:r>
                    <w:rPr>
                      <w:rFonts w:hint="eastAsia"/>
                      <w:color w:val="auto"/>
                      <w:highlight w:val="none"/>
                    </w:rPr>
                    <w:t>所用能源为电能，不涉及天然气的使用</w:t>
                  </w:r>
                  <w:r>
                    <w:rPr>
                      <w:rFonts w:hint="eastAsia"/>
                      <w:color w:val="auto"/>
                      <w:highlight w:val="none"/>
                      <w:lang w:eastAsia="zh-CN"/>
                    </w:rPr>
                    <w:t>。</w:t>
                  </w:r>
                  <w:r>
                    <w:rPr>
                      <w:rFonts w:hint="eastAsia"/>
                      <w:color w:val="auto"/>
                      <w:highlight w:val="none"/>
                      <w:lang w:val="en-US" w:eastAsia="zh-CN"/>
                    </w:rPr>
                    <w:t>根据《陕西省“两高”项目重点管理范围（2025年版）》，本项目不属于</w:t>
                  </w:r>
                  <w:r>
                    <w:rPr>
                      <w:color w:val="auto"/>
                      <w:highlight w:val="none"/>
                    </w:rPr>
                    <w:t>“两高”项目。</w:t>
                  </w:r>
                </w:p>
              </w:tc>
              <w:tc>
                <w:tcPr>
                  <w:tcW w:w="272" w:type="pct"/>
                  <w:noWrap w:val="0"/>
                  <w:vAlign w:val="center"/>
                </w:tcPr>
                <w:p w14:paraId="4D747739">
                  <w:pPr>
                    <w:jc w:val="center"/>
                    <w:rPr>
                      <w:rFonts w:hint="eastAsia" w:eastAsia="宋体"/>
                      <w:color w:val="auto"/>
                      <w:szCs w:val="21"/>
                      <w:highlight w:val="none"/>
                      <w:lang w:eastAsia="zh-CN"/>
                    </w:rPr>
                  </w:pPr>
                  <w:r>
                    <w:rPr>
                      <w:rFonts w:hint="eastAsia"/>
                      <w:color w:val="auto"/>
                      <w:szCs w:val="21"/>
                      <w:highlight w:val="none"/>
                      <w:lang w:val="en-US" w:eastAsia="zh-CN"/>
                    </w:rPr>
                    <w:t>符合</w:t>
                  </w:r>
                </w:p>
              </w:tc>
            </w:tr>
            <w:tr w14:paraId="542C7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4" w:type="pct"/>
                  <w:vMerge w:val="continue"/>
                  <w:noWrap w:val="0"/>
                  <w:vAlign w:val="center"/>
                </w:tcPr>
                <w:p w14:paraId="077C9A23">
                  <w:pPr>
                    <w:widowControl/>
                    <w:jc w:val="left"/>
                    <w:rPr>
                      <w:color w:val="auto"/>
                      <w:szCs w:val="21"/>
                      <w:highlight w:val="none"/>
                    </w:rPr>
                  </w:pPr>
                </w:p>
              </w:tc>
              <w:tc>
                <w:tcPr>
                  <w:tcW w:w="293" w:type="pct"/>
                  <w:vMerge w:val="continue"/>
                  <w:noWrap w:val="0"/>
                  <w:vAlign w:val="center"/>
                </w:tcPr>
                <w:p w14:paraId="2BCE48B1">
                  <w:pPr>
                    <w:widowControl/>
                    <w:jc w:val="left"/>
                    <w:rPr>
                      <w:color w:val="auto"/>
                      <w:szCs w:val="21"/>
                      <w:highlight w:val="none"/>
                    </w:rPr>
                  </w:pPr>
                </w:p>
              </w:tc>
              <w:tc>
                <w:tcPr>
                  <w:tcW w:w="164" w:type="pct"/>
                  <w:vMerge w:val="continue"/>
                  <w:noWrap w:val="0"/>
                  <w:vAlign w:val="center"/>
                </w:tcPr>
                <w:p w14:paraId="5E1D16E1">
                  <w:pPr>
                    <w:widowControl/>
                    <w:jc w:val="left"/>
                    <w:rPr>
                      <w:color w:val="auto"/>
                      <w:szCs w:val="21"/>
                      <w:highlight w:val="none"/>
                    </w:rPr>
                  </w:pPr>
                </w:p>
              </w:tc>
              <w:tc>
                <w:tcPr>
                  <w:tcW w:w="191" w:type="pct"/>
                  <w:vMerge w:val="continue"/>
                  <w:noWrap w:val="0"/>
                  <w:vAlign w:val="center"/>
                </w:tcPr>
                <w:p w14:paraId="3B119777">
                  <w:pPr>
                    <w:widowControl/>
                    <w:jc w:val="left"/>
                    <w:rPr>
                      <w:color w:val="auto"/>
                      <w:szCs w:val="21"/>
                      <w:highlight w:val="none"/>
                    </w:rPr>
                  </w:pPr>
                </w:p>
              </w:tc>
              <w:tc>
                <w:tcPr>
                  <w:tcW w:w="481" w:type="pct"/>
                  <w:vMerge w:val="continue"/>
                  <w:noWrap w:val="0"/>
                  <w:vAlign w:val="center"/>
                </w:tcPr>
                <w:p w14:paraId="49EAE6EE">
                  <w:pPr>
                    <w:widowControl/>
                    <w:jc w:val="left"/>
                    <w:rPr>
                      <w:color w:val="auto"/>
                      <w:szCs w:val="21"/>
                      <w:highlight w:val="none"/>
                    </w:rPr>
                  </w:pPr>
                </w:p>
              </w:tc>
              <w:tc>
                <w:tcPr>
                  <w:tcW w:w="310" w:type="pct"/>
                  <w:vMerge w:val="restart"/>
                  <w:noWrap w:val="0"/>
                  <w:vAlign w:val="center"/>
                </w:tcPr>
                <w:p w14:paraId="2F2A82E9">
                  <w:pPr>
                    <w:jc w:val="center"/>
                    <w:rPr>
                      <w:color w:val="auto"/>
                      <w:szCs w:val="21"/>
                      <w:highlight w:val="none"/>
                    </w:rPr>
                  </w:pPr>
                  <w:r>
                    <w:rPr>
                      <w:color w:val="auto"/>
                      <w:szCs w:val="21"/>
                      <w:highlight w:val="none"/>
                    </w:rPr>
                    <w:t>污染物排放管控</w:t>
                  </w:r>
                </w:p>
              </w:tc>
              <w:tc>
                <w:tcPr>
                  <w:tcW w:w="430" w:type="pct"/>
                  <w:vMerge w:val="continue"/>
                  <w:noWrap w:val="0"/>
                  <w:vAlign w:val="center"/>
                </w:tcPr>
                <w:p w14:paraId="79D4CA92">
                  <w:pPr>
                    <w:rPr>
                      <w:color w:val="auto"/>
                      <w:szCs w:val="21"/>
                      <w:highlight w:val="none"/>
                    </w:rPr>
                  </w:pPr>
                </w:p>
              </w:tc>
              <w:tc>
                <w:tcPr>
                  <w:tcW w:w="1720" w:type="pct"/>
                  <w:noWrap w:val="0"/>
                  <w:vAlign w:val="center"/>
                </w:tcPr>
                <w:p w14:paraId="68248547">
                  <w:pPr>
                    <w:pStyle w:val="8"/>
                    <w:rPr>
                      <w:color w:val="auto"/>
                      <w:highlight w:val="none"/>
                    </w:rPr>
                  </w:pPr>
                  <w:r>
                    <w:rPr>
                      <w:color w:val="auto"/>
                      <w:highlight w:val="none"/>
                    </w:rPr>
                    <w:t>大气环境受体敏感重点管控区：</w:t>
                  </w:r>
                </w:p>
                <w:p w14:paraId="4B94B54F">
                  <w:pPr>
                    <w:pStyle w:val="8"/>
                    <w:rPr>
                      <w:color w:val="auto"/>
                      <w:highlight w:val="none"/>
                    </w:rPr>
                  </w:pPr>
                  <w:r>
                    <w:rPr>
                      <w:color w:val="auto"/>
                      <w:highlight w:val="none"/>
                    </w:rPr>
                    <w:t>1.城市建成区产生油烟的餐饮服务单位全部安装油烟净化装置并保持正常运行和定期维护。</w:t>
                  </w:r>
                </w:p>
                <w:p w14:paraId="537F5864">
                  <w:pPr>
                    <w:pStyle w:val="8"/>
                    <w:rPr>
                      <w:color w:val="auto"/>
                      <w:highlight w:val="none"/>
                    </w:rPr>
                  </w:pPr>
                  <w:r>
                    <w:rPr>
                      <w:color w:val="auto"/>
                      <w:highlight w:val="none"/>
                    </w:rPr>
                    <w:t>2.持续因地制宜实施“煤改气</w:t>
                  </w:r>
                  <w:r>
                    <w:rPr>
                      <w:rFonts w:hint="eastAsia"/>
                      <w:color w:val="auto"/>
                      <w:highlight w:val="none"/>
                    </w:rPr>
                    <w:t>”“</w:t>
                  </w:r>
                  <w:r>
                    <w:rPr>
                      <w:color w:val="auto"/>
                      <w:highlight w:val="none"/>
                    </w:rPr>
                    <w:t>油改气”、电能、地热、生物质等清洁能源取暖措施。</w:t>
                  </w:r>
                </w:p>
                <w:p w14:paraId="1678291D">
                  <w:pPr>
                    <w:pStyle w:val="8"/>
                    <w:rPr>
                      <w:color w:val="auto"/>
                      <w:highlight w:val="none"/>
                    </w:rPr>
                  </w:pPr>
                  <w:r>
                    <w:rPr>
                      <w:color w:val="auto"/>
                      <w:highlight w:val="none"/>
                    </w:rPr>
                    <w:t>3.鼓励将老旧车辆和非道路移动机械替换为清洁能源车辆。推进新能源或清洁能源汽车使用。</w:t>
                  </w:r>
                </w:p>
                <w:p w14:paraId="7D182353">
                  <w:pPr>
                    <w:pStyle w:val="8"/>
                    <w:rPr>
                      <w:color w:val="auto"/>
                      <w:highlight w:val="none"/>
                    </w:rPr>
                  </w:pPr>
                  <w:r>
                    <w:rPr>
                      <w:color w:val="auto"/>
                      <w:highlight w:val="none"/>
                    </w:rPr>
                    <w:t>4.位于大气污染防治重点区域的汾渭平原，特别排放限值行业（钢铁、水泥、焦化、石化、化工、有色等行业）现有企业全面执行二氧化硫、氮氧化物、颗粒物、挥发性有机物（VOCs）特别排放限值。</w:t>
                  </w:r>
                </w:p>
              </w:tc>
              <w:tc>
                <w:tcPr>
                  <w:tcW w:w="970" w:type="pct"/>
                  <w:noWrap w:val="0"/>
                  <w:vAlign w:val="center"/>
                </w:tcPr>
                <w:p w14:paraId="54426C69">
                  <w:pPr>
                    <w:pStyle w:val="8"/>
                    <w:rPr>
                      <w:color w:val="auto"/>
                      <w:highlight w:val="none"/>
                    </w:rPr>
                  </w:pPr>
                  <w:r>
                    <w:rPr>
                      <w:color w:val="auto"/>
                      <w:highlight w:val="none"/>
                    </w:rPr>
                    <w:t>1.</w:t>
                  </w:r>
                  <w:r>
                    <w:rPr>
                      <w:rFonts w:hint="eastAsia"/>
                      <w:color w:val="auto"/>
                      <w:highlight w:val="none"/>
                    </w:rPr>
                    <w:t>项目不涉及餐饮服务</w:t>
                  </w:r>
                  <w:r>
                    <w:rPr>
                      <w:color w:val="auto"/>
                      <w:highlight w:val="none"/>
                    </w:rPr>
                    <w:t>。</w:t>
                  </w:r>
                </w:p>
                <w:p w14:paraId="3546BEE0">
                  <w:pPr>
                    <w:pStyle w:val="8"/>
                    <w:rPr>
                      <w:color w:val="auto"/>
                      <w:highlight w:val="none"/>
                    </w:rPr>
                  </w:pPr>
                  <w:r>
                    <w:rPr>
                      <w:color w:val="auto"/>
                      <w:highlight w:val="none"/>
                    </w:rPr>
                    <w:t>2.项目所用能源为电能。</w:t>
                  </w:r>
                </w:p>
                <w:p w14:paraId="3640C4B0">
                  <w:pPr>
                    <w:pStyle w:val="8"/>
                    <w:rPr>
                      <w:color w:val="auto"/>
                      <w:highlight w:val="none"/>
                    </w:rPr>
                  </w:pPr>
                  <w:r>
                    <w:rPr>
                      <w:color w:val="auto"/>
                      <w:highlight w:val="none"/>
                    </w:rPr>
                    <w:t>3.</w:t>
                  </w:r>
                  <w:r>
                    <w:rPr>
                      <w:rFonts w:hint="eastAsia"/>
                      <w:color w:val="auto"/>
                      <w:highlight w:val="none"/>
                    </w:rPr>
                    <w:t>项目为新建项目，不涉及老旧车辆的替换</w:t>
                  </w:r>
                  <w:r>
                    <w:rPr>
                      <w:color w:val="auto"/>
                      <w:highlight w:val="none"/>
                    </w:rPr>
                    <w:t>。</w:t>
                  </w:r>
                </w:p>
                <w:p w14:paraId="3DF66198">
                  <w:pPr>
                    <w:pStyle w:val="8"/>
                    <w:rPr>
                      <w:color w:val="auto"/>
                      <w:highlight w:val="none"/>
                    </w:rPr>
                  </w:pPr>
                  <w:r>
                    <w:rPr>
                      <w:color w:val="auto"/>
                      <w:highlight w:val="none"/>
                    </w:rPr>
                    <w:t>4.项目不属于钢铁、水泥、焦化等需执行特别排放限值的行业。</w:t>
                  </w:r>
                </w:p>
              </w:tc>
              <w:tc>
                <w:tcPr>
                  <w:tcW w:w="272" w:type="pct"/>
                  <w:noWrap w:val="0"/>
                  <w:vAlign w:val="center"/>
                </w:tcPr>
                <w:p w14:paraId="18893C3B">
                  <w:pPr>
                    <w:jc w:val="center"/>
                    <w:rPr>
                      <w:color w:val="auto"/>
                      <w:szCs w:val="21"/>
                      <w:highlight w:val="none"/>
                    </w:rPr>
                  </w:pPr>
                  <w:r>
                    <w:rPr>
                      <w:color w:val="auto"/>
                      <w:szCs w:val="21"/>
                      <w:highlight w:val="none"/>
                    </w:rPr>
                    <w:t>符合</w:t>
                  </w:r>
                </w:p>
              </w:tc>
            </w:tr>
            <w:tr w14:paraId="1CEBA1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4" w:type="pct"/>
                  <w:vMerge w:val="continue"/>
                  <w:noWrap w:val="0"/>
                  <w:vAlign w:val="center"/>
                </w:tcPr>
                <w:p w14:paraId="14D24821">
                  <w:pPr>
                    <w:widowControl/>
                    <w:jc w:val="left"/>
                    <w:rPr>
                      <w:color w:val="auto"/>
                      <w:szCs w:val="21"/>
                      <w:highlight w:val="none"/>
                    </w:rPr>
                  </w:pPr>
                </w:p>
              </w:tc>
              <w:tc>
                <w:tcPr>
                  <w:tcW w:w="293" w:type="pct"/>
                  <w:vMerge w:val="continue"/>
                  <w:noWrap w:val="0"/>
                  <w:vAlign w:val="center"/>
                </w:tcPr>
                <w:p w14:paraId="390ECCF9">
                  <w:pPr>
                    <w:widowControl/>
                    <w:jc w:val="left"/>
                    <w:rPr>
                      <w:color w:val="auto"/>
                      <w:szCs w:val="21"/>
                      <w:highlight w:val="none"/>
                    </w:rPr>
                  </w:pPr>
                </w:p>
              </w:tc>
              <w:tc>
                <w:tcPr>
                  <w:tcW w:w="164" w:type="pct"/>
                  <w:vMerge w:val="continue"/>
                  <w:noWrap w:val="0"/>
                  <w:vAlign w:val="center"/>
                </w:tcPr>
                <w:p w14:paraId="316F81C7">
                  <w:pPr>
                    <w:widowControl/>
                    <w:jc w:val="left"/>
                    <w:rPr>
                      <w:color w:val="auto"/>
                      <w:szCs w:val="21"/>
                      <w:highlight w:val="none"/>
                    </w:rPr>
                  </w:pPr>
                </w:p>
              </w:tc>
              <w:tc>
                <w:tcPr>
                  <w:tcW w:w="191" w:type="pct"/>
                  <w:vMerge w:val="continue"/>
                  <w:noWrap w:val="0"/>
                  <w:vAlign w:val="center"/>
                </w:tcPr>
                <w:p w14:paraId="6F6EDEF3">
                  <w:pPr>
                    <w:widowControl/>
                    <w:jc w:val="left"/>
                    <w:rPr>
                      <w:color w:val="auto"/>
                      <w:szCs w:val="21"/>
                      <w:highlight w:val="none"/>
                    </w:rPr>
                  </w:pPr>
                </w:p>
              </w:tc>
              <w:tc>
                <w:tcPr>
                  <w:tcW w:w="481" w:type="pct"/>
                  <w:vMerge w:val="continue"/>
                  <w:noWrap w:val="0"/>
                  <w:vAlign w:val="center"/>
                </w:tcPr>
                <w:p w14:paraId="27415909">
                  <w:pPr>
                    <w:widowControl/>
                    <w:jc w:val="left"/>
                    <w:rPr>
                      <w:color w:val="auto"/>
                      <w:szCs w:val="21"/>
                      <w:highlight w:val="none"/>
                    </w:rPr>
                  </w:pPr>
                </w:p>
              </w:tc>
              <w:tc>
                <w:tcPr>
                  <w:tcW w:w="310" w:type="pct"/>
                  <w:vMerge w:val="continue"/>
                  <w:noWrap w:val="0"/>
                  <w:vAlign w:val="center"/>
                </w:tcPr>
                <w:p w14:paraId="25CEE1AB">
                  <w:pPr>
                    <w:widowControl/>
                    <w:jc w:val="left"/>
                    <w:rPr>
                      <w:color w:val="auto"/>
                      <w:szCs w:val="21"/>
                      <w:highlight w:val="none"/>
                    </w:rPr>
                  </w:pPr>
                </w:p>
              </w:tc>
              <w:tc>
                <w:tcPr>
                  <w:tcW w:w="430" w:type="pct"/>
                  <w:vMerge w:val="continue"/>
                  <w:noWrap w:val="0"/>
                  <w:vAlign w:val="center"/>
                </w:tcPr>
                <w:p w14:paraId="30BC005C">
                  <w:pPr>
                    <w:rPr>
                      <w:color w:val="auto"/>
                      <w:szCs w:val="21"/>
                      <w:highlight w:val="none"/>
                    </w:rPr>
                  </w:pPr>
                </w:p>
              </w:tc>
              <w:tc>
                <w:tcPr>
                  <w:tcW w:w="1720" w:type="pct"/>
                  <w:noWrap w:val="0"/>
                  <w:vAlign w:val="center"/>
                </w:tcPr>
                <w:p w14:paraId="10743954">
                  <w:pPr>
                    <w:pStyle w:val="8"/>
                    <w:rPr>
                      <w:color w:val="auto"/>
                      <w:highlight w:val="none"/>
                    </w:rPr>
                  </w:pPr>
                  <w:r>
                    <w:rPr>
                      <w:color w:val="auto"/>
                      <w:highlight w:val="none"/>
                    </w:rPr>
                    <w:t>水环境城镇生活污染重点管控区：</w:t>
                  </w:r>
                </w:p>
                <w:p w14:paraId="67C3A2CC">
                  <w:pPr>
                    <w:pStyle w:val="8"/>
                    <w:rPr>
                      <w:color w:val="auto"/>
                      <w:highlight w:val="none"/>
                    </w:rPr>
                  </w:pPr>
                  <w:r>
                    <w:rPr>
                      <w:color w:val="auto"/>
                      <w:highlight w:val="none"/>
                    </w:rPr>
                    <w:t>1.加强城镇污水收集处理设施建设与提标改造。全省黄河流域城镇生活污水处理达到《陕西省黄河流域污水综合排放标准》（DB61/224-2018）排放限值要求。</w:t>
                  </w:r>
                </w:p>
                <w:p w14:paraId="2636446E">
                  <w:pPr>
                    <w:pStyle w:val="8"/>
                    <w:rPr>
                      <w:color w:val="auto"/>
                      <w:highlight w:val="none"/>
                    </w:rPr>
                  </w:pPr>
                  <w:r>
                    <w:rPr>
                      <w:color w:val="auto"/>
                      <w:highlight w:val="none"/>
                    </w:rPr>
                    <w:t>2.城镇新区管网建设及老旧城区管网升级改造中实行雨污分流，鼓励推进初期雨水收集、处理和资源化利用，建设人工湿地水质净化工程，对处理达标后的尾水进一步净化。</w:t>
                  </w:r>
                </w:p>
              </w:tc>
              <w:tc>
                <w:tcPr>
                  <w:tcW w:w="970" w:type="pct"/>
                  <w:noWrap w:val="0"/>
                  <w:vAlign w:val="center"/>
                </w:tcPr>
                <w:p w14:paraId="3F12B889">
                  <w:pPr>
                    <w:pStyle w:val="8"/>
                    <w:rPr>
                      <w:color w:val="auto"/>
                      <w:highlight w:val="none"/>
                    </w:rPr>
                  </w:pPr>
                  <w:r>
                    <w:rPr>
                      <w:rFonts w:hint="eastAsia"/>
                      <w:color w:val="auto"/>
                      <w:sz w:val="21"/>
                      <w:szCs w:val="21"/>
                      <w:highlight w:val="none"/>
                      <w:lang w:val="en-US" w:eastAsia="zh-CN"/>
                    </w:rPr>
                    <w:t>本项目无生产废水，员工生活污水经化粪池（</w:t>
                  </w:r>
                  <w:r>
                    <w:rPr>
                      <w:rFonts w:hint="eastAsia"/>
                      <w:color w:val="auto"/>
                      <w:sz w:val="21"/>
                      <w:szCs w:val="21"/>
                      <w:highlight w:val="none"/>
                    </w:rPr>
                    <w:t>50m</w:t>
                  </w:r>
                  <w:r>
                    <w:rPr>
                      <w:rFonts w:hint="eastAsia"/>
                      <w:color w:val="auto"/>
                      <w:sz w:val="21"/>
                      <w:szCs w:val="21"/>
                      <w:highlight w:val="none"/>
                      <w:vertAlign w:val="superscript"/>
                    </w:rPr>
                    <w:t>3</w:t>
                  </w:r>
                  <w:r>
                    <w:rPr>
                      <w:rFonts w:hint="eastAsia"/>
                      <w:color w:val="auto"/>
                      <w:sz w:val="21"/>
                      <w:szCs w:val="21"/>
                      <w:highlight w:val="none"/>
                    </w:rPr>
                    <w:t>，位于</w:t>
                  </w:r>
                  <w:r>
                    <w:rPr>
                      <w:rFonts w:hint="eastAsia"/>
                      <w:color w:val="auto"/>
                      <w:sz w:val="21"/>
                      <w:szCs w:val="21"/>
                      <w:highlight w:val="none"/>
                      <w:lang w:val="en-US" w:eastAsia="zh-CN"/>
                    </w:rPr>
                    <w:t>车间西</w:t>
                  </w:r>
                  <w:r>
                    <w:rPr>
                      <w:rFonts w:hint="eastAsia"/>
                      <w:color w:val="auto"/>
                      <w:sz w:val="21"/>
                      <w:szCs w:val="21"/>
                      <w:highlight w:val="none"/>
                    </w:rPr>
                    <w:t>北侧</w:t>
                  </w:r>
                  <w:r>
                    <w:rPr>
                      <w:rFonts w:hint="eastAsia"/>
                      <w:color w:val="auto"/>
                      <w:sz w:val="21"/>
                      <w:szCs w:val="21"/>
                      <w:highlight w:val="none"/>
                      <w:lang w:val="en-US" w:eastAsia="zh-CN"/>
                    </w:rPr>
                    <w:t>）处理后通过市政污水管网排入泾河新城第二污水处理厂集中处理</w:t>
                  </w:r>
                  <w:r>
                    <w:rPr>
                      <w:rFonts w:hint="eastAsia"/>
                      <w:color w:val="auto"/>
                      <w:sz w:val="21"/>
                      <w:szCs w:val="21"/>
                      <w:highlight w:val="none"/>
                    </w:rPr>
                    <w:t>。</w:t>
                  </w:r>
                </w:p>
              </w:tc>
              <w:tc>
                <w:tcPr>
                  <w:tcW w:w="272" w:type="pct"/>
                  <w:noWrap w:val="0"/>
                  <w:vAlign w:val="center"/>
                </w:tcPr>
                <w:p w14:paraId="765CA0C0">
                  <w:pPr>
                    <w:jc w:val="center"/>
                    <w:rPr>
                      <w:color w:val="auto"/>
                      <w:szCs w:val="21"/>
                      <w:highlight w:val="none"/>
                    </w:rPr>
                  </w:pPr>
                  <w:r>
                    <w:rPr>
                      <w:color w:val="auto"/>
                      <w:szCs w:val="21"/>
                      <w:highlight w:val="none"/>
                    </w:rPr>
                    <w:t>符合</w:t>
                  </w:r>
                </w:p>
              </w:tc>
            </w:tr>
            <w:tr w14:paraId="58562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64" w:type="pct"/>
                  <w:vMerge w:val="continue"/>
                  <w:noWrap w:val="0"/>
                  <w:vAlign w:val="center"/>
                </w:tcPr>
                <w:p w14:paraId="6AAF7E47">
                  <w:pPr>
                    <w:widowControl/>
                    <w:jc w:val="left"/>
                    <w:rPr>
                      <w:color w:val="auto"/>
                      <w:szCs w:val="21"/>
                      <w:highlight w:val="none"/>
                    </w:rPr>
                  </w:pPr>
                </w:p>
              </w:tc>
              <w:tc>
                <w:tcPr>
                  <w:tcW w:w="293" w:type="pct"/>
                  <w:vMerge w:val="continue"/>
                  <w:noWrap w:val="0"/>
                  <w:vAlign w:val="center"/>
                </w:tcPr>
                <w:p w14:paraId="00B98718">
                  <w:pPr>
                    <w:widowControl/>
                    <w:jc w:val="left"/>
                    <w:rPr>
                      <w:color w:val="auto"/>
                      <w:szCs w:val="21"/>
                      <w:highlight w:val="none"/>
                    </w:rPr>
                  </w:pPr>
                </w:p>
              </w:tc>
              <w:tc>
                <w:tcPr>
                  <w:tcW w:w="164" w:type="pct"/>
                  <w:vMerge w:val="continue"/>
                  <w:noWrap w:val="0"/>
                  <w:vAlign w:val="center"/>
                </w:tcPr>
                <w:p w14:paraId="7FD98545">
                  <w:pPr>
                    <w:widowControl/>
                    <w:jc w:val="left"/>
                    <w:rPr>
                      <w:color w:val="auto"/>
                      <w:szCs w:val="21"/>
                      <w:highlight w:val="none"/>
                    </w:rPr>
                  </w:pPr>
                </w:p>
              </w:tc>
              <w:tc>
                <w:tcPr>
                  <w:tcW w:w="191" w:type="pct"/>
                  <w:vMerge w:val="continue"/>
                  <w:noWrap w:val="0"/>
                  <w:vAlign w:val="center"/>
                </w:tcPr>
                <w:p w14:paraId="7275D16B">
                  <w:pPr>
                    <w:widowControl/>
                    <w:jc w:val="left"/>
                    <w:rPr>
                      <w:color w:val="auto"/>
                      <w:szCs w:val="21"/>
                      <w:highlight w:val="none"/>
                    </w:rPr>
                  </w:pPr>
                </w:p>
              </w:tc>
              <w:tc>
                <w:tcPr>
                  <w:tcW w:w="481" w:type="pct"/>
                  <w:vMerge w:val="continue"/>
                  <w:noWrap w:val="0"/>
                  <w:vAlign w:val="center"/>
                </w:tcPr>
                <w:p w14:paraId="1258ADE5">
                  <w:pPr>
                    <w:widowControl/>
                    <w:jc w:val="left"/>
                    <w:rPr>
                      <w:color w:val="auto"/>
                      <w:szCs w:val="21"/>
                      <w:highlight w:val="none"/>
                    </w:rPr>
                  </w:pPr>
                </w:p>
              </w:tc>
              <w:tc>
                <w:tcPr>
                  <w:tcW w:w="310" w:type="pct"/>
                  <w:noWrap w:val="0"/>
                  <w:vAlign w:val="center"/>
                </w:tcPr>
                <w:p w14:paraId="30EEB63A">
                  <w:pPr>
                    <w:jc w:val="center"/>
                    <w:rPr>
                      <w:color w:val="auto"/>
                      <w:szCs w:val="21"/>
                      <w:highlight w:val="none"/>
                    </w:rPr>
                  </w:pPr>
                  <w:r>
                    <w:rPr>
                      <w:color w:val="auto"/>
                      <w:szCs w:val="21"/>
                      <w:highlight w:val="none"/>
                    </w:rPr>
                    <w:t>资源开发效率要求</w:t>
                  </w:r>
                </w:p>
              </w:tc>
              <w:tc>
                <w:tcPr>
                  <w:tcW w:w="430" w:type="pct"/>
                  <w:vMerge w:val="continue"/>
                  <w:noWrap w:val="0"/>
                  <w:vAlign w:val="center"/>
                </w:tcPr>
                <w:p w14:paraId="4E3A0632">
                  <w:pPr>
                    <w:rPr>
                      <w:color w:val="auto"/>
                      <w:szCs w:val="21"/>
                      <w:highlight w:val="none"/>
                    </w:rPr>
                  </w:pPr>
                </w:p>
              </w:tc>
              <w:tc>
                <w:tcPr>
                  <w:tcW w:w="1720" w:type="pct"/>
                  <w:noWrap w:val="0"/>
                  <w:vAlign w:val="center"/>
                </w:tcPr>
                <w:p w14:paraId="3D399D8E">
                  <w:pPr>
                    <w:pStyle w:val="8"/>
                    <w:rPr>
                      <w:color w:val="auto"/>
                      <w:highlight w:val="none"/>
                    </w:rPr>
                  </w:pPr>
                  <w:r>
                    <w:rPr>
                      <w:color w:val="auto"/>
                      <w:highlight w:val="none"/>
                    </w:rPr>
                    <w:t>高污染燃料禁燃区：</w:t>
                  </w:r>
                </w:p>
                <w:p w14:paraId="4ECB5C4F">
                  <w:pPr>
                    <w:pStyle w:val="8"/>
                    <w:rPr>
                      <w:color w:val="auto"/>
                      <w:highlight w:val="none"/>
                    </w:rPr>
                  </w:pPr>
                  <w:r>
                    <w:rPr>
                      <w:color w:val="auto"/>
                      <w:highlight w:val="none"/>
                    </w:rPr>
                    <w:t>严格禁燃区管控。市区和南六县市全域及北五县市城镇周边划定为高污染燃料禁燃区，禁止销售、使用煤炭及其制品等高污染燃料（35蒸吨及以上燃煤锅炉、火力发电企业、机组及水泥、砖瓦等原料煤使用企业除外）；各县市区全面退出禁燃区内洁净煤加工中心及配送网点，对配送网点及群众存量煤炭有偿回收。北五县市非禁燃区内可采用洁净煤或“生物质成型燃料+专用炉具”兜底。加强对直送、网络等方式销售散煤的监管，严厉打击违法销售行为，同时倒查上游企业责任，从源头杜绝散煤销售。</w:t>
                  </w:r>
                </w:p>
              </w:tc>
              <w:tc>
                <w:tcPr>
                  <w:tcW w:w="970" w:type="pct"/>
                  <w:noWrap w:val="0"/>
                  <w:vAlign w:val="center"/>
                </w:tcPr>
                <w:p w14:paraId="08F574BA">
                  <w:pPr>
                    <w:pStyle w:val="8"/>
                    <w:rPr>
                      <w:color w:val="auto"/>
                      <w:highlight w:val="none"/>
                    </w:rPr>
                  </w:pPr>
                  <w:r>
                    <w:rPr>
                      <w:rFonts w:hint="eastAsia"/>
                      <w:color w:val="auto"/>
                      <w:highlight w:val="none"/>
                    </w:rPr>
                    <w:t>本</w:t>
                  </w:r>
                  <w:r>
                    <w:rPr>
                      <w:color w:val="auto"/>
                      <w:highlight w:val="none"/>
                    </w:rPr>
                    <w:t>项目不</w:t>
                  </w:r>
                  <w:r>
                    <w:rPr>
                      <w:rFonts w:hint="eastAsia"/>
                      <w:color w:val="auto"/>
                      <w:highlight w:val="none"/>
                    </w:rPr>
                    <w:t>涉及</w:t>
                  </w:r>
                  <w:r>
                    <w:rPr>
                      <w:color w:val="auto"/>
                      <w:highlight w:val="none"/>
                    </w:rPr>
                    <w:t>高污染燃料的使用。</w:t>
                  </w:r>
                </w:p>
              </w:tc>
              <w:tc>
                <w:tcPr>
                  <w:tcW w:w="272" w:type="pct"/>
                  <w:noWrap w:val="0"/>
                  <w:vAlign w:val="center"/>
                </w:tcPr>
                <w:p w14:paraId="5D1A25E5">
                  <w:pPr>
                    <w:jc w:val="center"/>
                    <w:rPr>
                      <w:rFonts w:hint="default" w:eastAsia="宋体"/>
                      <w:color w:val="auto"/>
                      <w:szCs w:val="21"/>
                      <w:highlight w:val="none"/>
                      <w:lang w:val="en-US" w:eastAsia="zh-CN"/>
                    </w:rPr>
                  </w:pPr>
                  <w:r>
                    <w:rPr>
                      <w:rFonts w:hint="eastAsia"/>
                      <w:color w:val="auto"/>
                      <w:szCs w:val="21"/>
                      <w:highlight w:val="none"/>
                      <w:lang w:val="en-US" w:eastAsia="zh-CN"/>
                    </w:rPr>
                    <w:t>符合</w:t>
                  </w:r>
                </w:p>
              </w:tc>
            </w:tr>
          </w:tbl>
          <w:p w14:paraId="0DF533AC">
            <w:pPr>
              <w:pStyle w:val="7"/>
              <w:ind w:firstLine="480"/>
              <w:rPr>
                <w:color w:val="auto"/>
                <w:highlight w:val="none"/>
              </w:rPr>
            </w:pPr>
          </w:p>
          <w:p w14:paraId="2B752F43">
            <w:pPr>
              <w:pStyle w:val="13"/>
              <w:widowControl w:val="0"/>
              <w:numPr>
                <w:ilvl w:val="0"/>
                <w:numId w:val="0"/>
              </w:numPr>
              <w:adjustRightInd w:val="0"/>
              <w:snapToGrid w:val="0"/>
              <w:jc w:val="both"/>
              <w:rPr>
                <w:color w:val="auto"/>
                <w:highlight w:val="none"/>
              </w:rPr>
            </w:pPr>
          </w:p>
          <w:p w14:paraId="3C1812B0">
            <w:pPr>
              <w:pStyle w:val="13"/>
              <w:widowControl w:val="0"/>
              <w:numPr>
                <w:ilvl w:val="0"/>
                <w:numId w:val="0"/>
              </w:numPr>
              <w:adjustRightInd w:val="0"/>
              <w:snapToGrid w:val="0"/>
              <w:jc w:val="both"/>
              <w:rPr>
                <w:color w:val="auto"/>
                <w:highlight w:val="none"/>
              </w:rPr>
            </w:pPr>
          </w:p>
          <w:p w14:paraId="15341CB8">
            <w:pPr>
              <w:pStyle w:val="13"/>
              <w:widowControl w:val="0"/>
              <w:numPr>
                <w:ilvl w:val="0"/>
                <w:numId w:val="0"/>
              </w:numPr>
              <w:adjustRightInd w:val="0"/>
              <w:snapToGrid w:val="0"/>
              <w:jc w:val="both"/>
              <w:rPr>
                <w:color w:val="auto"/>
                <w:highlight w:val="none"/>
              </w:rPr>
            </w:pPr>
          </w:p>
          <w:p w14:paraId="23197C57">
            <w:pPr>
              <w:pStyle w:val="13"/>
              <w:widowControl w:val="0"/>
              <w:numPr>
                <w:ilvl w:val="0"/>
                <w:numId w:val="0"/>
              </w:numPr>
              <w:adjustRightInd w:val="0"/>
              <w:snapToGrid w:val="0"/>
              <w:jc w:val="both"/>
              <w:rPr>
                <w:color w:val="auto"/>
                <w:highlight w:val="none"/>
              </w:rPr>
            </w:pPr>
          </w:p>
          <w:p w14:paraId="1BF4CCF0">
            <w:pPr>
              <w:pStyle w:val="13"/>
              <w:widowControl w:val="0"/>
              <w:numPr>
                <w:ilvl w:val="0"/>
                <w:numId w:val="0"/>
              </w:numPr>
              <w:adjustRightInd w:val="0"/>
              <w:snapToGrid w:val="0"/>
              <w:jc w:val="both"/>
              <w:rPr>
                <w:color w:val="auto"/>
                <w:highlight w:val="none"/>
              </w:rPr>
            </w:pPr>
          </w:p>
          <w:p w14:paraId="724D16B5">
            <w:pPr>
              <w:pStyle w:val="13"/>
              <w:widowControl w:val="0"/>
              <w:numPr>
                <w:ilvl w:val="0"/>
                <w:numId w:val="0"/>
              </w:numPr>
              <w:adjustRightInd w:val="0"/>
              <w:snapToGrid w:val="0"/>
              <w:jc w:val="both"/>
              <w:rPr>
                <w:color w:val="auto"/>
                <w:highlight w:val="none"/>
              </w:rPr>
            </w:pPr>
          </w:p>
          <w:p w14:paraId="7CD68736">
            <w:pPr>
              <w:pStyle w:val="13"/>
              <w:widowControl w:val="0"/>
              <w:numPr>
                <w:ilvl w:val="0"/>
                <w:numId w:val="0"/>
              </w:numPr>
              <w:adjustRightInd w:val="0"/>
              <w:snapToGrid w:val="0"/>
              <w:jc w:val="both"/>
              <w:rPr>
                <w:color w:val="auto"/>
                <w:highlight w:val="none"/>
              </w:rPr>
            </w:pPr>
          </w:p>
          <w:p w14:paraId="514CB6E6">
            <w:pPr>
              <w:pStyle w:val="13"/>
              <w:widowControl w:val="0"/>
              <w:numPr>
                <w:ilvl w:val="0"/>
                <w:numId w:val="0"/>
              </w:numPr>
              <w:adjustRightInd w:val="0"/>
              <w:snapToGrid w:val="0"/>
              <w:jc w:val="both"/>
              <w:rPr>
                <w:color w:val="auto"/>
                <w:highlight w:val="none"/>
              </w:rPr>
            </w:pPr>
          </w:p>
          <w:p w14:paraId="7D3D14F2">
            <w:pPr>
              <w:pStyle w:val="13"/>
              <w:widowControl w:val="0"/>
              <w:numPr>
                <w:ilvl w:val="0"/>
                <w:numId w:val="0"/>
              </w:numPr>
              <w:adjustRightInd w:val="0"/>
              <w:snapToGrid w:val="0"/>
              <w:jc w:val="both"/>
              <w:rPr>
                <w:color w:val="auto"/>
                <w:highlight w:val="none"/>
              </w:rPr>
            </w:pPr>
          </w:p>
          <w:p w14:paraId="40727C66">
            <w:pPr>
              <w:pStyle w:val="13"/>
              <w:widowControl w:val="0"/>
              <w:numPr>
                <w:ilvl w:val="0"/>
                <w:numId w:val="0"/>
              </w:numPr>
              <w:adjustRightInd w:val="0"/>
              <w:snapToGrid w:val="0"/>
              <w:jc w:val="both"/>
              <w:rPr>
                <w:color w:val="auto"/>
                <w:highlight w:val="none"/>
              </w:rPr>
            </w:pPr>
          </w:p>
          <w:p w14:paraId="6210C450">
            <w:pPr>
              <w:pStyle w:val="13"/>
              <w:widowControl w:val="0"/>
              <w:numPr>
                <w:ilvl w:val="0"/>
                <w:numId w:val="0"/>
              </w:numPr>
              <w:adjustRightInd w:val="0"/>
              <w:snapToGrid w:val="0"/>
              <w:jc w:val="both"/>
              <w:rPr>
                <w:color w:val="auto"/>
                <w:highlight w:val="none"/>
              </w:rPr>
            </w:pPr>
          </w:p>
          <w:p w14:paraId="4099A743">
            <w:pPr>
              <w:pStyle w:val="13"/>
              <w:widowControl w:val="0"/>
              <w:numPr>
                <w:ilvl w:val="0"/>
                <w:numId w:val="0"/>
              </w:numPr>
              <w:adjustRightInd w:val="0"/>
              <w:snapToGrid w:val="0"/>
              <w:jc w:val="both"/>
              <w:rPr>
                <w:color w:val="auto"/>
                <w:highlight w:val="none"/>
              </w:rPr>
            </w:pPr>
          </w:p>
          <w:p w14:paraId="06B07EED">
            <w:pPr>
              <w:pStyle w:val="13"/>
              <w:widowControl w:val="0"/>
              <w:numPr>
                <w:ilvl w:val="0"/>
                <w:numId w:val="0"/>
              </w:numPr>
              <w:adjustRightInd w:val="0"/>
              <w:snapToGrid w:val="0"/>
              <w:jc w:val="both"/>
              <w:rPr>
                <w:color w:val="auto"/>
                <w:highlight w:val="none"/>
              </w:rPr>
            </w:pPr>
          </w:p>
          <w:p w14:paraId="7B3318DD">
            <w:pPr>
              <w:pStyle w:val="13"/>
              <w:widowControl w:val="0"/>
              <w:numPr>
                <w:ilvl w:val="0"/>
                <w:numId w:val="0"/>
              </w:numPr>
              <w:adjustRightInd w:val="0"/>
              <w:snapToGrid w:val="0"/>
              <w:jc w:val="both"/>
              <w:rPr>
                <w:color w:val="auto"/>
                <w:highlight w:val="none"/>
              </w:rPr>
            </w:pPr>
          </w:p>
          <w:p w14:paraId="7AB1BAE9">
            <w:pPr>
              <w:pStyle w:val="13"/>
              <w:widowControl w:val="0"/>
              <w:numPr>
                <w:ilvl w:val="0"/>
                <w:numId w:val="0"/>
              </w:numPr>
              <w:adjustRightInd w:val="0"/>
              <w:snapToGrid w:val="0"/>
              <w:jc w:val="both"/>
              <w:rPr>
                <w:color w:val="auto"/>
                <w:highlight w:val="none"/>
              </w:rPr>
            </w:pPr>
          </w:p>
          <w:p w14:paraId="125296AB">
            <w:pPr>
              <w:pStyle w:val="13"/>
              <w:widowControl w:val="0"/>
              <w:numPr>
                <w:ilvl w:val="0"/>
                <w:numId w:val="0"/>
              </w:numPr>
              <w:adjustRightInd w:val="0"/>
              <w:snapToGrid w:val="0"/>
              <w:jc w:val="both"/>
              <w:rPr>
                <w:color w:val="auto"/>
                <w:highlight w:val="none"/>
              </w:rPr>
            </w:pPr>
          </w:p>
          <w:p w14:paraId="19C84617">
            <w:pPr>
              <w:pStyle w:val="13"/>
              <w:widowControl w:val="0"/>
              <w:numPr>
                <w:ilvl w:val="0"/>
                <w:numId w:val="0"/>
              </w:numPr>
              <w:adjustRightInd w:val="0"/>
              <w:snapToGrid w:val="0"/>
              <w:jc w:val="both"/>
              <w:rPr>
                <w:color w:val="auto"/>
                <w:highlight w:val="none"/>
              </w:rPr>
            </w:pPr>
          </w:p>
          <w:p w14:paraId="494DF485">
            <w:pPr>
              <w:pStyle w:val="13"/>
              <w:widowControl w:val="0"/>
              <w:numPr>
                <w:ilvl w:val="0"/>
                <w:numId w:val="0"/>
              </w:numPr>
              <w:adjustRightInd w:val="0"/>
              <w:snapToGrid w:val="0"/>
              <w:jc w:val="both"/>
              <w:rPr>
                <w:color w:val="auto"/>
                <w:highlight w:val="none"/>
              </w:rPr>
            </w:pPr>
          </w:p>
        </w:tc>
      </w:tr>
    </w:tbl>
    <w:p w14:paraId="78C7F07D">
      <w:pPr>
        <w:pStyle w:val="7"/>
        <w:ind w:firstLine="480"/>
        <w:rPr>
          <w:color w:val="auto"/>
          <w:highlight w:val="none"/>
        </w:rPr>
        <w:sectPr>
          <w:pgSz w:w="16838" w:h="11906" w:orient="landscape"/>
          <w:pgMar w:top="1531" w:right="1701" w:bottom="1531" w:left="1701" w:header="851" w:footer="1077" w:gutter="0"/>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233"/>
      </w:tblGrid>
      <w:tr w14:paraId="140F2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37" w:type="dxa"/>
            <w:noWrap w:val="0"/>
            <w:vAlign w:val="center"/>
          </w:tcPr>
          <w:p w14:paraId="0F390DC5">
            <w:pPr>
              <w:autoSpaceDE w:val="0"/>
              <w:autoSpaceDN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8233" w:type="dxa"/>
            <w:noWrap w:val="0"/>
            <w:vAlign w:val="center"/>
          </w:tcPr>
          <w:p w14:paraId="11C0CB06">
            <w:pPr>
              <w:pStyle w:val="7"/>
              <w:spacing w:before="120" w:beforeLines="50"/>
              <w:ind w:firstLine="482"/>
              <w:rPr>
                <w:rFonts w:hint="eastAsia"/>
                <w:b/>
                <w:bCs/>
                <w:color w:val="auto"/>
                <w:szCs w:val="24"/>
                <w:highlight w:val="none"/>
              </w:rPr>
            </w:pPr>
            <w:r>
              <w:rPr>
                <w:rFonts w:hint="eastAsia"/>
                <w:b/>
                <w:bCs/>
                <w:color w:val="auto"/>
                <w:szCs w:val="24"/>
                <w:highlight w:val="none"/>
                <w:lang w:val="en-US" w:eastAsia="zh-CN"/>
              </w:rPr>
              <w:t>3</w:t>
            </w:r>
            <w:r>
              <w:rPr>
                <w:rFonts w:hint="eastAsia"/>
                <w:b/>
                <w:bCs/>
                <w:color w:val="auto"/>
                <w:szCs w:val="24"/>
                <w:highlight w:val="none"/>
              </w:rPr>
              <w:t>、项目与其他相关政策相符性分析</w:t>
            </w:r>
          </w:p>
          <w:p w14:paraId="3E1312B8">
            <w:pPr>
              <w:pStyle w:val="7"/>
              <w:spacing w:line="240" w:lineRule="auto"/>
              <w:ind w:firstLine="482"/>
              <w:jc w:val="center"/>
              <w:rPr>
                <w:b/>
                <w:bCs/>
                <w:color w:val="auto"/>
                <w:szCs w:val="24"/>
                <w:highlight w:val="none"/>
              </w:rPr>
            </w:pPr>
            <w:r>
              <w:rPr>
                <w:b/>
                <w:bCs/>
                <w:color w:val="auto"/>
                <w:szCs w:val="24"/>
                <w:highlight w:val="none"/>
              </w:rPr>
              <w:t>表1-</w:t>
            </w:r>
            <w:r>
              <w:rPr>
                <w:rFonts w:hint="eastAsia"/>
                <w:b/>
                <w:bCs/>
                <w:color w:val="auto"/>
                <w:szCs w:val="24"/>
                <w:highlight w:val="none"/>
              </w:rPr>
              <w:t>4</w:t>
            </w:r>
            <w:r>
              <w:rPr>
                <w:b/>
                <w:bCs/>
                <w:color w:val="auto"/>
                <w:szCs w:val="24"/>
                <w:highlight w:val="none"/>
              </w:rPr>
              <w:t xml:space="preserve"> 项目与其他相关政策相符性分析</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6"/>
              <w:gridCol w:w="1284"/>
              <w:gridCol w:w="3007"/>
              <w:gridCol w:w="2638"/>
              <w:gridCol w:w="619"/>
            </w:tblGrid>
            <w:tr w14:paraId="2323D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290" w:type="pct"/>
                  <w:noWrap w:val="0"/>
                  <w:vAlign w:val="center"/>
                </w:tcPr>
                <w:p w14:paraId="608DC219">
                  <w:pPr>
                    <w:pStyle w:val="8"/>
                    <w:jc w:val="center"/>
                    <w:rPr>
                      <w:b/>
                      <w:bCs/>
                      <w:color w:val="auto"/>
                      <w:highlight w:val="none"/>
                    </w:rPr>
                  </w:pPr>
                  <w:r>
                    <w:rPr>
                      <w:b/>
                      <w:bCs/>
                      <w:color w:val="auto"/>
                      <w:highlight w:val="none"/>
                    </w:rPr>
                    <w:t>序号</w:t>
                  </w:r>
                </w:p>
              </w:tc>
              <w:tc>
                <w:tcPr>
                  <w:tcW w:w="801" w:type="pct"/>
                  <w:noWrap w:val="0"/>
                  <w:vAlign w:val="center"/>
                </w:tcPr>
                <w:p w14:paraId="3FFF975C">
                  <w:pPr>
                    <w:pStyle w:val="8"/>
                    <w:jc w:val="center"/>
                    <w:rPr>
                      <w:b/>
                      <w:bCs/>
                      <w:color w:val="auto"/>
                      <w:highlight w:val="none"/>
                    </w:rPr>
                  </w:pPr>
                  <w:r>
                    <w:rPr>
                      <w:b/>
                      <w:bCs/>
                      <w:color w:val="auto"/>
                      <w:highlight w:val="none"/>
                    </w:rPr>
                    <w:t>名称</w:t>
                  </w:r>
                </w:p>
              </w:tc>
              <w:tc>
                <w:tcPr>
                  <w:tcW w:w="1876" w:type="pct"/>
                  <w:noWrap w:val="0"/>
                  <w:vAlign w:val="center"/>
                </w:tcPr>
                <w:p w14:paraId="717D34CB">
                  <w:pPr>
                    <w:pStyle w:val="8"/>
                    <w:jc w:val="center"/>
                    <w:rPr>
                      <w:b/>
                      <w:bCs/>
                      <w:color w:val="auto"/>
                      <w:highlight w:val="none"/>
                    </w:rPr>
                  </w:pPr>
                  <w:r>
                    <w:rPr>
                      <w:b/>
                      <w:bCs/>
                      <w:color w:val="auto"/>
                      <w:highlight w:val="none"/>
                    </w:rPr>
                    <w:t>要求</w:t>
                  </w:r>
                </w:p>
              </w:tc>
              <w:tc>
                <w:tcPr>
                  <w:tcW w:w="1645" w:type="pct"/>
                  <w:noWrap w:val="0"/>
                  <w:vAlign w:val="center"/>
                </w:tcPr>
                <w:p w14:paraId="1DDBFE9C">
                  <w:pPr>
                    <w:pStyle w:val="8"/>
                    <w:jc w:val="center"/>
                    <w:rPr>
                      <w:b/>
                      <w:bCs/>
                      <w:color w:val="auto"/>
                      <w:highlight w:val="none"/>
                    </w:rPr>
                  </w:pPr>
                  <w:r>
                    <w:rPr>
                      <w:b/>
                      <w:bCs/>
                      <w:color w:val="auto"/>
                      <w:highlight w:val="none"/>
                    </w:rPr>
                    <w:t>本项目情况</w:t>
                  </w:r>
                </w:p>
              </w:tc>
              <w:tc>
                <w:tcPr>
                  <w:tcW w:w="386" w:type="pct"/>
                  <w:noWrap w:val="0"/>
                  <w:vAlign w:val="center"/>
                </w:tcPr>
                <w:p w14:paraId="72F56826">
                  <w:pPr>
                    <w:pStyle w:val="8"/>
                    <w:jc w:val="center"/>
                    <w:rPr>
                      <w:b/>
                      <w:bCs/>
                      <w:color w:val="auto"/>
                      <w:highlight w:val="none"/>
                    </w:rPr>
                  </w:pPr>
                  <w:r>
                    <w:rPr>
                      <w:b/>
                      <w:bCs/>
                      <w:color w:val="auto"/>
                      <w:highlight w:val="none"/>
                    </w:rPr>
                    <w:t>符合性</w:t>
                  </w:r>
                </w:p>
              </w:tc>
            </w:tr>
            <w:tr w14:paraId="78477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290" w:type="pct"/>
                  <w:vMerge w:val="restart"/>
                  <w:noWrap w:val="0"/>
                  <w:vAlign w:val="center"/>
                </w:tcPr>
                <w:p w14:paraId="31CA0D79">
                  <w:pPr>
                    <w:pStyle w:val="8"/>
                    <w:jc w:val="center"/>
                    <w:rPr>
                      <w:color w:val="auto"/>
                      <w:highlight w:val="none"/>
                    </w:rPr>
                  </w:pPr>
                  <w:r>
                    <w:rPr>
                      <w:rFonts w:hint="eastAsia"/>
                      <w:color w:val="auto"/>
                      <w:highlight w:val="none"/>
                    </w:rPr>
                    <w:t>1</w:t>
                  </w:r>
                </w:p>
              </w:tc>
              <w:tc>
                <w:tcPr>
                  <w:tcW w:w="801" w:type="pct"/>
                  <w:vMerge w:val="restart"/>
                  <w:noWrap w:val="0"/>
                  <w:vAlign w:val="center"/>
                </w:tcPr>
                <w:p w14:paraId="00CC8B3B">
                  <w:pPr>
                    <w:pStyle w:val="8"/>
                    <w:jc w:val="center"/>
                    <w:rPr>
                      <w:rFonts w:hint="eastAsia"/>
                      <w:color w:val="auto"/>
                      <w:highlight w:val="none"/>
                    </w:rPr>
                  </w:pPr>
                  <w:r>
                    <w:rPr>
                      <w:rFonts w:hint="eastAsia"/>
                      <w:color w:val="auto"/>
                      <w:highlight w:val="none"/>
                    </w:rPr>
                    <w:t>《陕西省“十四五”生态环境保护规划》</w:t>
                  </w:r>
                </w:p>
              </w:tc>
              <w:tc>
                <w:tcPr>
                  <w:tcW w:w="1876" w:type="pct"/>
                  <w:noWrap w:val="0"/>
                  <w:vAlign w:val="center"/>
                </w:tcPr>
                <w:p w14:paraId="7D9797D7">
                  <w:pPr>
                    <w:pStyle w:val="8"/>
                    <w:rPr>
                      <w:rFonts w:hint="eastAsia"/>
                      <w:color w:val="auto"/>
                      <w:highlight w:val="none"/>
                    </w:rPr>
                  </w:pPr>
                  <w:r>
                    <w:rPr>
                      <w:color w:val="auto"/>
                      <w:highlight w:val="none"/>
                    </w:rPr>
                    <w:t>促进产业结构转型升级。严格能耗、环保、质量、安全、技术等综合标准，以钢铁、煤炭、水泥、电解铝、平板玻璃等行业为重点，依法依规淘汰落后产能。以钢铁、煤炭、煤电等行业和领域为重点。</w:t>
                  </w:r>
                </w:p>
              </w:tc>
              <w:tc>
                <w:tcPr>
                  <w:tcW w:w="1645" w:type="pct"/>
                  <w:noWrap w:val="0"/>
                  <w:vAlign w:val="center"/>
                </w:tcPr>
                <w:p w14:paraId="36D9955D">
                  <w:pPr>
                    <w:pStyle w:val="8"/>
                    <w:rPr>
                      <w:rFonts w:hint="eastAsia"/>
                      <w:color w:val="auto"/>
                      <w:highlight w:val="none"/>
                    </w:rPr>
                  </w:pPr>
                  <w:r>
                    <w:rPr>
                      <w:rFonts w:hint="eastAsia"/>
                      <w:color w:val="auto"/>
                      <w:highlight w:val="none"/>
                    </w:rPr>
                    <w:t>项目</w:t>
                  </w:r>
                  <w:r>
                    <w:rPr>
                      <w:rFonts w:hint="eastAsia"/>
                      <w:color w:val="auto"/>
                      <w:highlight w:val="none"/>
                      <w:lang w:val="en-US" w:eastAsia="zh-CN"/>
                    </w:rPr>
                    <w:t>属于</w:t>
                  </w:r>
                  <w:r>
                    <w:rPr>
                      <w:rFonts w:hint="eastAsia"/>
                      <w:color w:val="auto"/>
                      <w:highlight w:val="none"/>
                    </w:rPr>
                    <w:t>电子专用材料制造项目，不属于钢铁、煤炭等重点行业，不涉及淘汰落后产能。</w:t>
                  </w:r>
                </w:p>
              </w:tc>
              <w:tc>
                <w:tcPr>
                  <w:tcW w:w="386" w:type="pct"/>
                  <w:noWrap w:val="0"/>
                  <w:vAlign w:val="center"/>
                </w:tcPr>
                <w:p w14:paraId="1EA2B264">
                  <w:pPr>
                    <w:pStyle w:val="8"/>
                    <w:jc w:val="center"/>
                    <w:rPr>
                      <w:color w:val="auto"/>
                      <w:highlight w:val="none"/>
                    </w:rPr>
                  </w:pPr>
                  <w:r>
                    <w:rPr>
                      <w:rFonts w:hint="eastAsia"/>
                      <w:color w:val="auto"/>
                      <w:highlight w:val="none"/>
                      <w:lang w:val="en-US" w:eastAsia="zh-CN"/>
                    </w:rPr>
                    <w:t>符合</w:t>
                  </w:r>
                </w:p>
              </w:tc>
            </w:tr>
            <w:tr w14:paraId="4996FB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290" w:type="pct"/>
                  <w:vMerge w:val="continue"/>
                  <w:noWrap w:val="0"/>
                  <w:vAlign w:val="center"/>
                </w:tcPr>
                <w:p w14:paraId="2C9538F8">
                  <w:pPr>
                    <w:pStyle w:val="8"/>
                    <w:jc w:val="center"/>
                    <w:rPr>
                      <w:rFonts w:hint="eastAsia"/>
                      <w:color w:val="auto"/>
                      <w:highlight w:val="none"/>
                    </w:rPr>
                  </w:pPr>
                </w:p>
              </w:tc>
              <w:tc>
                <w:tcPr>
                  <w:tcW w:w="801" w:type="pct"/>
                  <w:vMerge w:val="continue"/>
                  <w:noWrap w:val="0"/>
                  <w:vAlign w:val="center"/>
                </w:tcPr>
                <w:p w14:paraId="3BB9FD5F">
                  <w:pPr>
                    <w:pStyle w:val="8"/>
                    <w:jc w:val="center"/>
                    <w:rPr>
                      <w:rFonts w:hint="eastAsia"/>
                      <w:color w:val="auto"/>
                      <w:highlight w:val="none"/>
                    </w:rPr>
                  </w:pPr>
                </w:p>
              </w:tc>
              <w:tc>
                <w:tcPr>
                  <w:tcW w:w="1876" w:type="pct"/>
                  <w:noWrap w:val="0"/>
                  <w:vAlign w:val="center"/>
                </w:tcPr>
                <w:p w14:paraId="6697EC81">
                  <w:pPr>
                    <w:pStyle w:val="8"/>
                    <w:rPr>
                      <w:rFonts w:hint="eastAsia"/>
                      <w:color w:val="auto"/>
                      <w:highlight w:val="none"/>
                    </w:rPr>
                  </w:pPr>
                  <w:r>
                    <w:rPr>
                      <w:color w:val="auto"/>
                      <w:highlight w:val="none"/>
                    </w:rPr>
                    <w:t>提升能源结构清洁低碳水平。加快电源结构调整和布局优化，新增用电需求主要通过新能源电力保障，减少煤电占比。</w:t>
                  </w:r>
                </w:p>
              </w:tc>
              <w:tc>
                <w:tcPr>
                  <w:tcW w:w="1645" w:type="pct"/>
                  <w:noWrap w:val="0"/>
                  <w:vAlign w:val="center"/>
                </w:tcPr>
                <w:p w14:paraId="35FCF8A0">
                  <w:pPr>
                    <w:pStyle w:val="8"/>
                    <w:rPr>
                      <w:rFonts w:hint="eastAsia"/>
                      <w:color w:val="auto"/>
                      <w:highlight w:val="none"/>
                    </w:rPr>
                  </w:pPr>
                  <w:r>
                    <w:rPr>
                      <w:rFonts w:hint="eastAsia"/>
                      <w:color w:val="auto"/>
                      <w:highlight w:val="none"/>
                    </w:rPr>
                    <w:t>项目所用能源为电能，不涉及落后燃料的使用。</w:t>
                  </w:r>
                </w:p>
              </w:tc>
              <w:tc>
                <w:tcPr>
                  <w:tcW w:w="386" w:type="pct"/>
                  <w:noWrap w:val="0"/>
                  <w:vAlign w:val="center"/>
                </w:tcPr>
                <w:p w14:paraId="254D1775">
                  <w:pPr>
                    <w:pStyle w:val="8"/>
                    <w:jc w:val="center"/>
                    <w:rPr>
                      <w:color w:val="auto"/>
                      <w:highlight w:val="none"/>
                    </w:rPr>
                  </w:pPr>
                  <w:r>
                    <w:rPr>
                      <w:rFonts w:hint="eastAsia"/>
                      <w:color w:val="auto"/>
                      <w:highlight w:val="none"/>
                      <w:lang w:val="en-US" w:eastAsia="zh-CN"/>
                    </w:rPr>
                    <w:t>符合</w:t>
                  </w:r>
                </w:p>
              </w:tc>
            </w:tr>
            <w:tr w14:paraId="4D2130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290" w:type="pct"/>
                  <w:vMerge w:val="restart"/>
                  <w:noWrap w:val="0"/>
                  <w:vAlign w:val="center"/>
                </w:tcPr>
                <w:p w14:paraId="51B4C023">
                  <w:pPr>
                    <w:pStyle w:val="8"/>
                    <w:jc w:val="center"/>
                    <w:rPr>
                      <w:color w:val="auto"/>
                      <w:highlight w:val="none"/>
                    </w:rPr>
                  </w:pPr>
                  <w:r>
                    <w:rPr>
                      <w:rFonts w:hint="eastAsia"/>
                      <w:color w:val="auto"/>
                      <w:highlight w:val="none"/>
                    </w:rPr>
                    <w:t>2</w:t>
                  </w:r>
                </w:p>
              </w:tc>
              <w:tc>
                <w:tcPr>
                  <w:tcW w:w="801" w:type="pct"/>
                  <w:vMerge w:val="restart"/>
                  <w:noWrap w:val="0"/>
                  <w:vAlign w:val="center"/>
                </w:tcPr>
                <w:p w14:paraId="403657AD">
                  <w:pPr>
                    <w:pStyle w:val="8"/>
                    <w:jc w:val="center"/>
                    <w:rPr>
                      <w:rFonts w:hint="eastAsia"/>
                      <w:color w:val="auto"/>
                      <w:highlight w:val="none"/>
                    </w:rPr>
                  </w:pPr>
                  <w:r>
                    <w:rPr>
                      <w:rFonts w:hint="eastAsia"/>
                      <w:color w:val="auto"/>
                      <w:highlight w:val="none"/>
                    </w:rPr>
                    <w:t>《西安市“十四五”生态环境保护规划》</w:t>
                  </w:r>
                </w:p>
              </w:tc>
              <w:tc>
                <w:tcPr>
                  <w:tcW w:w="1876" w:type="pct"/>
                  <w:noWrap w:val="0"/>
                  <w:vAlign w:val="center"/>
                </w:tcPr>
                <w:p w14:paraId="6D199647">
                  <w:pPr>
                    <w:pStyle w:val="8"/>
                    <w:rPr>
                      <w:color w:val="auto"/>
                      <w:highlight w:val="none"/>
                    </w:rPr>
                  </w:pPr>
                  <w:r>
                    <w:rPr>
                      <w:rFonts w:hint="eastAsia"/>
                      <w:color w:val="auto"/>
                      <w:highlight w:val="none"/>
                    </w:rPr>
                    <w:t>完善管理体系，深化重污染天气绩效分级管控，提供预警、应对能力，推进重点行业绩效分级管理，鼓励引导企业自主升级，整体提升工业企业污染防治水平。</w:t>
                  </w:r>
                </w:p>
              </w:tc>
              <w:tc>
                <w:tcPr>
                  <w:tcW w:w="1645" w:type="pct"/>
                  <w:noWrap w:val="0"/>
                  <w:vAlign w:val="center"/>
                </w:tcPr>
                <w:p w14:paraId="4DEC4F42">
                  <w:pPr>
                    <w:pStyle w:val="8"/>
                    <w:rPr>
                      <w:color w:val="auto"/>
                      <w:highlight w:val="none"/>
                    </w:rPr>
                  </w:pPr>
                  <w:r>
                    <w:rPr>
                      <w:rFonts w:hint="eastAsia"/>
                      <w:color w:val="auto"/>
                      <w:highlight w:val="none"/>
                    </w:rPr>
                    <w:t>项目不属于《重污染天气重点行业应急减排措施制定技术指南》中所提到的39个重点行业。</w:t>
                  </w:r>
                </w:p>
              </w:tc>
              <w:tc>
                <w:tcPr>
                  <w:tcW w:w="386" w:type="pct"/>
                  <w:noWrap w:val="0"/>
                  <w:vAlign w:val="center"/>
                </w:tcPr>
                <w:p w14:paraId="3D01B4F8">
                  <w:pPr>
                    <w:pStyle w:val="8"/>
                    <w:jc w:val="center"/>
                    <w:rPr>
                      <w:color w:val="auto"/>
                      <w:highlight w:val="none"/>
                    </w:rPr>
                  </w:pPr>
                  <w:r>
                    <w:rPr>
                      <w:rFonts w:hint="eastAsia"/>
                      <w:color w:val="auto"/>
                      <w:highlight w:val="none"/>
                      <w:lang w:val="en-US" w:eastAsia="zh-CN"/>
                    </w:rPr>
                    <w:t>符合</w:t>
                  </w:r>
                </w:p>
              </w:tc>
            </w:tr>
            <w:tr w14:paraId="4137B6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290" w:type="pct"/>
                  <w:vMerge w:val="continue"/>
                  <w:noWrap w:val="0"/>
                  <w:vAlign w:val="center"/>
                </w:tcPr>
                <w:p w14:paraId="6582A80E">
                  <w:pPr>
                    <w:pStyle w:val="8"/>
                    <w:jc w:val="center"/>
                    <w:rPr>
                      <w:rFonts w:hint="eastAsia"/>
                      <w:color w:val="auto"/>
                      <w:highlight w:val="none"/>
                    </w:rPr>
                  </w:pPr>
                </w:p>
              </w:tc>
              <w:tc>
                <w:tcPr>
                  <w:tcW w:w="801" w:type="pct"/>
                  <w:vMerge w:val="continue"/>
                  <w:noWrap w:val="0"/>
                  <w:vAlign w:val="center"/>
                </w:tcPr>
                <w:p w14:paraId="59BCBE6F">
                  <w:pPr>
                    <w:pStyle w:val="8"/>
                    <w:jc w:val="center"/>
                    <w:rPr>
                      <w:rFonts w:hint="eastAsia"/>
                      <w:color w:val="auto"/>
                      <w:highlight w:val="none"/>
                    </w:rPr>
                  </w:pPr>
                </w:p>
              </w:tc>
              <w:tc>
                <w:tcPr>
                  <w:tcW w:w="1876" w:type="pct"/>
                  <w:noWrap w:val="0"/>
                  <w:vAlign w:val="center"/>
                </w:tcPr>
                <w:p w14:paraId="57ECA029">
                  <w:pPr>
                    <w:pStyle w:val="8"/>
                    <w:ind w:left="0" w:leftChars="0"/>
                    <w:rPr>
                      <w:rFonts w:hint="eastAsia"/>
                      <w:color w:val="auto"/>
                      <w:highlight w:val="none"/>
                    </w:rPr>
                  </w:pPr>
                  <w:r>
                    <w:rPr>
                      <w:rFonts w:hint="eastAsia"/>
                      <w:color w:val="auto"/>
                      <w:highlight w:val="none"/>
                    </w:rPr>
                    <w:t>全面落实《挥发性有机物无组织排放控制标准》要求，引导企业加强对含 VOCs 物料的存储、转移和输送等环节的全方位密闭管理，以及对设备与管线组件泄漏、敞开液面逸散以及工艺过程等方面的全过程精细化管控，实现VOCs排放量明显下降。</w:t>
                  </w:r>
                </w:p>
              </w:tc>
              <w:tc>
                <w:tcPr>
                  <w:tcW w:w="1645" w:type="pct"/>
                  <w:noWrap w:val="0"/>
                  <w:vAlign w:val="center"/>
                </w:tcPr>
                <w:p w14:paraId="18DA5D09">
                  <w:pPr>
                    <w:pStyle w:val="8"/>
                    <w:ind w:left="0" w:leftChars="0"/>
                    <w:rPr>
                      <w:rFonts w:hint="eastAsia"/>
                      <w:color w:val="auto"/>
                      <w:highlight w:val="none"/>
                    </w:rPr>
                  </w:pPr>
                  <w:r>
                    <w:rPr>
                      <w:rFonts w:hint="eastAsia"/>
                      <w:color w:val="auto"/>
                      <w:highlight w:val="none"/>
                    </w:rPr>
                    <w:t>项目原辅料中涉VOCs物料主要为聚乙烯醇粉末</w:t>
                  </w:r>
                  <w:r>
                    <w:rPr>
                      <w:rFonts w:hint="eastAsia"/>
                      <w:color w:val="auto"/>
                      <w:highlight w:val="none"/>
                      <w:lang w:eastAsia="zh-CN"/>
                    </w:rPr>
                    <w:t>、乳蜡（液态），</w:t>
                  </w:r>
                  <w:r>
                    <w:rPr>
                      <w:rFonts w:hint="eastAsia"/>
                      <w:color w:val="auto"/>
                      <w:highlight w:val="none"/>
                      <w:lang w:val="en-US" w:eastAsia="zh-CN"/>
                    </w:rPr>
                    <w:t>均</w:t>
                  </w:r>
                  <w:r>
                    <w:rPr>
                      <w:rFonts w:hint="eastAsia"/>
                      <w:color w:val="auto"/>
                      <w:highlight w:val="none"/>
                    </w:rPr>
                    <w:t>密闭包装存放于原料暂存区，日常暂存过程中不涉及VOCs的排放。</w:t>
                  </w:r>
                  <w:r>
                    <w:rPr>
                      <w:rFonts w:hint="eastAsia"/>
                      <w:color w:val="auto"/>
                      <w:highlight w:val="none"/>
                    </w:rPr>
                    <w:t>非取用状态时加盖、封口，保持密闭。</w:t>
                  </w:r>
                </w:p>
              </w:tc>
              <w:tc>
                <w:tcPr>
                  <w:tcW w:w="386" w:type="pct"/>
                  <w:noWrap w:val="0"/>
                  <w:vAlign w:val="center"/>
                </w:tcPr>
                <w:p w14:paraId="5990DAF2">
                  <w:pPr>
                    <w:pStyle w:val="8"/>
                    <w:ind w:left="0" w:leftChars="0"/>
                    <w:jc w:val="center"/>
                    <w:rPr>
                      <w:rFonts w:hint="eastAsia"/>
                      <w:color w:val="auto"/>
                      <w:highlight w:val="none"/>
                    </w:rPr>
                  </w:pPr>
                  <w:r>
                    <w:rPr>
                      <w:rFonts w:hint="eastAsia"/>
                      <w:color w:val="auto"/>
                      <w:highlight w:val="none"/>
                      <w:lang w:val="en-US" w:eastAsia="zh-CN"/>
                    </w:rPr>
                    <w:t>符合</w:t>
                  </w:r>
                </w:p>
              </w:tc>
            </w:tr>
            <w:tr w14:paraId="55EEDE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90" w:type="pct"/>
                  <w:noWrap w:val="0"/>
                  <w:vAlign w:val="center"/>
                </w:tcPr>
                <w:p w14:paraId="6B0423E9">
                  <w:pPr>
                    <w:pStyle w:val="8"/>
                    <w:jc w:val="center"/>
                    <w:rPr>
                      <w:color w:val="auto"/>
                      <w:highlight w:val="none"/>
                    </w:rPr>
                  </w:pPr>
                  <w:r>
                    <w:rPr>
                      <w:rFonts w:hint="eastAsia"/>
                      <w:color w:val="auto"/>
                      <w:highlight w:val="none"/>
                    </w:rPr>
                    <w:t>3</w:t>
                  </w:r>
                </w:p>
              </w:tc>
              <w:tc>
                <w:tcPr>
                  <w:tcW w:w="801" w:type="pct"/>
                  <w:noWrap w:val="0"/>
                  <w:vAlign w:val="center"/>
                </w:tcPr>
                <w:p w14:paraId="7DBFC9ED">
                  <w:pPr>
                    <w:pStyle w:val="8"/>
                    <w:jc w:val="center"/>
                    <w:rPr>
                      <w:rFonts w:hint="eastAsia"/>
                      <w:color w:val="auto"/>
                      <w:highlight w:val="none"/>
                    </w:rPr>
                  </w:pPr>
                  <w:r>
                    <w:rPr>
                      <w:color w:val="auto"/>
                      <w:highlight w:val="none"/>
                    </w:rPr>
                    <w:t>《西咸新区“十四五”生态环境保护规划》</w:t>
                  </w:r>
                </w:p>
              </w:tc>
              <w:tc>
                <w:tcPr>
                  <w:tcW w:w="1876" w:type="pct"/>
                  <w:noWrap w:val="0"/>
                  <w:vAlign w:val="center"/>
                </w:tcPr>
                <w:p w14:paraId="749E1AAF">
                  <w:pPr>
                    <w:pStyle w:val="8"/>
                    <w:rPr>
                      <w:rFonts w:hint="eastAsia"/>
                      <w:color w:val="auto"/>
                      <w:highlight w:val="none"/>
                    </w:rPr>
                  </w:pPr>
                  <w:r>
                    <w:rPr>
                      <w:color w:val="auto"/>
                      <w:highlight w:val="none"/>
                    </w:rPr>
                    <w:t>实施重点领域VOCs综合治理。建立石化、化工、工业涂装、包装印刷等重点行业及工业园区的源头替代、过程控制和末端治理全过程治理体系，实施VOCs排放总量控制。全面落实《挥发性有机物无组织排放控制标准》要求，加强含VOCs物料密闭管理。生产、销售和使用的涂料、油墨、胶黏剂和清洗剂等产品达到VOCs含量限值要求。将全面使用符合国家要求的低VOCs含量原辅材料的企业纳入正面清单和政府绿色采购清单，重点行业企业依法安装VOCs在线监测设施并联网。</w:t>
                  </w:r>
                </w:p>
              </w:tc>
              <w:tc>
                <w:tcPr>
                  <w:tcW w:w="1645" w:type="pct"/>
                  <w:noWrap w:val="0"/>
                  <w:vAlign w:val="center"/>
                </w:tcPr>
                <w:p w14:paraId="718DA43A">
                  <w:pPr>
                    <w:pStyle w:val="8"/>
                    <w:rPr>
                      <w:color w:val="auto"/>
                      <w:highlight w:val="none"/>
                    </w:rPr>
                  </w:pPr>
                  <w:r>
                    <w:rPr>
                      <w:rFonts w:hint="eastAsia"/>
                      <w:color w:val="auto"/>
                      <w:highlight w:val="none"/>
                    </w:rPr>
                    <w:t>项目不属于“规划”中提及的石化、化工、工业涂装、包装印刷等重点行业，本项目原辅料中涉VOCs物料主要为聚乙烯醇粉末、乳蜡（液态），均密闭包装存放于原料暂存区，日常暂存过程中不涉及VOCs的排放。非取用状态时加盖、封口，保持密闭。</w:t>
                  </w:r>
                </w:p>
              </w:tc>
              <w:tc>
                <w:tcPr>
                  <w:tcW w:w="386" w:type="pct"/>
                  <w:noWrap w:val="0"/>
                  <w:vAlign w:val="center"/>
                </w:tcPr>
                <w:p w14:paraId="14A98410">
                  <w:pPr>
                    <w:pStyle w:val="8"/>
                    <w:jc w:val="center"/>
                    <w:rPr>
                      <w:color w:val="auto"/>
                      <w:highlight w:val="none"/>
                    </w:rPr>
                  </w:pPr>
                  <w:r>
                    <w:rPr>
                      <w:rFonts w:hint="eastAsia"/>
                      <w:color w:val="auto"/>
                      <w:highlight w:val="none"/>
                      <w:lang w:val="en-US" w:eastAsia="zh-CN"/>
                    </w:rPr>
                    <w:t>符合</w:t>
                  </w:r>
                </w:p>
              </w:tc>
            </w:tr>
            <w:tr w14:paraId="2CEBCB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9" w:hRule="atLeast"/>
                <w:jc w:val="center"/>
              </w:trPr>
              <w:tc>
                <w:tcPr>
                  <w:tcW w:w="290" w:type="pct"/>
                  <w:noWrap w:val="0"/>
                  <w:vAlign w:val="center"/>
                </w:tcPr>
                <w:p w14:paraId="11246C99">
                  <w:pPr>
                    <w:pStyle w:val="8"/>
                    <w:jc w:val="center"/>
                    <w:rPr>
                      <w:color w:val="auto"/>
                      <w:highlight w:val="none"/>
                    </w:rPr>
                  </w:pPr>
                  <w:r>
                    <w:rPr>
                      <w:rFonts w:hint="eastAsia"/>
                      <w:color w:val="auto"/>
                      <w:highlight w:val="none"/>
                    </w:rPr>
                    <w:t>4</w:t>
                  </w:r>
                </w:p>
              </w:tc>
              <w:tc>
                <w:tcPr>
                  <w:tcW w:w="801" w:type="pct"/>
                  <w:noWrap w:val="0"/>
                  <w:vAlign w:val="center"/>
                </w:tcPr>
                <w:p w14:paraId="091B7519">
                  <w:pPr>
                    <w:pStyle w:val="8"/>
                    <w:jc w:val="center"/>
                    <w:rPr>
                      <w:color w:val="auto"/>
                      <w:highlight w:val="none"/>
                    </w:rPr>
                  </w:pPr>
                  <w:r>
                    <w:rPr>
                      <w:rFonts w:hint="eastAsia"/>
                      <w:color w:val="auto"/>
                      <w:highlight w:val="none"/>
                    </w:rPr>
                    <w:t>西安市人民政府办公厅《关于印发推进实现“十四五”空气质量目标暨大气污染治理专项行动2025年工作方案的通知》（市政办函[2025]12号）</w:t>
                  </w:r>
                </w:p>
              </w:tc>
              <w:tc>
                <w:tcPr>
                  <w:tcW w:w="1876" w:type="pct"/>
                  <w:noWrap w:val="0"/>
                  <w:vAlign w:val="center"/>
                </w:tcPr>
                <w:p w14:paraId="0A7C163C">
                  <w:pPr>
                    <w:pStyle w:val="8"/>
                    <w:rPr>
                      <w:rFonts w:hint="eastAsia"/>
                      <w:color w:val="auto"/>
                      <w:highlight w:val="none"/>
                    </w:rPr>
                  </w:pPr>
                  <w:r>
                    <w:rPr>
                      <w:rFonts w:hint="eastAsia"/>
                      <w:color w:val="auto"/>
                      <w:highlight w:val="none"/>
                    </w:rPr>
                    <w:t>严格控制生产和使用高VOCs含量的涂料、油墨、胶黏剂、清洗剂等建设项目。坚持应替尽替原则，在工业企业、汽修、市政工程等方面集中开展低挥发性原辅材料源头替代工作，强化源头治理，减少挥发性有机物排放。</w:t>
                  </w:r>
                </w:p>
              </w:tc>
              <w:tc>
                <w:tcPr>
                  <w:tcW w:w="1645" w:type="pct"/>
                  <w:noWrap w:val="0"/>
                  <w:vAlign w:val="center"/>
                </w:tcPr>
                <w:p w14:paraId="0AC923B0">
                  <w:pPr>
                    <w:pStyle w:val="8"/>
                    <w:rPr>
                      <w:color w:val="auto"/>
                      <w:highlight w:val="none"/>
                    </w:rPr>
                  </w:pPr>
                  <w:r>
                    <w:rPr>
                      <w:rFonts w:hint="eastAsia"/>
                      <w:color w:val="auto"/>
                      <w:highlight w:val="none"/>
                    </w:rPr>
                    <w:t>项目不属于生产和使用高VOCs含量的涂料、油墨、胶黏剂、清洗剂等建设项目</w:t>
                  </w:r>
                  <w:r>
                    <w:rPr>
                      <w:rFonts w:hint="eastAsia"/>
                      <w:color w:val="auto"/>
                      <w:highlight w:val="none"/>
                      <w:lang w:eastAsia="zh-CN"/>
                    </w:rPr>
                    <w:t>，</w:t>
                  </w:r>
                  <w:r>
                    <w:rPr>
                      <w:rFonts w:hint="eastAsia"/>
                      <w:color w:val="auto"/>
                      <w:highlight w:val="none"/>
                      <w:lang w:val="en-US" w:eastAsia="zh-CN"/>
                    </w:rPr>
                    <w:t>本</w:t>
                  </w:r>
                  <w:r>
                    <w:rPr>
                      <w:rFonts w:hint="eastAsia"/>
                      <w:color w:val="auto"/>
                      <w:highlight w:val="none"/>
                    </w:rPr>
                    <w:t>项目原辅料中涉VOCs物料主要为聚乙烯醇粉末、乳蜡（液态），均密闭包装存放于原料暂存区，日常暂存过程中不涉及VOCs的排放。非取用状态时加盖、封口，保持密闭。</w:t>
                  </w:r>
                </w:p>
              </w:tc>
              <w:tc>
                <w:tcPr>
                  <w:tcW w:w="386" w:type="pct"/>
                  <w:noWrap w:val="0"/>
                  <w:vAlign w:val="center"/>
                </w:tcPr>
                <w:p w14:paraId="02A959E1">
                  <w:pPr>
                    <w:pStyle w:val="8"/>
                    <w:jc w:val="center"/>
                    <w:rPr>
                      <w:rFonts w:hint="eastAsia"/>
                      <w:color w:val="auto"/>
                      <w:highlight w:val="none"/>
                    </w:rPr>
                  </w:pPr>
                  <w:r>
                    <w:rPr>
                      <w:rFonts w:hint="eastAsia"/>
                      <w:color w:val="auto"/>
                      <w:highlight w:val="none"/>
                      <w:lang w:val="en-US" w:eastAsia="zh-CN"/>
                    </w:rPr>
                    <w:t>符合</w:t>
                  </w:r>
                </w:p>
              </w:tc>
            </w:tr>
            <w:tr w14:paraId="44698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9" w:hRule="atLeast"/>
                <w:jc w:val="center"/>
              </w:trPr>
              <w:tc>
                <w:tcPr>
                  <w:tcW w:w="290" w:type="pct"/>
                  <w:noWrap w:val="0"/>
                  <w:vAlign w:val="center"/>
                </w:tcPr>
                <w:p w14:paraId="36C58042">
                  <w:pPr>
                    <w:pStyle w:val="8"/>
                    <w:jc w:val="center"/>
                    <w:rPr>
                      <w:rFonts w:hint="eastAsia" w:eastAsia="宋体"/>
                      <w:color w:val="auto"/>
                      <w:highlight w:val="none"/>
                      <w:lang w:val="en-US" w:eastAsia="zh-CN"/>
                    </w:rPr>
                  </w:pPr>
                  <w:r>
                    <w:rPr>
                      <w:rFonts w:hint="eastAsia"/>
                      <w:color w:val="auto"/>
                      <w:highlight w:val="none"/>
                      <w:lang w:val="en-US" w:eastAsia="zh-CN"/>
                    </w:rPr>
                    <w:t>5</w:t>
                  </w:r>
                </w:p>
              </w:tc>
              <w:tc>
                <w:tcPr>
                  <w:tcW w:w="801" w:type="pct"/>
                  <w:noWrap w:val="0"/>
                  <w:vAlign w:val="center"/>
                </w:tcPr>
                <w:p w14:paraId="50B1CE82">
                  <w:pPr>
                    <w:pStyle w:val="8"/>
                    <w:ind w:left="0" w:leftChars="0"/>
                    <w:jc w:val="center"/>
                    <w:rPr>
                      <w:rFonts w:hint="eastAsia"/>
                      <w:color w:val="auto"/>
                      <w:highlight w:val="none"/>
                    </w:rPr>
                  </w:pPr>
                  <w:r>
                    <w:rPr>
                      <w:rFonts w:hint="eastAsia"/>
                      <w:color w:val="auto"/>
                      <w:highlight w:val="none"/>
                    </w:rPr>
                    <w:t>《挥发性有机物（VOCs）污染防治技术政策》</w:t>
                  </w:r>
                </w:p>
              </w:tc>
              <w:tc>
                <w:tcPr>
                  <w:tcW w:w="1876" w:type="pct"/>
                  <w:noWrap w:val="0"/>
                  <w:vAlign w:val="center"/>
                </w:tcPr>
                <w:p w14:paraId="171C4621">
                  <w:pPr>
                    <w:pStyle w:val="8"/>
                    <w:ind w:left="0" w:leftChars="0"/>
                    <w:rPr>
                      <w:rFonts w:hint="eastAsia"/>
                      <w:color w:val="auto"/>
                      <w:highlight w:val="none"/>
                    </w:rPr>
                  </w:pPr>
                  <w:r>
                    <w:rPr>
                      <w:color w:val="auto"/>
                      <w:highlight w:val="none"/>
                    </w:rPr>
                    <w:t>含VOCs产品的使用过程中，应采取废气收集措施，提高废气收集效率，减少废气的无组织排放与逸散，并对收集后的废气回收或处理后达标排放。</w:t>
                  </w:r>
                </w:p>
              </w:tc>
              <w:tc>
                <w:tcPr>
                  <w:tcW w:w="1645" w:type="pct"/>
                  <w:noWrap w:val="0"/>
                  <w:vAlign w:val="center"/>
                </w:tcPr>
                <w:p w14:paraId="77E43366">
                  <w:pPr>
                    <w:pStyle w:val="8"/>
                    <w:ind w:left="0" w:leftChars="0"/>
                    <w:rPr>
                      <w:rFonts w:hint="eastAsia"/>
                      <w:color w:val="auto"/>
                      <w:highlight w:val="none"/>
                    </w:rPr>
                  </w:pPr>
                  <w:r>
                    <w:rPr>
                      <w:rFonts w:hint="eastAsia"/>
                      <w:color w:val="auto"/>
                      <w:highlight w:val="none"/>
                      <w:lang w:val="en-US" w:eastAsia="zh-CN"/>
                    </w:rPr>
                    <w:t>本</w:t>
                  </w:r>
                  <w:r>
                    <w:rPr>
                      <w:rFonts w:hint="eastAsia"/>
                      <w:color w:val="auto"/>
                      <w:highlight w:val="none"/>
                    </w:rPr>
                    <w:t>项目高温混合、表面处理、反应复合、热处理</w:t>
                  </w:r>
                  <w:r>
                    <w:rPr>
                      <w:rFonts w:hint="eastAsia"/>
                      <w:color w:val="auto"/>
                      <w:highlight w:val="none"/>
                      <w:lang w:val="en-US" w:eastAsia="zh-CN"/>
                    </w:rPr>
                    <w:t>过程产生的有机废气由</w:t>
                  </w:r>
                  <w:r>
                    <w:rPr>
                      <w:rFonts w:hint="eastAsia"/>
                      <w:color w:val="auto"/>
                      <w:highlight w:val="none"/>
                      <w:lang w:val="en-US" w:eastAsia="zh-CN"/>
                    </w:rPr>
                    <w:t>10个</w:t>
                  </w:r>
                  <w:r>
                    <w:rPr>
                      <w:rFonts w:hint="eastAsia"/>
                      <w:color w:val="auto"/>
                      <w:highlight w:val="none"/>
                      <w:lang w:val="en-US" w:eastAsia="zh-CN"/>
                    </w:rPr>
                    <w:t>集气罩收集进入</w:t>
                  </w:r>
                  <w:r>
                    <w:rPr>
                      <w:rFonts w:hint="eastAsia"/>
                      <w:color w:val="auto"/>
                      <w:highlight w:val="none"/>
                      <w:lang w:val="en-US" w:eastAsia="zh-CN"/>
                    </w:rPr>
                    <w:t>二级</w:t>
                  </w:r>
                  <w:r>
                    <w:rPr>
                      <w:rFonts w:hint="eastAsia"/>
                      <w:color w:val="auto"/>
                      <w:highlight w:val="none"/>
                      <w:lang w:val="en-US" w:eastAsia="zh-CN"/>
                    </w:rPr>
                    <w:t>活性炭装置处理后通过1根18.5m高排气筒（DA001）达标排放</w:t>
                  </w:r>
                  <w:r>
                    <w:rPr>
                      <w:rFonts w:hint="eastAsia"/>
                      <w:color w:val="auto"/>
                      <w:highlight w:val="none"/>
                    </w:rPr>
                    <w:t>。</w:t>
                  </w:r>
                </w:p>
              </w:tc>
              <w:tc>
                <w:tcPr>
                  <w:tcW w:w="386" w:type="pct"/>
                  <w:noWrap w:val="0"/>
                  <w:vAlign w:val="center"/>
                </w:tcPr>
                <w:p w14:paraId="0AD70B80">
                  <w:pPr>
                    <w:pStyle w:val="8"/>
                    <w:ind w:left="0" w:leftChars="0"/>
                    <w:jc w:val="center"/>
                    <w:rPr>
                      <w:rFonts w:hint="eastAsia"/>
                      <w:color w:val="auto"/>
                      <w:highlight w:val="none"/>
                    </w:rPr>
                  </w:pPr>
                  <w:r>
                    <w:rPr>
                      <w:rFonts w:hint="eastAsia"/>
                      <w:color w:val="auto"/>
                      <w:highlight w:val="none"/>
                      <w:lang w:val="en-US" w:eastAsia="zh-CN"/>
                    </w:rPr>
                    <w:t>符合</w:t>
                  </w:r>
                </w:p>
              </w:tc>
            </w:tr>
            <w:tr w14:paraId="707E05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restart"/>
                  <w:noWrap w:val="0"/>
                  <w:vAlign w:val="center"/>
                </w:tcPr>
                <w:p w14:paraId="614FD905">
                  <w:pPr>
                    <w:pStyle w:val="8"/>
                    <w:jc w:val="center"/>
                    <w:rPr>
                      <w:color w:val="auto"/>
                      <w:highlight w:val="none"/>
                    </w:rPr>
                  </w:pPr>
                  <w:r>
                    <w:rPr>
                      <w:rFonts w:hint="eastAsia"/>
                      <w:color w:val="auto"/>
                      <w:highlight w:val="none"/>
                    </w:rPr>
                    <w:t>6</w:t>
                  </w:r>
                </w:p>
              </w:tc>
              <w:tc>
                <w:tcPr>
                  <w:tcW w:w="801" w:type="pct"/>
                  <w:vMerge w:val="restart"/>
                  <w:noWrap w:val="0"/>
                  <w:vAlign w:val="center"/>
                </w:tcPr>
                <w:p w14:paraId="00C034EF">
                  <w:pPr>
                    <w:pStyle w:val="8"/>
                    <w:jc w:val="center"/>
                    <w:rPr>
                      <w:color w:val="auto"/>
                      <w:highlight w:val="none"/>
                    </w:rPr>
                  </w:pPr>
                  <w:r>
                    <w:rPr>
                      <w:color w:val="auto"/>
                      <w:highlight w:val="none"/>
                    </w:rPr>
                    <w:t>《陕西省大气污染防治条例》（</w:t>
                  </w:r>
                  <w:r>
                    <w:rPr>
                      <w:rFonts w:hint="eastAsia"/>
                      <w:color w:val="auto"/>
                      <w:highlight w:val="none"/>
                    </w:rPr>
                    <w:t>2023</w:t>
                  </w:r>
                  <w:r>
                    <w:rPr>
                      <w:color w:val="auto"/>
                      <w:highlight w:val="none"/>
                    </w:rPr>
                    <w:t>修订）</w:t>
                  </w:r>
                </w:p>
              </w:tc>
              <w:tc>
                <w:tcPr>
                  <w:tcW w:w="1876" w:type="pct"/>
                  <w:noWrap w:val="0"/>
                  <w:vAlign w:val="center"/>
                </w:tcPr>
                <w:p w14:paraId="1BD87040">
                  <w:pPr>
                    <w:pStyle w:val="8"/>
                    <w:rPr>
                      <w:color w:val="auto"/>
                      <w:highlight w:val="none"/>
                    </w:rPr>
                  </w:pPr>
                  <w:r>
                    <w:rPr>
                      <w:color w:val="auto"/>
                      <w:highlight w:val="none"/>
                    </w:rPr>
                    <w:t>新建、扩建、改建的建设项目，应当依法进行环境影响评价。</w:t>
                  </w:r>
                </w:p>
              </w:tc>
              <w:tc>
                <w:tcPr>
                  <w:tcW w:w="1645" w:type="pct"/>
                  <w:noWrap w:val="0"/>
                  <w:vAlign w:val="center"/>
                </w:tcPr>
                <w:p w14:paraId="49F808BC">
                  <w:pPr>
                    <w:pStyle w:val="8"/>
                    <w:rPr>
                      <w:rFonts w:hint="eastAsia"/>
                      <w:color w:val="auto"/>
                      <w:highlight w:val="none"/>
                    </w:rPr>
                  </w:pPr>
                  <w:r>
                    <w:rPr>
                      <w:color w:val="auto"/>
                      <w:highlight w:val="none"/>
                    </w:rPr>
                    <w:t>项目为</w:t>
                  </w:r>
                  <w:r>
                    <w:rPr>
                      <w:rFonts w:hint="eastAsia"/>
                      <w:color w:val="auto"/>
                      <w:highlight w:val="none"/>
                    </w:rPr>
                    <w:t>新建</w:t>
                  </w:r>
                  <w:r>
                    <w:rPr>
                      <w:color w:val="auto"/>
                      <w:highlight w:val="none"/>
                    </w:rPr>
                    <w:t>项目，</w:t>
                  </w:r>
                  <w:r>
                    <w:rPr>
                      <w:rFonts w:hint="eastAsia"/>
                      <w:color w:val="auto"/>
                      <w:highlight w:val="none"/>
                    </w:rPr>
                    <w:t>正在依法进行环境影响评价工作。</w:t>
                  </w:r>
                </w:p>
              </w:tc>
              <w:tc>
                <w:tcPr>
                  <w:tcW w:w="386" w:type="pct"/>
                  <w:noWrap w:val="0"/>
                  <w:vAlign w:val="center"/>
                </w:tcPr>
                <w:p w14:paraId="66B9107E">
                  <w:pPr>
                    <w:pStyle w:val="8"/>
                    <w:jc w:val="center"/>
                    <w:rPr>
                      <w:color w:val="auto"/>
                      <w:highlight w:val="none"/>
                    </w:rPr>
                  </w:pPr>
                  <w:r>
                    <w:rPr>
                      <w:rFonts w:hint="eastAsia"/>
                      <w:color w:val="auto"/>
                      <w:highlight w:val="none"/>
                      <w:lang w:val="en-US" w:eastAsia="zh-CN"/>
                    </w:rPr>
                    <w:t>符合</w:t>
                  </w:r>
                </w:p>
              </w:tc>
            </w:tr>
            <w:tr w14:paraId="11865D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54066E93">
                  <w:pPr>
                    <w:pStyle w:val="8"/>
                    <w:jc w:val="center"/>
                    <w:rPr>
                      <w:color w:val="auto"/>
                      <w:highlight w:val="none"/>
                    </w:rPr>
                  </w:pPr>
                </w:p>
              </w:tc>
              <w:tc>
                <w:tcPr>
                  <w:tcW w:w="801" w:type="pct"/>
                  <w:vMerge w:val="continue"/>
                  <w:noWrap w:val="0"/>
                  <w:vAlign w:val="center"/>
                </w:tcPr>
                <w:p w14:paraId="4CCF5F9E">
                  <w:pPr>
                    <w:pStyle w:val="8"/>
                    <w:jc w:val="center"/>
                    <w:rPr>
                      <w:color w:val="auto"/>
                      <w:highlight w:val="none"/>
                    </w:rPr>
                  </w:pPr>
                </w:p>
              </w:tc>
              <w:tc>
                <w:tcPr>
                  <w:tcW w:w="1876" w:type="pct"/>
                  <w:noWrap w:val="0"/>
                  <w:vAlign w:val="center"/>
                </w:tcPr>
                <w:p w14:paraId="73F6B71F">
                  <w:pPr>
                    <w:pStyle w:val="8"/>
                    <w:rPr>
                      <w:color w:val="auto"/>
                      <w:highlight w:val="none"/>
                    </w:rPr>
                  </w:pPr>
                  <w:r>
                    <w:rPr>
                      <w:color w:val="auto"/>
                      <w:highlight w:val="none"/>
                    </w:rPr>
                    <w:t>堆存、装卸、运输煤炭、水泥、石灰、石膏、砂土、垃圾等易产生扬尘的作业，应当采取遮盖、封闭、喷淋、围挡等措施，防止抛洒、扬尘。</w:t>
                  </w:r>
                </w:p>
              </w:tc>
              <w:tc>
                <w:tcPr>
                  <w:tcW w:w="1645" w:type="pct"/>
                  <w:noWrap w:val="0"/>
                  <w:vAlign w:val="center"/>
                </w:tcPr>
                <w:p w14:paraId="7DF60AB2">
                  <w:pPr>
                    <w:pStyle w:val="8"/>
                    <w:rPr>
                      <w:rFonts w:hint="eastAsia"/>
                      <w:color w:val="auto"/>
                      <w:highlight w:val="none"/>
                    </w:rPr>
                  </w:pPr>
                  <w:r>
                    <w:rPr>
                      <w:color w:val="auto"/>
                      <w:highlight w:val="none"/>
                    </w:rPr>
                    <w:t>项目</w:t>
                  </w:r>
                  <w:r>
                    <w:rPr>
                      <w:rFonts w:hint="eastAsia"/>
                      <w:color w:val="auto"/>
                      <w:highlight w:val="none"/>
                    </w:rPr>
                    <w:t>租赁已建成工业厂房，不涉及建筑施工。</w:t>
                  </w:r>
                </w:p>
              </w:tc>
              <w:tc>
                <w:tcPr>
                  <w:tcW w:w="386" w:type="pct"/>
                  <w:noWrap w:val="0"/>
                  <w:vAlign w:val="center"/>
                </w:tcPr>
                <w:p w14:paraId="75508D6C">
                  <w:pPr>
                    <w:pStyle w:val="8"/>
                    <w:jc w:val="center"/>
                    <w:rPr>
                      <w:color w:val="auto"/>
                      <w:highlight w:val="none"/>
                    </w:rPr>
                  </w:pPr>
                  <w:r>
                    <w:rPr>
                      <w:rFonts w:hint="eastAsia"/>
                      <w:color w:val="auto"/>
                      <w:highlight w:val="none"/>
                      <w:lang w:val="en-US" w:eastAsia="zh-CN"/>
                    </w:rPr>
                    <w:t>符合</w:t>
                  </w:r>
                </w:p>
              </w:tc>
            </w:tr>
            <w:tr w14:paraId="3A61A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restart"/>
                  <w:noWrap w:val="0"/>
                  <w:vAlign w:val="center"/>
                </w:tcPr>
                <w:p w14:paraId="7F14B786">
                  <w:pPr>
                    <w:pStyle w:val="8"/>
                    <w:jc w:val="center"/>
                    <w:rPr>
                      <w:rFonts w:hint="eastAsia" w:eastAsia="宋体"/>
                      <w:color w:val="auto"/>
                      <w:highlight w:val="none"/>
                      <w:lang w:eastAsia="zh-CN"/>
                    </w:rPr>
                  </w:pPr>
                  <w:r>
                    <w:rPr>
                      <w:rFonts w:hint="eastAsia"/>
                      <w:color w:val="auto"/>
                      <w:highlight w:val="none"/>
                      <w:lang w:val="en-US" w:eastAsia="zh-CN"/>
                    </w:rPr>
                    <w:t>7</w:t>
                  </w:r>
                </w:p>
              </w:tc>
              <w:tc>
                <w:tcPr>
                  <w:tcW w:w="801" w:type="pct"/>
                  <w:vMerge w:val="restart"/>
                  <w:noWrap w:val="0"/>
                  <w:vAlign w:val="center"/>
                </w:tcPr>
                <w:p w14:paraId="7E37D341">
                  <w:pPr>
                    <w:pStyle w:val="8"/>
                    <w:jc w:val="center"/>
                    <w:rPr>
                      <w:color w:val="auto"/>
                      <w:highlight w:val="none"/>
                    </w:rPr>
                  </w:pPr>
                  <w:r>
                    <w:rPr>
                      <w:color w:val="auto"/>
                      <w:highlight w:val="none"/>
                    </w:rPr>
                    <w:t>《西咸新区大气污染治理专项行动方案（2023-2027年）》</w:t>
                  </w:r>
                </w:p>
              </w:tc>
              <w:tc>
                <w:tcPr>
                  <w:tcW w:w="1876" w:type="pct"/>
                  <w:noWrap w:val="0"/>
                  <w:vAlign w:val="center"/>
                </w:tcPr>
                <w:p w14:paraId="77B0C926">
                  <w:pPr>
                    <w:pStyle w:val="8"/>
                    <w:rPr>
                      <w:color w:val="auto"/>
                      <w:highlight w:val="none"/>
                    </w:rPr>
                  </w:pPr>
                  <w:r>
                    <w:rPr>
                      <w:color w:val="auto"/>
                      <w:highlight w:val="none"/>
                    </w:rPr>
                    <w:t>严格新、改、扩建涉气重点行业绩效评级限制条件。新区范围内新、改、扩建涉气重点行业企业应达到环保绩效A级、绩效引领性水平。</w:t>
                  </w:r>
                </w:p>
              </w:tc>
              <w:tc>
                <w:tcPr>
                  <w:tcW w:w="1645" w:type="pct"/>
                  <w:noWrap w:val="0"/>
                  <w:vAlign w:val="center"/>
                </w:tcPr>
                <w:p w14:paraId="5CB64AE1">
                  <w:pPr>
                    <w:pStyle w:val="8"/>
                    <w:rPr>
                      <w:rFonts w:hint="eastAsia"/>
                      <w:color w:val="auto"/>
                      <w:highlight w:val="none"/>
                    </w:rPr>
                  </w:pPr>
                  <w:r>
                    <w:rPr>
                      <w:rFonts w:hint="eastAsia"/>
                      <w:color w:val="auto"/>
                      <w:highlight w:val="none"/>
                    </w:rPr>
                    <w:t>项目不属于《重污染天气重点行业应急减排措施制定技术指南》中所提到的39个重点行业。</w:t>
                  </w:r>
                </w:p>
              </w:tc>
              <w:tc>
                <w:tcPr>
                  <w:tcW w:w="386" w:type="pct"/>
                  <w:noWrap w:val="0"/>
                  <w:vAlign w:val="center"/>
                </w:tcPr>
                <w:p w14:paraId="29886443">
                  <w:pPr>
                    <w:pStyle w:val="8"/>
                    <w:jc w:val="center"/>
                    <w:rPr>
                      <w:color w:val="auto"/>
                      <w:highlight w:val="none"/>
                    </w:rPr>
                  </w:pPr>
                  <w:r>
                    <w:rPr>
                      <w:rFonts w:hint="eastAsia"/>
                      <w:color w:val="auto"/>
                      <w:highlight w:val="none"/>
                      <w:lang w:val="en-US" w:eastAsia="zh-CN"/>
                    </w:rPr>
                    <w:t>符合</w:t>
                  </w:r>
                </w:p>
              </w:tc>
            </w:tr>
            <w:tr w14:paraId="7CE591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5D1CD25A">
                  <w:pPr>
                    <w:pStyle w:val="8"/>
                    <w:jc w:val="center"/>
                    <w:rPr>
                      <w:rFonts w:hint="eastAsia"/>
                      <w:color w:val="auto"/>
                      <w:highlight w:val="none"/>
                    </w:rPr>
                  </w:pPr>
                </w:p>
              </w:tc>
              <w:tc>
                <w:tcPr>
                  <w:tcW w:w="801" w:type="pct"/>
                  <w:vMerge w:val="continue"/>
                  <w:noWrap w:val="0"/>
                  <w:vAlign w:val="center"/>
                </w:tcPr>
                <w:p w14:paraId="1797DA0B">
                  <w:pPr>
                    <w:pStyle w:val="8"/>
                    <w:jc w:val="center"/>
                    <w:rPr>
                      <w:color w:val="auto"/>
                      <w:highlight w:val="none"/>
                    </w:rPr>
                  </w:pPr>
                </w:p>
              </w:tc>
              <w:tc>
                <w:tcPr>
                  <w:tcW w:w="1876" w:type="pct"/>
                  <w:shd w:val="clear" w:color="auto" w:fill="auto"/>
                  <w:noWrap w:val="0"/>
                  <w:vAlign w:val="center"/>
                </w:tcPr>
                <w:p w14:paraId="149F089E">
                  <w:pPr>
                    <w:pStyle w:val="8"/>
                    <w:ind w:left="0" w:leftChars="0"/>
                    <w:rPr>
                      <w:rFonts w:ascii="Times New Roman" w:hAnsi="Times New Roman" w:eastAsia="宋体" w:cs="Times New Roman"/>
                      <w:color w:val="auto"/>
                      <w:kern w:val="0"/>
                      <w:sz w:val="21"/>
                      <w:szCs w:val="20"/>
                      <w:highlight w:val="none"/>
                      <w:lang w:val="en-US" w:eastAsia="zh-CN" w:bidi="ar-SA"/>
                    </w:rPr>
                  </w:pPr>
                  <w:r>
                    <w:rPr>
                      <w:rFonts w:hint="eastAsia"/>
                      <w:color w:val="auto"/>
                      <w:highlight w:val="none"/>
                    </w:rPr>
                    <w:t>强化VOCs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VOCs废气不再采用喷淋吸收方式处理。</w:t>
                  </w:r>
                </w:p>
              </w:tc>
              <w:tc>
                <w:tcPr>
                  <w:tcW w:w="1645" w:type="pct"/>
                  <w:shd w:val="clear" w:color="auto" w:fill="auto"/>
                  <w:noWrap w:val="0"/>
                  <w:vAlign w:val="center"/>
                </w:tcPr>
                <w:p w14:paraId="5B9F191E">
                  <w:pPr>
                    <w:pStyle w:val="8"/>
                    <w:ind w:left="0" w:left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本项目高温混合、表面处理、反应复合、热处理过程产生的有机废气由</w:t>
                  </w:r>
                  <w:r>
                    <w:rPr>
                      <w:rFonts w:hint="eastAsia" w:cs="Times New Roman"/>
                      <w:color w:val="auto"/>
                      <w:kern w:val="0"/>
                      <w:sz w:val="21"/>
                      <w:szCs w:val="20"/>
                      <w:highlight w:val="none"/>
                      <w:lang w:val="en-US" w:eastAsia="zh-CN" w:bidi="ar-SA"/>
                    </w:rPr>
                    <w:t>10个</w:t>
                  </w:r>
                  <w:r>
                    <w:rPr>
                      <w:rFonts w:hint="eastAsia" w:ascii="Times New Roman" w:hAnsi="Times New Roman" w:eastAsia="宋体" w:cs="Times New Roman"/>
                      <w:color w:val="auto"/>
                      <w:kern w:val="0"/>
                      <w:sz w:val="21"/>
                      <w:szCs w:val="20"/>
                      <w:highlight w:val="none"/>
                      <w:lang w:val="en-US" w:eastAsia="zh-CN" w:bidi="ar-SA"/>
                    </w:rPr>
                    <w:t>集气罩收集进入二级活性炭装置处理后通过1根18.5m高排气筒（DA001）达标排放</w:t>
                  </w:r>
                  <w:r>
                    <w:rPr>
                      <w:rFonts w:hint="eastAsia" w:cs="Times New Roman"/>
                      <w:color w:val="auto"/>
                      <w:kern w:val="0"/>
                      <w:sz w:val="21"/>
                      <w:szCs w:val="20"/>
                      <w:highlight w:val="none"/>
                      <w:lang w:val="en-US" w:eastAsia="zh-CN" w:bidi="ar-SA"/>
                    </w:rPr>
                    <w:t>。本项目</w:t>
                  </w:r>
                  <w:r>
                    <w:rPr>
                      <w:rFonts w:hint="eastAsia" w:eastAsia="宋体" w:cs="Times New Roman"/>
                      <w:color w:val="auto"/>
                      <w:kern w:val="0"/>
                      <w:sz w:val="21"/>
                      <w:szCs w:val="20"/>
                      <w:highlight w:val="none"/>
                      <w:lang w:val="en-US" w:eastAsia="zh-CN" w:bidi="ar-SA"/>
                    </w:rPr>
                    <w:t>未采用低温等离子、光氧化、光催化、喷淋吸收等处理方式。</w:t>
                  </w:r>
                </w:p>
              </w:tc>
              <w:tc>
                <w:tcPr>
                  <w:tcW w:w="386" w:type="pct"/>
                  <w:shd w:val="clear" w:color="auto" w:fill="auto"/>
                  <w:noWrap w:val="0"/>
                  <w:vAlign w:val="center"/>
                </w:tcPr>
                <w:p w14:paraId="02E754F4">
                  <w:pPr>
                    <w:pStyle w:val="8"/>
                    <w:ind w:left="0" w:leftChars="0"/>
                    <w:jc w:val="center"/>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符合</w:t>
                  </w:r>
                </w:p>
              </w:tc>
            </w:tr>
            <w:tr w14:paraId="71ACA4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290" w:type="pct"/>
                  <w:vMerge w:val="restart"/>
                  <w:noWrap w:val="0"/>
                  <w:vAlign w:val="center"/>
                </w:tcPr>
                <w:p w14:paraId="56E2F72A">
                  <w:pPr>
                    <w:pStyle w:val="8"/>
                    <w:jc w:val="center"/>
                    <w:rPr>
                      <w:rFonts w:hint="eastAsia" w:eastAsia="宋体"/>
                      <w:color w:val="auto"/>
                      <w:highlight w:val="none"/>
                      <w:lang w:eastAsia="zh-CN"/>
                    </w:rPr>
                  </w:pPr>
                  <w:r>
                    <w:rPr>
                      <w:rFonts w:hint="eastAsia"/>
                      <w:color w:val="auto"/>
                      <w:highlight w:val="none"/>
                      <w:lang w:val="en-US" w:eastAsia="zh-CN"/>
                    </w:rPr>
                    <w:t>8</w:t>
                  </w:r>
                </w:p>
              </w:tc>
              <w:tc>
                <w:tcPr>
                  <w:tcW w:w="801" w:type="pct"/>
                  <w:vMerge w:val="restart"/>
                  <w:noWrap w:val="0"/>
                  <w:vAlign w:val="center"/>
                </w:tcPr>
                <w:p w14:paraId="3E5BD784">
                  <w:pPr>
                    <w:pStyle w:val="8"/>
                    <w:jc w:val="center"/>
                    <w:rPr>
                      <w:color w:val="auto"/>
                      <w:highlight w:val="none"/>
                    </w:rPr>
                  </w:pPr>
                  <w:r>
                    <w:rPr>
                      <w:color w:val="auto"/>
                      <w:highlight w:val="none"/>
                    </w:rPr>
                    <w:t>《泾河新城大气污染治理专项行动方案（2023-2027年）》</w:t>
                  </w:r>
                </w:p>
              </w:tc>
              <w:tc>
                <w:tcPr>
                  <w:tcW w:w="1876" w:type="pct"/>
                  <w:noWrap w:val="0"/>
                  <w:vAlign w:val="center"/>
                </w:tcPr>
                <w:p w14:paraId="635864AD">
                  <w:pPr>
                    <w:pStyle w:val="8"/>
                    <w:rPr>
                      <w:color w:val="auto"/>
                      <w:highlight w:val="none"/>
                    </w:rPr>
                  </w:pPr>
                  <w:r>
                    <w:rPr>
                      <w:color w:val="auto"/>
                      <w:highlight w:val="none"/>
                    </w:rPr>
                    <w:t>严格新、改、扩建涉气重点行业绩效评级限制条件。新城范围内新、改、扩建涉气重点行业企业应达到环保绩效A级、绩效引领性水平。</w:t>
                  </w:r>
                </w:p>
              </w:tc>
              <w:tc>
                <w:tcPr>
                  <w:tcW w:w="1645" w:type="pct"/>
                  <w:noWrap w:val="0"/>
                  <w:vAlign w:val="center"/>
                </w:tcPr>
                <w:p w14:paraId="23AB93E4">
                  <w:pPr>
                    <w:pStyle w:val="8"/>
                    <w:rPr>
                      <w:rFonts w:hint="eastAsia"/>
                      <w:color w:val="auto"/>
                      <w:highlight w:val="none"/>
                    </w:rPr>
                  </w:pPr>
                  <w:r>
                    <w:rPr>
                      <w:rFonts w:hint="eastAsia"/>
                      <w:color w:val="auto"/>
                      <w:highlight w:val="none"/>
                    </w:rPr>
                    <w:t>项目不属于《重污染天气重点行业应急减排措施制定技术指南》中所提到的39个重点行业。</w:t>
                  </w:r>
                </w:p>
              </w:tc>
              <w:tc>
                <w:tcPr>
                  <w:tcW w:w="386" w:type="pct"/>
                  <w:noWrap w:val="0"/>
                  <w:vAlign w:val="center"/>
                </w:tcPr>
                <w:p w14:paraId="51229C11">
                  <w:pPr>
                    <w:pStyle w:val="8"/>
                    <w:jc w:val="center"/>
                    <w:rPr>
                      <w:color w:val="auto"/>
                      <w:highlight w:val="none"/>
                    </w:rPr>
                  </w:pPr>
                  <w:r>
                    <w:rPr>
                      <w:rFonts w:hint="eastAsia"/>
                      <w:color w:val="auto"/>
                      <w:highlight w:val="none"/>
                      <w:lang w:val="en-US" w:eastAsia="zh-CN"/>
                    </w:rPr>
                    <w:t>符合</w:t>
                  </w:r>
                </w:p>
              </w:tc>
            </w:tr>
            <w:tr w14:paraId="50364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290" w:type="pct"/>
                  <w:vMerge w:val="continue"/>
                  <w:noWrap w:val="0"/>
                  <w:vAlign w:val="center"/>
                </w:tcPr>
                <w:p w14:paraId="700491E3">
                  <w:pPr>
                    <w:pStyle w:val="8"/>
                    <w:jc w:val="center"/>
                    <w:rPr>
                      <w:rFonts w:hint="eastAsia"/>
                      <w:color w:val="auto"/>
                      <w:highlight w:val="none"/>
                    </w:rPr>
                  </w:pPr>
                </w:p>
              </w:tc>
              <w:tc>
                <w:tcPr>
                  <w:tcW w:w="801" w:type="pct"/>
                  <w:vMerge w:val="continue"/>
                  <w:noWrap w:val="0"/>
                  <w:vAlign w:val="center"/>
                </w:tcPr>
                <w:p w14:paraId="07392353">
                  <w:pPr>
                    <w:pStyle w:val="8"/>
                    <w:jc w:val="center"/>
                    <w:rPr>
                      <w:color w:val="auto"/>
                      <w:highlight w:val="none"/>
                    </w:rPr>
                  </w:pPr>
                </w:p>
              </w:tc>
              <w:tc>
                <w:tcPr>
                  <w:tcW w:w="1876" w:type="pct"/>
                  <w:shd w:val="clear" w:color="auto" w:fill="auto"/>
                  <w:noWrap w:val="0"/>
                  <w:vAlign w:val="center"/>
                </w:tcPr>
                <w:p w14:paraId="65D52A90">
                  <w:pPr>
                    <w:pStyle w:val="8"/>
                    <w:ind w:left="0" w:leftChars="0"/>
                    <w:rPr>
                      <w:rFonts w:ascii="Times New Roman" w:hAnsi="Times New Roman" w:eastAsia="宋体" w:cs="Times New Roman"/>
                      <w:color w:val="auto"/>
                      <w:kern w:val="0"/>
                      <w:sz w:val="21"/>
                      <w:szCs w:val="20"/>
                      <w:highlight w:val="none"/>
                      <w:lang w:val="en-US" w:eastAsia="zh-CN" w:bidi="ar-SA"/>
                    </w:rPr>
                  </w:pPr>
                  <w:r>
                    <w:rPr>
                      <w:rFonts w:hint="eastAsia"/>
                      <w:color w:val="auto"/>
                      <w:highlight w:val="none"/>
                    </w:rPr>
                    <w:t>强化VOCs末端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低温等离子、光氧化、光催化等处理方式，非水溶性VOCs废气不再采用喷淋吸收方式处理。</w:t>
                  </w:r>
                </w:p>
              </w:tc>
              <w:tc>
                <w:tcPr>
                  <w:tcW w:w="1645" w:type="pct"/>
                  <w:noWrap w:val="0"/>
                  <w:vAlign w:val="center"/>
                </w:tcPr>
                <w:p w14:paraId="36588EFE">
                  <w:pPr>
                    <w:pStyle w:val="8"/>
                    <w:ind w:left="0" w:leftChars="0"/>
                    <w:rPr>
                      <w:rFonts w:hint="eastAsia"/>
                      <w:color w:val="auto"/>
                      <w:highlight w:val="none"/>
                    </w:rPr>
                  </w:pPr>
                  <w:r>
                    <w:rPr>
                      <w:rFonts w:hint="eastAsia" w:ascii="Times New Roman" w:hAnsi="Times New Roman" w:eastAsia="宋体" w:cs="Times New Roman"/>
                      <w:color w:val="auto"/>
                      <w:kern w:val="0"/>
                      <w:sz w:val="21"/>
                      <w:szCs w:val="20"/>
                      <w:highlight w:val="none"/>
                      <w:lang w:val="en-US" w:eastAsia="zh-CN" w:bidi="ar-SA"/>
                    </w:rPr>
                    <w:t>本项目高温混合、表面处理、反应复合、热处理过程产生的有机废气由</w:t>
                  </w:r>
                  <w:r>
                    <w:rPr>
                      <w:rFonts w:hint="eastAsia" w:cs="Times New Roman"/>
                      <w:color w:val="auto"/>
                      <w:kern w:val="0"/>
                      <w:sz w:val="21"/>
                      <w:szCs w:val="20"/>
                      <w:highlight w:val="none"/>
                      <w:lang w:val="en-US" w:eastAsia="zh-CN" w:bidi="ar-SA"/>
                    </w:rPr>
                    <w:t>10个</w:t>
                  </w:r>
                  <w:r>
                    <w:rPr>
                      <w:rFonts w:hint="eastAsia" w:ascii="Times New Roman" w:hAnsi="Times New Roman" w:eastAsia="宋体" w:cs="Times New Roman"/>
                      <w:color w:val="auto"/>
                      <w:kern w:val="0"/>
                      <w:sz w:val="21"/>
                      <w:szCs w:val="20"/>
                      <w:highlight w:val="none"/>
                      <w:lang w:val="en-US" w:eastAsia="zh-CN" w:bidi="ar-SA"/>
                    </w:rPr>
                    <w:t>集气罩收集进入二级活性炭装置处理后通过1根18.5m高排气筒（DA001）达标排放</w:t>
                  </w:r>
                  <w:r>
                    <w:rPr>
                      <w:rFonts w:hint="eastAsia" w:cs="Times New Roman"/>
                      <w:color w:val="auto"/>
                      <w:kern w:val="0"/>
                      <w:sz w:val="21"/>
                      <w:szCs w:val="20"/>
                      <w:highlight w:val="none"/>
                      <w:lang w:val="en-US" w:eastAsia="zh-CN" w:bidi="ar-SA"/>
                    </w:rPr>
                    <w:t>。本项目</w:t>
                  </w:r>
                  <w:r>
                    <w:rPr>
                      <w:rFonts w:hint="eastAsia" w:eastAsia="宋体" w:cs="Times New Roman"/>
                      <w:color w:val="auto"/>
                      <w:kern w:val="0"/>
                      <w:sz w:val="21"/>
                      <w:szCs w:val="20"/>
                      <w:highlight w:val="none"/>
                      <w:lang w:val="en-US" w:eastAsia="zh-CN" w:bidi="ar-SA"/>
                    </w:rPr>
                    <w:t>未采用低温等离子、光氧化、光催化、喷淋吸收等处理方式。</w:t>
                  </w:r>
                </w:p>
              </w:tc>
              <w:tc>
                <w:tcPr>
                  <w:tcW w:w="386" w:type="pct"/>
                  <w:noWrap w:val="0"/>
                  <w:vAlign w:val="center"/>
                </w:tcPr>
                <w:p w14:paraId="1BB56AA8">
                  <w:pPr>
                    <w:pStyle w:val="8"/>
                    <w:ind w:left="0" w:leftChars="0"/>
                    <w:jc w:val="center"/>
                    <w:rPr>
                      <w:rFonts w:hint="eastAsia"/>
                      <w:color w:val="auto"/>
                      <w:highlight w:val="none"/>
                      <w:lang w:val="en-US" w:eastAsia="zh-CN"/>
                    </w:rPr>
                  </w:pPr>
                  <w:r>
                    <w:rPr>
                      <w:rFonts w:hint="eastAsia"/>
                      <w:color w:val="auto"/>
                      <w:highlight w:val="none"/>
                      <w:lang w:val="en-US" w:eastAsia="zh-CN"/>
                    </w:rPr>
                    <w:t>符合</w:t>
                  </w:r>
                </w:p>
              </w:tc>
            </w:tr>
            <w:tr w14:paraId="377D5A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restart"/>
                  <w:noWrap w:val="0"/>
                  <w:vAlign w:val="center"/>
                </w:tcPr>
                <w:p w14:paraId="285F067E">
                  <w:pPr>
                    <w:pStyle w:val="8"/>
                    <w:jc w:val="center"/>
                    <w:rPr>
                      <w:rFonts w:hint="eastAsia" w:eastAsia="宋体"/>
                      <w:color w:val="auto"/>
                      <w:highlight w:val="none"/>
                      <w:lang w:eastAsia="zh-CN"/>
                    </w:rPr>
                  </w:pPr>
                  <w:r>
                    <w:rPr>
                      <w:rFonts w:hint="eastAsia"/>
                      <w:color w:val="auto"/>
                      <w:highlight w:val="none"/>
                      <w:lang w:val="en-US" w:eastAsia="zh-CN"/>
                    </w:rPr>
                    <w:t>9</w:t>
                  </w:r>
                </w:p>
              </w:tc>
              <w:tc>
                <w:tcPr>
                  <w:tcW w:w="801" w:type="pct"/>
                  <w:vMerge w:val="restart"/>
                  <w:noWrap w:val="0"/>
                  <w:vAlign w:val="center"/>
                </w:tcPr>
                <w:p w14:paraId="0BED3F88">
                  <w:pPr>
                    <w:pStyle w:val="8"/>
                    <w:jc w:val="center"/>
                    <w:rPr>
                      <w:color w:val="auto"/>
                      <w:highlight w:val="none"/>
                    </w:rPr>
                  </w:pPr>
                  <w:r>
                    <w:rPr>
                      <w:rFonts w:hint="eastAsia"/>
                      <w:color w:val="auto"/>
                      <w:highlight w:val="none"/>
                    </w:rPr>
                    <w:t>《</w:t>
                  </w:r>
                  <w:r>
                    <w:rPr>
                      <w:color w:val="auto"/>
                      <w:highlight w:val="none"/>
                    </w:rPr>
                    <w:t>西安市生态环境局西咸新区分局关于加强挥发性有机物活性炭吸附处理设施运行管理工作的通知</w:t>
                  </w:r>
                  <w:r>
                    <w:rPr>
                      <w:rFonts w:hint="eastAsia"/>
                      <w:color w:val="auto"/>
                      <w:highlight w:val="none"/>
                    </w:rPr>
                    <w:t>》</w:t>
                  </w:r>
                </w:p>
              </w:tc>
              <w:tc>
                <w:tcPr>
                  <w:tcW w:w="1876" w:type="pct"/>
                  <w:noWrap w:val="0"/>
                  <w:vAlign w:val="center"/>
                </w:tcPr>
                <w:p w14:paraId="53D6B3D2">
                  <w:pPr>
                    <w:pStyle w:val="8"/>
                    <w:rPr>
                      <w:color w:val="auto"/>
                      <w:highlight w:val="none"/>
                    </w:rPr>
                  </w:pPr>
                  <w:r>
                    <w:rPr>
                      <w:color w:val="auto"/>
                      <w:highlight w:val="none"/>
                    </w:rPr>
                    <w:t>三、工作要求：</w:t>
                  </w:r>
                </w:p>
                <w:p w14:paraId="3DD627D2">
                  <w:pPr>
                    <w:pStyle w:val="8"/>
                    <w:rPr>
                      <w:color w:val="auto"/>
                      <w:highlight w:val="none"/>
                    </w:rPr>
                  </w:pPr>
                  <w:r>
                    <w:rPr>
                      <w:color w:val="auto"/>
                      <w:highlight w:val="none"/>
                    </w:rPr>
                    <w:t>（一）规范治理技术。涉气企业根据当前VOCs治理的法律法规、技术规范、政策文件等要求，选择合理的治理工艺。除恶臭异味治理外，淘汰单一使用低温等离子、光催化氧化、活性炭吸附棉、水喷淋等低效处理工艺或其组合工艺。</w:t>
                  </w:r>
                </w:p>
              </w:tc>
              <w:tc>
                <w:tcPr>
                  <w:tcW w:w="1645" w:type="pct"/>
                  <w:noWrap w:val="0"/>
                  <w:vAlign w:val="center"/>
                </w:tcPr>
                <w:p w14:paraId="2F459545">
                  <w:pPr>
                    <w:pStyle w:val="8"/>
                    <w:rPr>
                      <w:rFonts w:hint="eastAsia"/>
                      <w:color w:val="auto"/>
                      <w:highlight w:val="none"/>
                    </w:rPr>
                  </w:pPr>
                  <w:r>
                    <w:rPr>
                      <w:rFonts w:hint="eastAsia"/>
                      <w:color w:val="auto"/>
                      <w:highlight w:val="none"/>
                    </w:rPr>
                    <w:t>本项目高温混合、表面处理、反应复合、热处理过程产生的有机废气由</w:t>
                  </w:r>
                  <w:r>
                    <w:rPr>
                      <w:rFonts w:hint="eastAsia"/>
                      <w:color w:val="auto"/>
                      <w:highlight w:val="none"/>
                      <w:lang w:val="en-US" w:eastAsia="zh-CN"/>
                    </w:rPr>
                    <w:t>10个</w:t>
                  </w:r>
                  <w:r>
                    <w:rPr>
                      <w:rFonts w:hint="eastAsia"/>
                      <w:color w:val="auto"/>
                      <w:highlight w:val="none"/>
                    </w:rPr>
                    <w:t>集气罩收集进入活性炭装置处理后通过</w:t>
                  </w:r>
                  <w:r>
                    <w:rPr>
                      <w:rFonts w:hint="eastAsia"/>
                      <w:color w:val="auto"/>
                      <w:highlight w:val="none"/>
                      <w:lang w:val="en-US" w:eastAsia="zh-CN"/>
                    </w:rPr>
                    <w:t>1根18.5</w:t>
                  </w:r>
                  <w:r>
                    <w:rPr>
                      <w:rFonts w:hint="eastAsia"/>
                      <w:color w:val="auto"/>
                      <w:highlight w:val="none"/>
                    </w:rPr>
                    <w:t>m高排气筒（DA001）达标排放。</w:t>
                  </w:r>
                </w:p>
              </w:tc>
              <w:tc>
                <w:tcPr>
                  <w:tcW w:w="386" w:type="pct"/>
                  <w:noWrap w:val="0"/>
                  <w:vAlign w:val="center"/>
                </w:tcPr>
                <w:p w14:paraId="51E262A7">
                  <w:pPr>
                    <w:pStyle w:val="8"/>
                    <w:jc w:val="center"/>
                    <w:rPr>
                      <w:color w:val="auto"/>
                      <w:highlight w:val="none"/>
                    </w:rPr>
                  </w:pPr>
                  <w:r>
                    <w:rPr>
                      <w:rFonts w:hint="eastAsia"/>
                      <w:color w:val="auto"/>
                      <w:highlight w:val="none"/>
                      <w:lang w:val="en-US" w:eastAsia="zh-CN"/>
                    </w:rPr>
                    <w:t>符合</w:t>
                  </w:r>
                </w:p>
              </w:tc>
            </w:tr>
            <w:tr w14:paraId="3D3E1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6C2E7652">
                  <w:pPr>
                    <w:pStyle w:val="8"/>
                    <w:jc w:val="center"/>
                    <w:rPr>
                      <w:color w:val="auto"/>
                      <w:highlight w:val="none"/>
                    </w:rPr>
                  </w:pPr>
                </w:p>
              </w:tc>
              <w:tc>
                <w:tcPr>
                  <w:tcW w:w="801" w:type="pct"/>
                  <w:vMerge w:val="continue"/>
                  <w:noWrap w:val="0"/>
                  <w:vAlign w:val="center"/>
                </w:tcPr>
                <w:p w14:paraId="5AAD79D5">
                  <w:pPr>
                    <w:pStyle w:val="8"/>
                    <w:jc w:val="center"/>
                    <w:rPr>
                      <w:color w:val="auto"/>
                      <w:highlight w:val="none"/>
                    </w:rPr>
                  </w:pPr>
                </w:p>
              </w:tc>
              <w:tc>
                <w:tcPr>
                  <w:tcW w:w="1876" w:type="pct"/>
                  <w:noWrap w:val="0"/>
                  <w:vAlign w:val="center"/>
                </w:tcPr>
                <w:p w14:paraId="75B3B871">
                  <w:pPr>
                    <w:pStyle w:val="8"/>
                    <w:rPr>
                      <w:color w:val="auto"/>
                      <w:highlight w:val="none"/>
                    </w:rPr>
                  </w:pPr>
                  <w:r>
                    <w:rPr>
                      <w:color w:val="auto"/>
                      <w:highlight w:val="none"/>
                    </w:rPr>
                    <w:t>（二）保证活性炭质量。企业购置活性炭必须提供活性炭检测报告，技术指标至少应包括水分含量、耐磨强度</w:t>
                  </w:r>
                  <w:r>
                    <w:rPr>
                      <w:rFonts w:hint="eastAsia"/>
                      <w:color w:val="auto"/>
                      <w:highlight w:val="none"/>
                    </w:rPr>
                    <w:t>（</w:t>
                  </w:r>
                  <w:r>
                    <w:rPr>
                      <w:color w:val="auto"/>
                      <w:highlight w:val="none"/>
                    </w:rPr>
                    <w:t>颗粒活性炭</w:t>
                  </w:r>
                  <w:r>
                    <w:rPr>
                      <w:rFonts w:hint="eastAsia"/>
                      <w:color w:val="auto"/>
                      <w:highlight w:val="none"/>
                    </w:rPr>
                    <w:t>）</w:t>
                  </w:r>
                  <w:r>
                    <w:rPr>
                      <w:color w:val="auto"/>
                      <w:highlight w:val="none"/>
                    </w:rPr>
                    <w:t>、抗压强度（蜂窝活性炭</w:t>
                  </w:r>
                  <w:r>
                    <w:rPr>
                      <w:rFonts w:hint="eastAsia"/>
                      <w:color w:val="auto"/>
                      <w:highlight w:val="none"/>
                    </w:rPr>
                    <w:t>）</w:t>
                  </w:r>
                  <w:r>
                    <w:rPr>
                      <w:color w:val="auto"/>
                      <w:highlight w:val="none"/>
                    </w:rPr>
                    <w:t>、碘吸附值、四氯化碳吸附率、着火点等。活性炭技术指标应符合《工业有机废气净化用活性炭技术指标及试验方法》</w:t>
                  </w:r>
                  <w:r>
                    <w:rPr>
                      <w:rFonts w:hint="eastAsia"/>
                      <w:color w:val="auto"/>
                      <w:highlight w:val="none"/>
                    </w:rPr>
                    <w:t>（</w:t>
                  </w:r>
                  <w:r>
                    <w:rPr>
                      <w:color w:val="auto"/>
                      <w:highlight w:val="none"/>
                    </w:rPr>
                    <w:t>LY/T3284）规定的优级活性炭指标要求。</w:t>
                  </w:r>
                </w:p>
              </w:tc>
              <w:tc>
                <w:tcPr>
                  <w:tcW w:w="1645" w:type="pct"/>
                  <w:noWrap w:val="0"/>
                  <w:vAlign w:val="center"/>
                </w:tcPr>
                <w:p w14:paraId="64EE4998">
                  <w:pPr>
                    <w:pStyle w:val="8"/>
                    <w:rPr>
                      <w:rFonts w:hint="eastAsia"/>
                      <w:color w:val="auto"/>
                      <w:highlight w:val="none"/>
                    </w:rPr>
                  </w:pPr>
                  <w:r>
                    <w:rPr>
                      <w:color w:val="auto"/>
                      <w:highlight w:val="none"/>
                    </w:rPr>
                    <w:t>项目购买活性炭时，需要求厂家提供活性炭检测报告，使用符合《工业有机废气净化用活性炭技术指标及试验方法》（LY/T3284）规定的优级活性炭指标要求的</w:t>
                  </w:r>
                  <w:r>
                    <w:rPr>
                      <w:rFonts w:hint="eastAsia"/>
                      <w:color w:val="auto"/>
                      <w:highlight w:val="none"/>
                    </w:rPr>
                    <w:t>蜂窝</w:t>
                  </w:r>
                  <w:r>
                    <w:rPr>
                      <w:color w:val="auto"/>
                      <w:highlight w:val="none"/>
                    </w:rPr>
                    <w:t>活性炭。</w:t>
                  </w:r>
                </w:p>
              </w:tc>
              <w:tc>
                <w:tcPr>
                  <w:tcW w:w="386" w:type="pct"/>
                  <w:noWrap w:val="0"/>
                  <w:vAlign w:val="center"/>
                </w:tcPr>
                <w:p w14:paraId="249F16E5">
                  <w:pPr>
                    <w:pStyle w:val="8"/>
                    <w:jc w:val="center"/>
                    <w:rPr>
                      <w:color w:val="auto"/>
                      <w:highlight w:val="none"/>
                    </w:rPr>
                  </w:pPr>
                  <w:r>
                    <w:rPr>
                      <w:rFonts w:hint="eastAsia"/>
                      <w:color w:val="auto"/>
                      <w:highlight w:val="none"/>
                      <w:lang w:val="en-US" w:eastAsia="zh-CN"/>
                    </w:rPr>
                    <w:t>符合</w:t>
                  </w:r>
                </w:p>
              </w:tc>
            </w:tr>
            <w:tr w14:paraId="5645BE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6D55A21D">
                  <w:pPr>
                    <w:pStyle w:val="8"/>
                    <w:jc w:val="center"/>
                    <w:rPr>
                      <w:color w:val="auto"/>
                      <w:highlight w:val="none"/>
                    </w:rPr>
                  </w:pPr>
                </w:p>
              </w:tc>
              <w:tc>
                <w:tcPr>
                  <w:tcW w:w="801" w:type="pct"/>
                  <w:vMerge w:val="continue"/>
                  <w:noWrap w:val="0"/>
                  <w:vAlign w:val="center"/>
                </w:tcPr>
                <w:p w14:paraId="7303F2B1">
                  <w:pPr>
                    <w:pStyle w:val="8"/>
                    <w:jc w:val="center"/>
                    <w:rPr>
                      <w:color w:val="auto"/>
                      <w:highlight w:val="none"/>
                    </w:rPr>
                  </w:pPr>
                </w:p>
              </w:tc>
              <w:tc>
                <w:tcPr>
                  <w:tcW w:w="1876" w:type="pct"/>
                  <w:noWrap w:val="0"/>
                  <w:vAlign w:val="center"/>
                </w:tcPr>
                <w:p w14:paraId="0ED44791">
                  <w:pPr>
                    <w:pStyle w:val="8"/>
                    <w:rPr>
                      <w:color w:val="auto"/>
                      <w:highlight w:val="none"/>
                    </w:rPr>
                  </w:pPr>
                  <w:r>
                    <w:rPr>
                      <w:color w:val="auto"/>
                      <w:highlight w:val="none"/>
                    </w:rPr>
                    <w:t>（三）明确填充量并及时更换。企业应当根据风量和VOCs初始浓度范围，明确活性炭的填充量、填充厚度和更换时间。</w:t>
                  </w:r>
                </w:p>
              </w:tc>
              <w:tc>
                <w:tcPr>
                  <w:tcW w:w="1645" w:type="pct"/>
                  <w:noWrap w:val="0"/>
                  <w:vAlign w:val="center"/>
                </w:tcPr>
                <w:p w14:paraId="47844F90">
                  <w:pPr>
                    <w:pStyle w:val="8"/>
                    <w:rPr>
                      <w:color w:val="auto"/>
                      <w:highlight w:val="none"/>
                    </w:rPr>
                  </w:pPr>
                  <w:r>
                    <w:rPr>
                      <w:color w:val="auto"/>
                      <w:highlight w:val="none"/>
                    </w:rPr>
                    <w:t>报告根据风机风量及初始浓度，</w:t>
                  </w:r>
                  <w:r>
                    <w:rPr>
                      <w:rFonts w:hint="eastAsia"/>
                      <w:color w:val="auto"/>
                      <w:highlight w:val="none"/>
                    </w:rPr>
                    <w:t>明确了活性炭填充量应不少于</w:t>
                  </w:r>
                  <w:r>
                    <w:rPr>
                      <w:rFonts w:hint="eastAsia"/>
                      <w:color w:val="auto"/>
                      <w:highlight w:val="none"/>
                      <w:lang w:val="en-US" w:eastAsia="zh-CN"/>
                    </w:rPr>
                    <w:t>1</w:t>
                  </w:r>
                  <w:r>
                    <w:rPr>
                      <w:rFonts w:hint="eastAsia"/>
                      <w:color w:val="auto"/>
                      <w:highlight w:val="none"/>
                    </w:rPr>
                    <w:t>吨，</w:t>
                  </w:r>
                  <w:r>
                    <w:rPr>
                      <w:rFonts w:hint="eastAsia"/>
                      <w:color w:val="auto"/>
                      <w:highlight w:val="none"/>
                    </w:rPr>
                    <w:t>更换周期为3个月。</w:t>
                  </w:r>
                </w:p>
              </w:tc>
              <w:tc>
                <w:tcPr>
                  <w:tcW w:w="386" w:type="pct"/>
                  <w:noWrap w:val="0"/>
                  <w:vAlign w:val="center"/>
                </w:tcPr>
                <w:p w14:paraId="69961BB3">
                  <w:pPr>
                    <w:pStyle w:val="8"/>
                    <w:jc w:val="center"/>
                    <w:rPr>
                      <w:color w:val="auto"/>
                      <w:highlight w:val="none"/>
                    </w:rPr>
                  </w:pPr>
                  <w:r>
                    <w:rPr>
                      <w:rFonts w:hint="eastAsia"/>
                      <w:color w:val="auto"/>
                      <w:highlight w:val="none"/>
                      <w:lang w:val="en-US" w:eastAsia="zh-CN"/>
                    </w:rPr>
                    <w:t>符合</w:t>
                  </w:r>
                </w:p>
              </w:tc>
            </w:tr>
            <w:tr w14:paraId="03B300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7AC68627">
                  <w:pPr>
                    <w:pStyle w:val="8"/>
                    <w:jc w:val="center"/>
                    <w:rPr>
                      <w:color w:val="auto"/>
                      <w:highlight w:val="none"/>
                    </w:rPr>
                  </w:pPr>
                </w:p>
              </w:tc>
              <w:tc>
                <w:tcPr>
                  <w:tcW w:w="801" w:type="pct"/>
                  <w:vMerge w:val="continue"/>
                  <w:noWrap w:val="0"/>
                  <w:vAlign w:val="center"/>
                </w:tcPr>
                <w:p w14:paraId="4CE4D81C">
                  <w:pPr>
                    <w:pStyle w:val="8"/>
                    <w:jc w:val="center"/>
                    <w:rPr>
                      <w:color w:val="auto"/>
                      <w:highlight w:val="none"/>
                    </w:rPr>
                  </w:pPr>
                </w:p>
              </w:tc>
              <w:tc>
                <w:tcPr>
                  <w:tcW w:w="1876" w:type="pct"/>
                  <w:noWrap w:val="0"/>
                  <w:vAlign w:val="center"/>
                </w:tcPr>
                <w:p w14:paraId="05A893BA">
                  <w:pPr>
                    <w:pStyle w:val="8"/>
                    <w:rPr>
                      <w:color w:val="auto"/>
                      <w:highlight w:val="none"/>
                    </w:rPr>
                  </w:pPr>
                  <w:r>
                    <w:rPr>
                      <w:color w:val="auto"/>
                      <w:highlight w:val="none"/>
                    </w:rPr>
                    <w:t>（五）严格控制无组织排放。涂料、稀释剂、固化剂、清洗剂、胶粘剂等VOCs物料应密闭储存。盛装 VOCs 物料的容器或包装袋应密闭储存于室内，或存放于设置有雨棚、遮阳和防渗设施的专用场地，非取用状态时应加盖、封口，保持封闭。含VOCs废料</w:t>
                  </w:r>
                  <w:r>
                    <w:rPr>
                      <w:rFonts w:hint="eastAsia"/>
                      <w:color w:val="auto"/>
                      <w:highlight w:val="none"/>
                    </w:rPr>
                    <w:t>（</w:t>
                  </w:r>
                  <w:r>
                    <w:rPr>
                      <w:color w:val="auto"/>
                      <w:highlight w:val="none"/>
                    </w:rPr>
                    <w:t>渣、液）以及VOCs物料废包装物等属于危险废物的应密封储存于危废储存间。VOCs物料的调配过程应采用密闭设备或在密闭空间内操作，并设置专门的密闭调配间，调配废气应排至VOCs废气收集处理系统</w:t>
                  </w:r>
                  <w:r>
                    <w:rPr>
                      <w:rFonts w:hint="eastAsia"/>
                      <w:color w:val="auto"/>
                      <w:highlight w:val="none"/>
                    </w:rPr>
                    <w:t>；</w:t>
                  </w:r>
                  <w:r>
                    <w:rPr>
                      <w:color w:val="auto"/>
                      <w:highlight w:val="none"/>
                    </w:rPr>
                    <w:t>无法密闭的，应采取局部气体收集措施，废气应排至VOCs 废气收集处理系统。</w:t>
                  </w:r>
                </w:p>
              </w:tc>
              <w:tc>
                <w:tcPr>
                  <w:tcW w:w="1645" w:type="pct"/>
                  <w:noWrap w:val="0"/>
                  <w:vAlign w:val="center"/>
                </w:tcPr>
                <w:p w14:paraId="18C7F041">
                  <w:pPr>
                    <w:pStyle w:val="8"/>
                    <w:rPr>
                      <w:color w:val="auto"/>
                      <w:highlight w:val="none"/>
                    </w:rPr>
                  </w:pPr>
                  <w:r>
                    <w:rPr>
                      <w:rFonts w:hint="eastAsia"/>
                      <w:color w:val="auto"/>
                      <w:highlight w:val="none"/>
                    </w:rPr>
                    <w:t>项目原辅料中涉VOCs物料主要为聚乙烯醇粉末、乳蜡（液态），均密闭包装存放于原料暂存区，日常暂存过程中不涉及VOCs的排放。非取用状态时加盖、封口，保持密闭。</w:t>
                  </w:r>
                </w:p>
              </w:tc>
              <w:tc>
                <w:tcPr>
                  <w:tcW w:w="386" w:type="pct"/>
                  <w:noWrap w:val="0"/>
                  <w:vAlign w:val="center"/>
                </w:tcPr>
                <w:p w14:paraId="51C77BCA">
                  <w:pPr>
                    <w:pStyle w:val="8"/>
                    <w:jc w:val="center"/>
                    <w:rPr>
                      <w:color w:val="auto"/>
                      <w:highlight w:val="none"/>
                    </w:rPr>
                  </w:pPr>
                  <w:r>
                    <w:rPr>
                      <w:rFonts w:hint="eastAsia"/>
                      <w:color w:val="auto"/>
                      <w:highlight w:val="none"/>
                      <w:lang w:val="en-US" w:eastAsia="zh-CN"/>
                    </w:rPr>
                    <w:t>符合</w:t>
                  </w:r>
                </w:p>
              </w:tc>
            </w:tr>
            <w:tr w14:paraId="366461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0DB43189">
                  <w:pPr>
                    <w:pStyle w:val="8"/>
                    <w:jc w:val="center"/>
                    <w:rPr>
                      <w:color w:val="auto"/>
                      <w:highlight w:val="none"/>
                    </w:rPr>
                  </w:pPr>
                </w:p>
              </w:tc>
              <w:tc>
                <w:tcPr>
                  <w:tcW w:w="801" w:type="pct"/>
                  <w:vMerge w:val="continue"/>
                  <w:noWrap w:val="0"/>
                  <w:vAlign w:val="center"/>
                </w:tcPr>
                <w:p w14:paraId="784BC583">
                  <w:pPr>
                    <w:pStyle w:val="8"/>
                    <w:jc w:val="center"/>
                    <w:rPr>
                      <w:color w:val="auto"/>
                      <w:highlight w:val="none"/>
                    </w:rPr>
                  </w:pPr>
                </w:p>
              </w:tc>
              <w:tc>
                <w:tcPr>
                  <w:tcW w:w="1876" w:type="pct"/>
                  <w:noWrap w:val="0"/>
                  <w:vAlign w:val="center"/>
                </w:tcPr>
                <w:p w14:paraId="054B8BB8">
                  <w:pPr>
                    <w:pStyle w:val="8"/>
                    <w:rPr>
                      <w:color w:val="auto"/>
                      <w:highlight w:val="none"/>
                    </w:rPr>
                  </w:pPr>
                  <w:r>
                    <w:rPr>
                      <w:color w:val="auto"/>
                      <w:highlight w:val="none"/>
                    </w:rPr>
                    <w:t>（六）严格危废管理。产生废活性炭的企业，必须与有许可证的危废经营单位签订危废处置协议。</w:t>
                  </w:r>
                </w:p>
              </w:tc>
              <w:tc>
                <w:tcPr>
                  <w:tcW w:w="1645" w:type="pct"/>
                  <w:noWrap w:val="0"/>
                  <w:vAlign w:val="center"/>
                </w:tcPr>
                <w:p w14:paraId="0154F7FD">
                  <w:pPr>
                    <w:pStyle w:val="8"/>
                    <w:rPr>
                      <w:color w:val="auto"/>
                      <w:highlight w:val="none"/>
                    </w:rPr>
                  </w:pPr>
                  <w:r>
                    <w:rPr>
                      <w:rFonts w:hint="eastAsia"/>
                      <w:color w:val="auto"/>
                      <w:highlight w:val="none"/>
                    </w:rPr>
                    <w:t>本项目危险废物包括有机废气处理产生的废活性炭、废油桶、废含油抹布，分类收集后暂存于危废贮存库（依托</w:t>
                  </w:r>
                  <w:r>
                    <w:rPr>
                      <w:rFonts w:hint="eastAsia"/>
                      <w:color w:val="auto"/>
                      <w:highlight w:val="none"/>
                    </w:rPr>
                    <w:t>陕西力拓重工机械有限公司</w:t>
                  </w:r>
                  <w:r>
                    <w:rPr>
                      <w:rFonts w:hint="eastAsia"/>
                      <w:color w:val="auto"/>
                      <w:highlight w:val="none"/>
                    </w:rPr>
                    <w:t>现有，依托面积</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rFonts w:hint="eastAsia"/>
                      <w:color w:val="auto"/>
                      <w:highlight w:val="none"/>
                    </w:rPr>
                    <w:t>），定期交由有资质单位处置。</w:t>
                  </w:r>
                </w:p>
              </w:tc>
              <w:tc>
                <w:tcPr>
                  <w:tcW w:w="386" w:type="pct"/>
                  <w:noWrap w:val="0"/>
                  <w:vAlign w:val="center"/>
                </w:tcPr>
                <w:p w14:paraId="0426E1B9">
                  <w:pPr>
                    <w:pStyle w:val="8"/>
                    <w:jc w:val="center"/>
                    <w:rPr>
                      <w:color w:val="auto"/>
                      <w:highlight w:val="none"/>
                    </w:rPr>
                  </w:pPr>
                  <w:r>
                    <w:rPr>
                      <w:rFonts w:hint="eastAsia"/>
                      <w:color w:val="auto"/>
                      <w:highlight w:val="none"/>
                      <w:lang w:val="en-US" w:eastAsia="zh-CN"/>
                    </w:rPr>
                    <w:t>符合</w:t>
                  </w:r>
                </w:p>
              </w:tc>
            </w:tr>
            <w:tr w14:paraId="417EE1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290" w:type="pct"/>
                  <w:vMerge w:val="restart"/>
                  <w:noWrap w:val="0"/>
                  <w:vAlign w:val="center"/>
                </w:tcPr>
                <w:p w14:paraId="2B3CB638">
                  <w:pPr>
                    <w:pStyle w:val="8"/>
                    <w:jc w:val="center"/>
                    <w:rPr>
                      <w:rFonts w:hint="default" w:eastAsia="宋体"/>
                      <w:color w:val="auto"/>
                      <w:highlight w:val="none"/>
                      <w:lang w:val="en-US" w:eastAsia="zh-CN"/>
                    </w:rPr>
                  </w:pPr>
                  <w:r>
                    <w:rPr>
                      <w:rFonts w:hint="eastAsia"/>
                      <w:color w:val="auto"/>
                      <w:highlight w:val="none"/>
                      <w:lang w:val="en-US" w:eastAsia="zh-CN"/>
                    </w:rPr>
                    <w:t>10</w:t>
                  </w:r>
                </w:p>
              </w:tc>
              <w:tc>
                <w:tcPr>
                  <w:tcW w:w="801" w:type="pct"/>
                  <w:vMerge w:val="restart"/>
                  <w:noWrap w:val="0"/>
                  <w:vAlign w:val="center"/>
                </w:tcPr>
                <w:p w14:paraId="569FD087">
                  <w:pPr>
                    <w:pStyle w:val="8"/>
                    <w:jc w:val="center"/>
                    <w:rPr>
                      <w:color w:val="auto"/>
                      <w:highlight w:val="none"/>
                    </w:rPr>
                  </w:pPr>
                  <w:r>
                    <w:rPr>
                      <w:rFonts w:hint="eastAsia"/>
                      <w:color w:val="auto"/>
                      <w:highlight w:val="none"/>
                    </w:rPr>
                    <w:t>《</w:t>
                  </w:r>
                  <w:r>
                    <w:rPr>
                      <w:color w:val="auto"/>
                      <w:highlight w:val="none"/>
                    </w:rPr>
                    <w:t>西安市空气质量达标规划（2023-2030年）</w:t>
                  </w:r>
                  <w:r>
                    <w:rPr>
                      <w:rFonts w:hint="eastAsia"/>
                      <w:color w:val="auto"/>
                      <w:highlight w:val="none"/>
                    </w:rPr>
                    <w:t>》</w:t>
                  </w:r>
                </w:p>
              </w:tc>
              <w:tc>
                <w:tcPr>
                  <w:tcW w:w="1876" w:type="pct"/>
                  <w:noWrap w:val="0"/>
                  <w:vAlign w:val="center"/>
                </w:tcPr>
                <w:p w14:paraId="55CAEF58">
                  <w:pPr>
                    <w:pStyle w:val="8"/>
                    <w:rPr>
                      <w:color w:val="auto"/>
                      <w:highlight w:val="none"/>
                    </w:rPr>
                  </w:pPr>
                  <w:r>
                    <w:rPr>
                      <w:color w:val="auto"/>
                      <w:highlight w:val="none"/>
                    </w:rPr>
                    <w:t>四、主要任务和治理措施</w:t>
                  </w:r>
                </w:p>
                <w:p w14:paraId="56D2C258">
                  <w:pPr>
                    <w:pStyle w:val="8"/>
                    <w:rPr>
                      <w:color w:val="auto"/>
                      <w:highlight w:val="none"/>
                    </w:rPr>
                  </w:pPr>
                  <w:r>
                    <w:rPr>
                      <w:color w:val="auto"/>
                      <w:highlight w:val="none"/>
                    </w:rPr>
                    <w:t>1、新建项目不再采用单一低温等离子、光氧化、光催化等治理技术，非水溶性VOCs废气不再采用单一喷淋吸收方式处理。严格新改扩建涉气重点行业绩效评级限制条件，各区县、开发区范围内新改扩建涉气重点行业企业应达到环保绩效A级、绩效引领性水平，周至县、蓝田县应达到环保绩效B级及以上水平。督促指导企业落实重污染天气重点行业绩效分级技术指南要求。</w:t>
                  </w:r>
                </w:p>
              </w:tc>
              <w:tc>
                <w:tcPr>
                  <w:tcW w:w="1645" w:type="pct"/>
                  <w:noWrap w:val="0"/>
                  <w:vAlign w:val="center"/>
                </w:tcPr>
                <w:p w14:paraId="15C978AE">
                  <w:pPr>
                    <w:pStyle w:val="8"/>
                    <w:rPr>
                      <w:rFonts w:hint="eastAsia"/>
                      <w:color w:val="auto"/>
                      <w:highlight w:val="none"/>
                    </w:rPr>
                  </w:pPr>
                  <w:r>
                    <w:rPr>
                      <w:rFonts w:hint="eastAsia"/>
                      <w:color w:val="auto"/>
                      <w:highlight w:val="none"/>
                    </w:rPr>
                    <w:t>本项目高温混合、表面处理、反应复合、热处理过程产生的有机废气由</w:t>
                  </w:r>
                  <w:r>
                    <w:rPr>
                      <w:rFonts w:hint="eastAsia"/>
                      <w:color w:val="auto"/>
                      <w:highlight w:val="none"/>
                      <w:lang w:val="en-US" w:eastAsia="zh-CN"/>
                    </w:rPr>
                    <w:t>10个</w:t>
                  </w:r>
                  <w:r>
                    <w:rPr>
                      <w:rFonts w:hint="eastAsia"/>
                      <w:color w:val="auto"/>
                      <w:highlight w:val="none"/>
                    </w:rPr>
                    <w:t>集气罩收集进入</w:t>
                  </w:r>
                  <w:r>
                    <w:rPr>
                      <w:rFonts w:hint="eastAsia"/>
                      <w:color w:val="auto"/>
                      <w:highlight w:val="none"/>
                      <w:lang w:val="en-US" w:eastAsia="zh-CN"/>
                    </w:rPr>
                    <w:t>二级</w:t>
                  </w:r>
                  <w:r>
                    <w:rPr>
                      <w:rFonts w:hint="eastAsia"/>
                      <w:color w:val="auto"/>
                      <w:highlight w:val="none"/>
                    </w:rPr>
                    <w:t>活性炭装置处理后通过</w:t>
                  </w:r>
                  <w:r>
                    <w:rPr>
                      <w:rFonts w:hint="eastAsia"/>
                      <w:color w:val="auto"/>
                      <w:highlight w:val="none"/>
                      <w:lang w:val="en-US" w:eastAsia="zh-CN"/>
                    </w:rPr>
                    <w:t>1根18.5</w:t>
                  </w:r>
                  <w:r>
                    <w:rPr>
                      <w:rFonts w:hint="eastAsia"/>
                      <w:color w:val="auto"/>
                      <w:highlight w:val="none"/>
                    </w:rPr>
                    <w:t>m高排气筒（DA001）达标排放。项目不属于《重污染天气重点行业应急减排措施制定技术指南》中所提到的39个重点行业。</w:t>
                  </w:r>
                </w:p>
              </w:tc>
              <w:tc>
                <w:tcPr>
                  <w:tcW w:w="386" w:type="pct"/>
                  <w:noWrap w:val="0"/>
                  <w:vAlign w:val="center"/>
                </w:tcPr>
                <w:p w14:paraId="559B9931">
                  <w:pPr>
                    <w:pStyle w:val="8"/>
                    <w:jc w:val="center"/>
                    <w:rPr>
                      <w:color w:val="auto"/>
                      <w:highlight w:val="none"/>
                    </w:rPr>
                  </w:pPr>
                  <w:r>
                    <w:rPr>
                      <w:rFonts w:hint="eastAsia"/>
                      <w:color w:val="auto"/>
                      <w:highlight w:val="none"/>
                      <w:lang w:val="en-US" w:eastAsia="zh-CN"/>
                    </w:rPr>
                    <w:t>符合</w:t>
                  </w:r>
                </w:p>
              </w:tc>
            </w:tr>
            <w:tr w14:paraId="7B31AB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45EEF3D8">
                  <w:pPr>
                    <w:pStyle w:val="8"/>
                    <w:jc w:val="center"/>
                    <w:rPr>
                      <w:color w:val="auto"/>
                      <w:highlight w:val="none"/>
                    </w:rPr>
                  </w:pPr>
                </w:p>
              </w:tc>
              <w:tc>
                <w:tcPr>
                  <w:tcW w:w="801" w:type="pct"/>
                  <w:vMerge w:val="continue"/>
                  <w:noWrap w:val="0"/>
                  <w:vAlign w:val="center"/>
                </w:tcPr>
                <w:p w14:paraId="7C4450A5">
                  <w:pPr>
                    <w:pStyle w:val="8"/>
                    <w:jc w:val="center"/>
                    <w:rPr>
                      <w:color w:val="auto"/>
                      <w:highlight w:val="none"/>
                    </w:rPr>
                  </w:pPr>
                </w:p>
              </w:tc>
              <w:tc>
                <w:tcPr>
                  <w:tcW w:w="1876" w:type="pct"/>
                  <w:noWrap w:val="0"/>
                  <w:vAlign w:val="center"/>
                </w:tcPr>
                <w:p w14:paraId="470D4260">
                  <w:pPr>
                    <w:pStyle w:val="8"/>
                    <w:rPr>
                      <w:color w:val="auto"/>
                      <w:highlight w:val="none"/>
                    </w:rPr>
                  </w:pPr>
                  <w:r>
                    <w:rPr>
                      <w:rFonts w:hint="eastAsia"/>
                      <w:color w:val="auto"/>
                      <w:highlight w:val="none"/>
                    </w:rPr>
                    <w:t>2</w:t>
                  </w:r>
                  <w:r>
                    <w:rPr>
                      <w:color w:val="auto"/>
                      <w:highlight w:val="none"/>
                    </w:rPr>
                    <w:t>、推动能源清洁低碳转型。调整优化城市能源消费结构，扩大清洁能源使用范围，严格实施煤炭消费减量替代，实现煤炭消费总量负增长。</w:t>
                  </w:r>
                </w:p>
              </w:tc>
              <w:tc>
                <w:tcPr>
                  <w:tcW w:w="1645" w:type="pct"/>
                  <w:noWrap w:val="0"/>
                  <w:vAlign w:val="center"/>
                </w:tcPr>
                <w:p w14:paraId="6AE2B044">
                  <w:pPr>
                    <w:pStyle w:val="8"/>
                    <w:rPr>
                      <w:rFonts w:hint="eastAsia"/>
                      <w:color w:val="auto"/>
                      <w:highlight w:val="none"/>
                    </w:rPr>
                  </w:pPr>
                  <w:r>
                    <w:rPr>
                      <w:color w:val="auto"/>
                      <w:highlight w:val="none"/>
                    </w:rPr>
                    <w:t>项目所用能源为电能，属于清洁能源。</w:t>
                  </w:r>
                </w:p>
              </w:tc>
              <w:tc>
                <w:tcPr>
                  <w:tcW w:w="386" w:type="pct"/>
                  <w:noWrap w:val="0"/>
                  <w:vAlign w:val="center"/>
                </w:tcPr>
                <w:p w14:paraId="7E08EFDE">
                  <w:pPr>
                    <w:pStyle w:val="8"/>
                    <w:jc w:val="center"/>
                    <w:rPr>
                      <w:color w:val="auto"/>
                      <w:highlight w:val="none"/>
                    </w:rPr>
                  </w:pPr>
                  <w:r>
                    <w:rPr>
                      <w:rFonts w:hint="eastAsia"/>
                      <w:color w:val="auto"/>
                      <w:highlight w:val="none"/>
                      <w:lang w:val="en-US" w:eastAsia="zh-CN"/>
                    </w:rPr>
                    <w:t>符合</w:t>
                  </w:r>
                </w:p>
              </w:tc>
            </w:tr>
            <w:tr w14:paraId="179E39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restart"/>
                  <w:noWrap w:val="0"/>
                  <w:vAlign w:val="center"/>
                </w:tcPr>
                <w:p w14:paraId="43B852D7">
                  <w:pPr>
                    <w:pStyle w:val="8"/>
                    <w:jc w:val="center"/>
                    <w:rPr>
                      <w:rFonts w:hint="default" w:eastAsia="宋体"/>
                      <w:color w:val="auto"/>
                      <w:highlight w:val="none"/>
                      <w:lang w:val="en-US" w:eastAsia="zh-CN"/>
                    </w:rPr>
                  </w:pPr>
                  <w:r>
                    <w:rPr>
                      <w:rFonts w:hint="eastAsia"/>
                      <w:color w:val="auto"/>
                      <w:highlight w:val="none"/>
                      <w:lang w:val="en-US" w:eastAsia="zh-CN"/>
                    </w:rPr>
                    <w:t>11</w:t>
                  </w:r>
                </w:p>
              </w:tc>
              <w:tc>
                <w:tcPr>
                  <w:tcW w:w="801" w:type="pct"/>
                  <w:vMerge w:val="restart"/>
                  <w:noWrap w:val="0"/>
                  <w:vAlign w:val="center"/>
                </w:tcPr>
                <w:p w14:paraId="54A06524">
                  <w:pPr>
                    <w:pStyle w:val="8"/>
                    <w:jc w:val="center"/>
                    <w:rPr>
                      <w:color w:val="auto"/>
                      <w:highlight w:val="none"/>
                    </w:rPr>
                  </w:pPr>
                  <w:r>
                    <w:rPr>
                      <w:color w:val="auto"/>
                      <w:highlight w:val="none"/>
                    </w:rPr>
                    <w:t>《西安市挥发性有机物污染整治专项实施方案（2023-2027年）》</w:t>
                  </w:r>
                </w:p>
              </w:tc>
              <w:tc>
                <w:tcPr>
                  <w:tcW w:w="1876" w:type="pct"/>
                  <w:noWrap w:val="0"/>
                  <w:vAlign w:val="center"/>
                </w:tcPr>
                <w:p w14:paraId="1EBC9D67">
                  <w:pPr>
                    <w:pStyle w:val="8"/>
                    <w:rPr>
                      <w:color w:val="auto"/>
                      <w:highlight w:val="none"/>
                    </w:rPr>
                  </w:pPr>
                  <w:r>
                    <w:rPr>
                      <w:color w:val="auto"/>
                      <w:highlight w:val="none"/>
                    </w:rPr>
                    <w:t>三、主要任务</w:t>
                  </w:r>
                </w:p>
                <w:p w14:paraId="1409757F">
                  <w:pPr>
                    <w:pStyle w:val="8"/>
                    <w:rPr>
                      <w:color w:val="auto"/>
                      <w:highlight w:val="none"/>
                    </w:rPr>
                  </w:pPr>
                  <w:r>
                    <w:rPr>
                      <w:color w:val="auto"/>
                      <w:highlight w:val="none"/>
                    </w:rPr>
                    <w:t>（一）低效治理设施升级改造行动。组织开展企业VOCs治理设施排查，对涉及使用低温等离子、光氧化、光催化技术的废气治理设施，非水溶性 VOCs 废气采用单一喷淋吸收等治理技术，以及有机化工生产企业使用简易低效污染治理设施的，逐一进行排查。</w:t>
                  </w:r>
                </w:p>
              </w:tc>
              <w:tc>
                <w:tcPr>
                  <w:tcW w:w="1645" w:type="pct"/>
                  <w:noWrap w:val="0"/>
                  <w:vAlign w:val="center"/>
                </w:tcPr>
                <w:p w14:paraId="168909C7">
                  <w:pPr>
                    <w:pStyle w:val="8"/>
                    <w:rPr>
                      <w:rFonts w:hint="eastAsia" w:eastAsia="宋体"/>
                      <w:color w:val="auto"/>
                      <w:highlight w:val="none"/>
                      <w:lang w:val="en-US" w:eastAsia="zh-CN"/>
                    </w:rPr>
                  </w:pPr>
                  <w:r>
                    <w:rPr>
                      <w:rFonts w:hint="eastAsia"/>
                      <w:color w:val="auto"/>
                      <w:highlight w:val="none"/>
                    </w:rPr>
                    <w:t>本项目高温混合、表面处理、反应复合、热处理过程产生的有机废气由</w:t>
                  </w:r>
                  <w:r>
                    <w:rPr>
                      <w:rFonts w:hint="eastAsia"/>
                      <w:color w:val="auto"/>
                      <w:highlight w:val="none"/>
                      <w:lang w:val="en-US" w:eastAsia="zh-CN"/>
                    </w:rPr>
                    <w:t>10个</w:t>
                  </w:r>
                  <w:r>
                    <w:rPr>
                      <w:rFonts w:hint="eastAsia"/>
                      <w:color w:val="auto"/>
                      <w:highlight w:val="none"/>
                    </w:rPr>
                    <w:t>集气罩收集进入</w:t>
                  </w:r>
                  <w:r>
                    <w:rPr>
                      <w:rFonts w:hint="eastAsia"/>
                      <w:color w:val="auto"/>
                      <w:highlight w:val="none"/>
                      <w:lang w:val="en-US" w:eastAsia="zh-CN"/>
                    </w:rPr>
                    <w:t>二级</w:t>
                  </w:r>
                  <w:r>
                    <w:rPr>
                      <w:rFonts w:hint="eastAsia"/>
                      <w:color w:val="auto"/>
                      <w:highlight w:val="none"/>
                    </w:rPr>
                    <w:t>活性炭装置处理后通过</w:t>
                  </w:r>
                  <w:r>
                    <w:rPr>
                      <w:rFonts w:hint="eastAsia"/>
                      <w:color w:val="auto"/>
                      <w:highlight w:val="none"/>
                      <w:lang w:val="en-US" w:eastAsia="zh-CN"/>
                    </w:rPr>
                    <w:t>1根18.5</w:t>
                  </w:r>
                  <w:r>
                    <w:rPr>
                      <w:rFonts w:hint="eastAsia"/>
                      <w:color w:val="auto"/>
                      <w:highlight w:val="none"/>
                    </w:rPr>
                    <w:t>m高排气筒（DA001）达标排放。</w:t>
                  </w:r>
                  <w:r>
                    <w:rPr>
                      <w:rFonts w:hint="eastAsia"/>
                      <w:color w:val="auto"/>
                      <w:highlight w:val="none"/>
                      <w:lang w:val="en-US" w:eastAsia="zh-CN"/>
                    </w:rPr>
                    <w:t>本项目采用的二级</w:t>
                  </w:r>
                  <w:r>
                    <w:rPr>
                      <w:rFonts w:hint="eastAsia"/>
                      <w:color w:val="auto"/>
                      <w:highlight w:val="none"/>
                    </w:rPr>
                    <w:t>活性炭装置</w:t>
                  </w:r>
                  <w:r>
                    <w:rPr>
                      <w:rFonts w:hint="eastAsia"/>
                      <w:color w:val="auto"/>
                      <w:highlight w:val="none"/>
                      <w:lang w:val="en-US" w:eastAsia="zh-CN"/>
                    </w:rPr>
                    <w:t>不属于简易低效污染治理设施。</w:t>
                  </w:r>
                </w:p>
              </w:tc>
              <w:tc>
                <w:tcPr>
                  <w:tcW w:w="386" w:type="pct"/>
                  <w:noWrap w:val="0"/>
                  <w:vAlign w:val="center"/>
                </w:tcPr>
                <w:p w14:paraId="652C2C7F">
                  <w:pPr>
                    <w:pStyle w:val="8"/>
                    <w:jc w:val="center"/>
                    <w:rPr>
                      <w:color w:val="auto"/>
                      <w:highlight w:val="none"/>
                    </w:rPr>
                  </w:pPr>
                  <w:r>
                    <w:rPr>
                      <w:rFonts w:hint="eastAsia"/>
                      <w:color w:val="auto"/>
                      <w:highlight w:val="none"/>
                      <w:lang w:val="en-US" w:eastAsia="zh-CN"/>
                    </w:rPr>
                    <w:t>符合</w:t>
                  </w:r>
                </w:p>
              </w:tc>
            </w:tr>
            <w:tr w14:paraId="623D78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vMerge w:val="continue"/>
                  <w:noWrap w:val="0"/>
                  <w:vAlign w:val="center"/>
                </w:tcPr>
                <w:p w14:paraId="7DA50335">
                  <w:pPr>
                    <w:pStyle w:val="8"/>
                    <w:jc w:val="center"/>
                    <w:rPr>
                      <w:color w:val="auto"/>
                      <w:highlight w:val="none"/>
                    </w:rPr>
                  </w:pPr>
                </w:p>
              </w:tc>
              <w:tc>
                <w:tcPr>
                  <w:tcW w:w="801" w:type="pct"/>
                  <w:vMerge w:val="continue"/>
                  <w:noWrap w:val="0"/>
                  <w:vAlign w:val="center"/>
                </w:tcPr>
                <w:p w14:paraId="58CDC71F">
                  <w:pPr>
                    <w:pStyle w:val="8"/>
                    <w:jc w:val="center"/>
                    <w:rPr>
                      <w:color w:val="auto"/>
                      <w:highlight w:val="none"/>
                    </w:rPr>
                  </w:pPr>
                </w:p>
              </w:tc>
              <w:tc>
                <w:tcPr>
                  <w:tcW w:w="1876" w:type="pct"/>
                  <w:noWrap w:val="0"/>
                  <w:vAlign w:val="center"/>
                </w:tcPr>
                <w:p w14:paraId="6903576E">
                  <w:pPr>
                    <w:pStyle w:val="8"/>
                    <w:rPr>
                      <w:color w:val="auto"/>
                      <w:highlight w:val="none"/>
                    </w:rPr>
                  </w:pPr>
                  <w:r>
                    <w:rPr>
                      <w:color w:val="auto"/>
                      <w:highlight w:val="none"/>
                    </w:rPr>
                    <w:t>（四）强化涉活性炭 VOCs 处理工艺治理。采用活性炭吸附技术的，其中颗粒碳碘吸附值不低于800mg/g 或四氯化碳吸附率不低于60%，蜂窝活性炭碘吸附值不低于600mg/g或四氯化碳吸附率不低于30%，按设计要求足量添加、定期更换，动态更新挥发性有机物治理设施台账。组织开展活性炭技术等 VOCs 治理设施排查，对达不到要求的，应当更换或升级改造，实现稳定达标排放。</w:t>
                  </w:r>
                </w:p>
              </w:tc>
              <w:tc>
                <w:tcPr>
                  <w:tcW w:w="1645" w:type="pct"/>
                  <w:noWrap w:val="0"/>
                  <w:vAlign w:val="center"/>
                </w:tcPr>
                <w:p w14:paraId="3F0158B3">
                  <w:pPr>
                    <w:pStyle w:val="8"/>
                    <w:rPr>
                      <w:rFonts w:hint="eastAsia"/>
                      <w:color w:val="auto"/>
                      <w:highlight w:val="none"/>
                    </w:rPr>
                  </w:pPr>
                  <w:r>
                    <w:rPr>
                      <w:color w:val="auto"/>
                      <w:highlight w:val="none"/>
                    </w:rPr>
                    <w:t>项目采用</w:t>
                  </w:r>
                  <w:r>
                    <w:rPr>
                      <w:rFonts w:hint="eastAsia"/>
                      <w:color w:val="auto"/>
                      <w:highlight w:val="none"/>
                    </w:rPr>
                    <w:t>蜂窝</w:t>
                  </w:r>
                  <w:r>
                    <w:rPr>
                      <w:color w:val="auto"/>
                      <w:highlight w:val="none"/>
                    </w:rPr>
                    <w:t>活性炭，项目运营期将严格把控活性炭质量，每次更换活性炭均要求厂家提供碘值检测报告</w:t>
                  </w:r>
                  <w:r>
                    <w:rPr>
                      <w:rFonts w:hint="eastAsia"/>
                      <w:color w:val="auto"/>
                      <w:highlight w:val="none"/>
                    </w:rPr>
                    <w:t>，要求蜂窝活性炭碘值不得低于600mg/g，</w:t>
                  </w:r>
                  <w:r>
                    <w:rPr>
                      <w:color w:val="auto"/>
                      <w:highlight w:val="none"/>
                    </w:rPr>
                    <w:t>并根据环保文件足量添加，及时更换，设置活性炭更换台账，以确保达标排放。</w:t>
                  </w:r>
                </w:p>
              </w:tc>
              <w:tc>
                <w:tcPr>
                  <w:tcW w:w="386" w:type="pct"/>
                  <w:noWrap w:val="0"/>
                  <w:vAlign w:val="center"/>
                </w:tcPr>
                <w:p w14:paraId="07445360">
                  <w:pPr>
                    <w:pStyle w:val="8"/>
                    <w:jc w:val="center"/>
                    <w:rPr>
                      <w:color w:val="auto"/>
                      <w:highlight w:val="none"/>
                    </w:rPr>
                  </w:pPr>
                  <w:r>
                    <w:rPr>
                      <w:rFonts w:hint="eastAsia"/>
                      <w:color w:val="auto"/>
                      <w:highlight w:val="none"/>
                      <w:lang w:val="en-US" w:eastAsia="zh-CN"/>
                    </w:rPr>
                    <w:t>符合</w:t>
                  </w:r>
                </w:p>
              </w:tc>
            </w:tr>
            <w:tr w14:paraId="190FE6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noWrap w:val="0"/>
                  <w:vAlign w:val="center"/>
                </w:tcPr>
                <w:p w14:paraId="2C15C51D">
                  <w:pPr>
                    <w:pStyle w:val="8"/>
                    <w:jc w:val="center"/>
                    <w:rPr>
                      <w:rFonts w:hint="default" w:eastAsia="宋体"/>
                      <w:color w:val="auto"/>
                      <w:highlight w:val="none"/>
                      <w:lang w:val="en-US" w:eastAsia="zh-CN"/>
                    </w:rPr>
                  </w:pPr>
                  <w:r>
                    <w:rPr>
                      <w:rFonts w:hint="eastAsia"/>
                      <w:color w:val="auto"/>
                      <w:highlight w:val="none"/>
                      <w:lang w:val="en-US" w:eastAsia="zh-CN"/>
                    </w:rPr>
                    <w:t>12</w:t>
                  </w:r>
                </w:p>
              </w:tc>
              <w:tc>
                <w:tcPr>
                  <w:tcW w:w="801" w:type="pct"/>
                  <w:noWrap w:val="0"/>
                  <w:vAlign w:val="center"/>
                </w:tcPr>
                <w:p w14:paraId="040FC867">
                  <w:pPr>
                    <w:pStyle w:val="8"/>
                    <w:jc w:val="center"/>
                    <w:rPr>
                      <w:color w:val="auto"/>
                      <w:highlight w:val="none"/>
                    </w:rPr>
                  </w:pPr>
                  <w:r>
                    <w:rPr>
                      <w:rFonts w:hint="eastAsia"/>
                      <w:color w:val="auto"/>
                      <w:highlight w:val="none"/>
                    </w:rPr>
                    <w:t>2025年《国家污染防治技术指导目录》</w:t>
                  </w:r>
                </w:p>
              </w:tc>
              <w:tc>
                <w:tcPr>
                  <w:tcW w:w="1876" w:type="pct"/>
                  <w:noWrap w:val="0"/>
                  <w:vAlign w:val="center"/>
                </w:tcPr>
                <w:p w14:paraId="207E5BFB">
                  <w:pPr>
                    <w:pStyle w:val="8"/>
                    <w:rPr>
                      <w:color w:val="auto"/>
                      <w:highlight w:val="none"/>
                    </w:rPr>
                  </w:pPr>
                  <w:r>
                    <w:rPr>
                      <w:rFonts w:hint="eastAsia"/>
                      <w:color w:val="auto"/>
                      <w:highlight w:val="none"/>
                    </w:rPr>
                    <w:t>不得使用《目录》中低效类污染防治技术。</w:t>
                  </w:r>
                </w:p>
              </w:tc>
              <w:tc>
                <w:tcPr>
                  <w:tcW w:w="1645" w:type="pct"/>
                  <w:noWrap w:val="0"/>
                  <w:vAlign w:val="center"/>
                </w:tcPr>
                <w:p w14:paraId="340E7F1C">
                  <w:pPr>
                    <w:pStyle w:val="8"/>
                    <w:rPr>
                      <w:color w:val="auto"/>
                      <w:highlight w:val="none"/>
                    </w:rPr>
                  </w:pPr>
                  <w:r>
                    <w:rPr>
                      <w:rFonts w:hint="eastAsia"/>
                      <w:color w:val="auto"/>
                      <w:highlight w:val="none"/>
                    </w:rPr>
                    <w:t>本项目</w:t>
                  </w:r>
                  <w:r>
                    <w:rPr>
                      <w:rFonts w:hint="eastAsia"/>
                      <w:color w:val="auto"/>
                      <w:highlight w:val="none"/>
                      <w:lang w:val="en-US" w:eastAsia="zh-CN"/>
                    </w:rPr>
                    <w:t>采用</w:t>
                  </w:r>
                  <w:r>
                    <w:rPr>
                      <w:rFonts w:hint="eastAsia"/>
                      <w:color w:val="auto"/>
                      <w:highlight w:val="none"/>
                      <w:lang w:val="en-US" w:eastAsia="zh-CN"/>
                    </w:rPr>
                    <w:t>二级</w:t>
                  </w:r>
                  <w:r>
                    <w:rPr>
                      <w:rFonts w:hint="eastAsia"/>
                      <w:color w:val="auto"/>
                      <w:highlight w:val="none"/>
                    </w:rPr>
                    <w:t>活性炭吸附工艺，不属于目录中的VOCs洗涤吸收净化技术、VOCs光催化及其组合净化技术、VOCs低温等离子体及其组合净化技术、VOCs光解及其组合净化技术等低效类技术。</w:t>
                  </w:r>
                </w:p>
              </w:tc>
              <w:tc>
                <w:tcPr>
                  <w:tcW w:w="386" w:type="pct"/>
                  <w:noWrap w:val="0"/>
                  <w:vAlign w:val="center"/>
                </w:tcPr>
                <w:p w14:paraId="256CA85E">
                  <w:pPr>
                    <w:pStyle w:val="8"/>
                    <w:jc w:val="center"/>
                    <w:rPr>
                      <w:rFonts w:hint="eastAsia"/>
                      <w:color w:val="auto"/>
                      <w:highlight w:val="none"/>
                    </w:rPr>
                  </w:pPr>
                  <w:r>
                    <w:rPr>
                      <w:rFonts w:hint="eastAsia"/>
                      <w:color w:val="auto"/>
                      <w:highlight w:val="none"/>
                      <w:lang w:val="en-US" w:eastAsia="zh-CN"/>
                    </w:rPr>
                    <w:t>符合</w:t>
                  </w:r>
                </w:p>
              </w:tc>
            </w:tr>
            <w:tr w14:paraId="7C985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noWrap w:val="0"/>
                  <w:vAlign w:val="center"/>
                </w:tcPr>
                <w:p w14:paraId="48269829">
                  <w:pPr>
                    <w:pStyle w:val="8"/>
                    <w:jc w:val="center"/>
                    <w:rPr>
                      <w:rFonts w:hint="default" w:eastAsia="宋体"/>
                      <w:color w:val="auto"/>
                      <w:highlight w:val="none"/>
                      <w:lang w:val="en-US" w:eastAsia="zh-CN"/>
                    </w:rPr>
                  </w:pPr>
                  <w:r>
                    <w:rPr>
                      <w:rFonts w:hint="eastAsia"/>
                      <w:color w:val="auto"/>
                      <w:highlight w:val="none"/>
                      <w:lang w:val="en-US" w:eastAsia="zh-CN"/>
                    </w:rPr>
                    <w:t>13</w:t>
                  </w:r>
                </w:p>
              </w:tc>
              <w:tc>
                <w:tcPr>
                  <w:tcW w:w="801" w:type="pct"/>
                  <w:noWrap w:val="0"/>
                  <w:vAlign w:val="center"/>
                </w:tcPr>
                <w:p w14:paraId="2505A355">
                  <w:pPr>
                    <w:pStyle w:val="8"/>
                    <w:jc w:val="center"/>
                    <w:rPr>
                      <w:color w:val="auto"/>
                      <w:highlight w:val="none"/>
                    </w:rPr>
                  </w:pPr>
                  <w:r>
                    <w:rPr>
                      <w:rFonts w:hint="eastAsia"/>
                      <w:color w:val="auto"/>
                      <w:highlight w:val="none"/>
                    </w:rPr>
                    <w:t>国务院关于印发《空气质量持续改善行动计划》的通知（国发[2023]24号）</w:t>
                  </w:r>
                </w:p>
              </w:tc>
              <w:tc>
                <w:tcPr>
                  <w:tcW w:w="1876" w:type="pct"/>
                  <w:noWrap w:val="0"/>
                  <w:vAlign w:val="center"/>
                </w:tcPr>
                <w:p w14:paraId="772A2C7E">
                  <w:pPr>
                    <w:pStyle w:val="8"/>
                    <w:rPr>
                      <w:color w:val="auto"/>
                      <w:highlight w:val="none"/>
                    </w:rPr>
                  </w:pPr>
                  <w:r>
                    <w:rPr>
                      <w:color w:val="auto"/>
                      <w:highlight w:val="none"/>
                    </w:rPr>
                    <w:t>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645" w:type="pct"/>
                  <w:noWrap w:val="0"/>
                  <w:vAlign w:val="center"/>
                </w:tcPr>
                <w:p w14:paraId="5C55798A">
                  <w:pPr>
                    <w:pStyle w:val="8"/>
                    <w:rPr>
                      <w:color w:val="auto"/>
                      <w:highlight w:val="none"/>
                    </w:rPr>
                  </w:pPr>
                  <w:r>
                    <w:rPr>
                      <w:rFonts w:hint="eastAsia"/>
                      <w:color w:val="auto"/>
                      <w:highlight w:val="none"/>
                    </w:rPr>
                    <w:t>项目原辅料中涉VOCs物料主要为聚乙烯醇粉末、乳蜡（液态），均密闭包装存放于原料暂存区，日常暂存过程中不涉及VOCs的排放。</w:t>
                  </w:r>
                </w:p>
              </w:tc>
              <w:tc>
                <w:tcPr>
                  <w:tcW w:w="386" w:type="pct"/>
                  <w:noWrap w:val="0"/>
                  <w:vAlign w:val="center"/>
                </w:tcPr>
                <w:p w14:paraId="2C2F9FD4">
                  <w:pPr>
                    <w:pStyle w:val="8"/>
                    <w:jc w:val="center"/>
                    <w:rPr>
                      <w:color w:val="auto"/>
                      <w:highlight w:val="none"/>
                    </w:rPr>
                  </w:pPr>
                  <w:r>
                    <w:rPr>
                      <w:rFonts w:hint="eastAsia"/>
                      <w:color w:val="auto"/>
                      <w:highlight w:val="none"/>
                      <w:lang w:val="en-US" w:eastAsia="zh-CN"/>
                    </w:rPr>
                    <w:t>符合</w:t>
                  </w:r>
                </w:p>
              </w:tc>
            </w:tr>
            <w:tr w14:paraId="54676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290" w:type="pct"/>
                  <w:noWrap w:val="0"/>
                  <w:vAlign w:val="center"/>
                </w:tcPr>
                <w:p w14:paraId="728DDB0B">
                  <w:pPr>
                    <w:pStyle w:val="8"/>
                    <w:jc w:val="center"/>
                    <w:rPr>
                      <w:rFonts w:hint="default" w:eastAsia="宋体"/>
                      <w:color w:val="auto"/>
                      <w:highlight w:val="none"/>
                      <w:lang w:val="en-US" w:eastAsia="zh-CN"/>
                    </w:rPr>
                  </w:pPr>
                  <w:r>
                    <w:rPr>
                      <w:rFonts w:hint="eastAsia"/>
                      <w:color w:val="auto"/>
                      <w:highlight w:val="none"/>
                      <w:lang w:val="en-US" w:eastAsia="zh-CN"/>
                    </w:rPr>
                    <w:t>14</w:t>
                  </w:r>
                </w:p>
              </w:tc>
              <w:tc>
                <w:tcPr>
                  <w:tcW w:w="801" w:type="pct"/>
                  <w:noWrap w:val="0"/>
                  <w:vAlign w:val="center"/>
                </w:tcPr>
                <w:p w14:paraId="14E46C67">
                  <w:pPr>
                    <w:pStyle w:val="8"/>
                    <w:jc w:val="center"/>
                    <w:rPr>
                      <w:rFonts w:hint="eastAsia"/>
                      <w:color w:val="auto"/>
                      <w:highlight w:val="none"/>
                    </w:rPr>
                  </w:pPr>
                  <w:r>
                    <w:rPr>
                      <w:rFonts w:hint="eastAsia"/>
                      <w:color w:val="auto"/>
                      <w:highlight w:val="none"/>
                    </w:rPr>
                    <w:t>陕西省关于贯彻落实《空气质量持续改善行动计划》的实施意见（2024-2025年）</w:t>
                  </w:r>
                </w:p>
              </w:tc>
              <w:tc>
                <w:tcPr>
                  <w:tcW w:w="1876" w:type="pct"/>
                  <w:noWrap w:val="0"/>
                  <w:vAlign w:val="center"/>
                </w:tcPr>
                <w:p w14:paraId="7A2C9711">
                  <w:pPr>
                    <w:pStyle w:val="8"/>
                    <w:rPr>
                      <w:color w:val="auto"/>
                      <w:highlight w:val="none"/>
                    </w:rPr>
                  </w:pPr>
                  <w:r>
                    <w:rPr>
                      <w:color w:val="auto"/>
                      <w:highlight w:val="none"/>
                    </w:rPr>
                    <w:t>严格控制生产和使用高VOCs含量涂料、油墨、胶粘剂、清洗剂等建设项目，提高低（无）VOCs含量产品比重。在生产、销售、进口、使用等环节严格执行VOCs含量限值标准。全面推广使用低VOCs含量原辅材料，加大工业涂装、包装印刷和电子行业低（无）VOCs含量原辅材料替代力度</w:t>
                  </w:r>
                  <w:r>
                    <w:rPr>
                      <w:rFonts w:hint="eastAsia"/>
                      <w:color w:val="auto"/>
                      <w:highlight w:val="none"/>
                      <w:lang w:eastAsia="zh-CN"/>
                    </w:rPr>
                    <w:t>。</w:t>
                  </w:r>
                </w:p>
              </w:tc>
              <w:tc>
                <w:tcPr>
                  <w:tcW w:w="1645" w:type="pct"/>
                  <w:noWrap w:val="0"/>
                  <w:vAlign w:val="center"/>
                </w:tcPr>
                <w:p w14:paraId="1ABC712A">
                  <w:pPr>
                    <w:pStyle w:val="8"/>
                    <w:rPr>
                      <w:rFonts w:hint="eastAsia"/>
                      <w:color w:val="auto"/>
                      <w:highlight w:val="none"/>
                    </w:rPr>
                  </w:pPr>
                  <w:r>
                    <w:rPr>
                      <w:rFonts w:hint="eastAsia"/>
                      <w:color w:val="auto"/>
                      <w:highlight w:val="none"/>
                    </w:rPr>
                    <w:t>项目原辅料中涉VOCs物料主要为聚乙烯醇粉末、乳蜡（液态），均密闭包装存放于原料暂存区，日常暂存过程中不涉及VOCs的排放。本项目高温混合、表面处理、反应复合、热处理过程产生的有机废气由</w:t>
                  </w:r>
                  <w:r>
                    <w:rPr>
                      <w:rFonts w:hint="eastAsia"/>
                      <w:color w:val="auto"/>
                      <w:highlight w:val="none"/>
                      <w:lang w:val="en-US" w:eastAsia="zh-CN"/>
                    </w:rPr>
                    <w:t>10个</w:t>
                  </w:r>
                  <w:r>
                    <w:rPr>
                      <w:rFonts w:hint="eastAsia"/>
                      <w:color w:val="auto"/>
                      <w:highlight w:val="none"/>
                    </w:rPr>
                    <w:t>集气罩收集进入</w:t>
                  </w:r>
                  <w:r>
                    <w:rPr>
                      <w:rFonts w:hint="eastAsia"/>
                      <w:color w:val="auto"/>
                      <w:highlight w:val="none"/>
                      <w:lang w:val="en-US" w:eastAsia="zh-CN"/>
                    </w:rPr>
                    <w:t>二级</w:t>
                  </w:r>
                  <w:r>
                    <w:rPr>
                      <w:rFonts w:hint="eastAsia"/>
                      <w:color w:val="auto"/>
                      <w:highlight w:val="none"/>
                    </w:rPr>
                    <w:t>活性炭装置处理后通过</w:t>
                  </w:r>
                  <w:r>
                    <w:rPr>
                      <w:rFonts w:hint="eastAsia"/>
                      <w:color w:val="auto"/>
                      <w:highlight w:val="none"/>
                      <w:lang w:val="en-US" w:eastAsia="zh-CN"/>
                    </w:rPr>
                    <w:t>1根18.5</w:t>
                  </w:r>
                  <w:r>
                    <w:rPr>
                      <w:rFonts w:hint="eastAsia"/>
                      <w:color w:val="auto"/>
                      <w:highlight w:val="none"/>
                    </w:rPr>
                    <w:t>m高排气筒（DA001）达标排放。</w:t>
                  </w:r>
                </w:p>
              </w:tc>
              <w:tc>
                <w:tcPr>
                  <w:tcW w:w="386" w:type="pct"/>
                  <w:noWrap w:val="0"/>
                  <w:vAlign w:val="center"/>
                </w:tcPr>
                <w:p w14:paraId="49D6EC77">
                  <w:pPr>
                    <w:pStyle w:val="8"/>
                    <w:jc w:val="center"/>
                    <w:rPr>
                      <w:color w:val="auto"/>
                      <w:highlight w:val="none"/>
                    </w:rPr>
                  </w:pPr>
                  <w:r>
                    <w:rPr>
                      <w:rFonts w:hint="eastAsia"/>
                      <w:color w:val="auto"/>
                      <w:highlight w:val="none"/>
                      <w:lang w:val="en-US" w:eastAsia="zh-CN"/>
                    </w:rPr>
                    <w:t>符合</w:t>
                  </w:r>
                </w:p>
              </w:tc>
            </w:tr>
          </w:tbl>
          <w:p w14:paraId="1F6C722F">
            <w:pPr>
              <w:pStyle w:val="7"/>
              <w:spacing w:before="120" w:beforeLines="50"/>
              <w:ind w:firstLine="482"/>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、选址合理性分析</w:t>
            </w:r>
          </w:p>
          <w:p w14:paraId="1A6AF8DA">
            <w:pPr>
              <w:spacing w:line="360" w:lineRule="auto"/>
              <w:ind w:firstLine="480" w:firstLineChars="200"/>
              <w:rPr>
                <w:rFonts w:hint="default" w:eastAsia="宋体"/>
                <w:color w:val="auto"/>
                <w:kern w:val="0"/>
                <w:sz w:val="24"/>
                <w:szCs w:val="32"/>
                <w:highlight w:val="none"/>
                <w:lang w:val="en-US" w:eastAsia="zh-CN"/>
              </w:rPr>
            </w:pPr>
            <w:r>
              <w:rPr>
                <w:rFonts w:hint="eastAsia"/>
                <w:bCs/>
                <w:color w:val="auto"/>
                <w:sz w:val="24"/>
                <w:szCs w:val="32"/>
                <w:highlight w:val="none"/>
                <w:lang w:val="en-US" w:eastAsia="zh-CN"/>
              </w:rPr>
              <w:t>本</w:t>
            </w:r>
            <w:r>
              <w:rPr>
                <w:bCs/>
                <w:color w:val="auto"/>
                <w:sz w:val="24"/>
                <w:szCs w:val="32"/>
                <w:highlight w:val="none"/>
              </w:rPr>
              <w:t>项目位于</w:t>
            </w:r>
            <w:r>
              <w:rPr>
                <w:rFonts w:hint="eastAsia"/>
                <w:bCs/>
                <w:color w:val="auto"/>
                <w:sz w:val="24"/>
                <w:szCs w:val="32"/>
                <w:highlight w:val="none"/>
              </w:rPr>
              <w:t>泾河新城原点西二路</w:t>
            </w:r>
            <w:r>
              <w:rPr>
                <w:bCs/>
                <w:color w:val="auto"/>
                <w:sz w:val="24"/>
                <w:szCs w:val="32"/>
                <w:highlight w:val="none"/>
              </w:rPr>
              <w:t>，</w:t>
            </w:r>
            <w:r>
              <w:rPr>
                <w:rFonts w:hint="eastAsia"/>
                <w:bCs/>
                <w:color w:val="auto"/>
                <w:sz w:val="24"/>
                <w:szCs w:val="32"/>
                <w:highlight w:val="none"/>
              </w:rPr>
              <w:t>租赁</w:t>
            </w:r>
            <w:r>
              <w:rPr>
                <w:rFonts w:hint="eastAsia"/>
                <w:bCs/>
                <w:color w:val="auto"/>
                <w:sz w:val="24"/>
                <w:szCs w:val="32"/>
                <w:highlight w:val="none"/>
                <w:lang w:val="en-US" w:eastAsia="zh-CN"/>
              </w:rPr>
              <w:t>陕西力拓重工机械有限公司</w:t>
            </w:r>
            <w:r>
              <w:rPr>
                <w:rFonts w:hint="eastAsia"/>
                <w:bCs/>
                <w:color w:val="auto"/>
                <w:sz w:val="24"/>
                <w:szCs w:val="32"/>
                <w:highlight w:val="none"/>
              </w:rPr>
              <w:t>现有</w:t>
            </w:r>
            <w:r>
              <w:rPr>
                <w:rFonts w:hint="eastAsia"/>
                <w:bCs/>
                <w:color w:val="auto"/>
                <w:sz w:val="24"/>
                <w:szCs w:val="32"/>
                <w:highlight w:val="none"/>
                <w:lang w:val="en-US" w:eastAsia="zh-CN"/>
              </w:rPr>
              <w:t>三号</w:t>
            </w:r>
            <w:r>
              <w:rPr>
                <w:rFonts w:hint="eastAsia"/>
                <w:bCs/>
                <w:color w:val="auto"/>
                <w:sz w:val="24"/>
                <w:szCs w:val="32"/>
                <w:highlight w:val="none"/>
              </w:rPr>
              <w:t>厂房进行生产，</w:t>
            </w:r>
            <w:r>
              <w:rPr>
                <w:rFonts w:hint="eastAsia"/>
                <w:bCs/>
                <w:color w:val="auto"/>
                <w:sz w:val="24"/>
                <w:szCs w:val="32"/>
                <w:highlight w:val="none"/>
                <w:lang w:val="en-US" w:eastAsia="zh-CN"/>
              </w:rPr>
              <w:t>厂房</w:t>
            </w:r>
            <w:r>
              <w:rPr>
                <w:rFonts w:hint="eastAsia"/>
                <w:bCs/>
                <w:color w:val="auto"/>
                <w:sz w:val="24"/>
                <w:szCs w:val="32"/>
                <w:highlight w:val="none"/>
              </w:rPr>
              <w:t>用地性质</w:t>
            </w:r>
            <w:r>
              <w:rPr>
                <w:color w:val="auto"/>
                <w:kern w:val="0"/>
                <w:sz w:val="24"/>
                <w:szCs w:val="32"/>
                <w:highlight w:val="none"/>
              </w:rPr>
              <w:t>为工业用</w:t>
            </w:r>
            <w:r>
              <w:rPr>
                <w:rFonts w:hint="eastAsia"/>
                <w:color w:val="auto"/>
                <w:kern w:val="0"/>
                <w:sz w:val="24"/>
                <w:szCs w:val="32"/>
                <w:highlight w:val="none"/>
                <w:lang w:val="en-US" w:eastAsia="zh-CN"/>
              </w:rPr>
              <w:t>地</w:t>
            </w:r>
            <w:r>
              <w:rPr>
                <w:color w:val="auto"/>
                <w:kern w:val="0"/>
                <w:sz w:val="24"/>
                <w:szCs w:val="32"/>
                <w:highlight w:val="none"/>
              </w:rPr>
              <w:t>。</w:t>
            </w:r>
            <w:r>
              <w:rPr>
                <w:rFonts w:hint="eastAsia"/>
                <w:color w:val="auto"/>
                <w:kern w:val="0"/>
                <w:sz w:val="24"/>
                <w:szCs w:val="32"/>
                <w:highlight w:val="none"/>
              </w:rPr>
              <w:t>根据</w:t>
            </w:r>
            <w:r>
              <w:rPr>
                <w:rFonts w:hint="eastAsia"/>
                <w:color w:val="auto"/>
                <w:sz w:val="24"/>
                <w:szCs w:val="32"/>
                <w:highlight w:val="none"/>
                <w:lang w:val="en-US" w:eastAsia="zh-CN"/>
              </w:rPr>
              <w:t>土地证</w:t>
            </w:r>
            <w:r>
              <w:rPr>
                <w:rFonts w:hint="eastAsia"/>
                <w:color w:val="auto"/>
                <w:sz w:val="24"/>
                <w:szCs w:val="32"/>
                <w:highlight w:val="none"/>
                <w:lang w:eastAsia="zh-CN"/>
              </w:rPr>
              <w:t>（</w:t>
            </w:r>
            <w:r>
              <w:rPr>
                <w:rFonts w:hint="eastAsia"/>
                <w:color w:val="auto"/>
                <w:sz w:val="24"/>
                <w:szCs w:val="32"/>
                <w:highlight w:val="none"/>
                <w:lang w:val="en-US" w:eastAsia="zh-CN"/>
              </w:rPr>
              <w:t>见附件5</w:t>
            </w:r>
            <w:r>
              <w:rPr>
                <w:rFonts w:hint="eastAsia"/>
                <w:color w:val="auto"/>
                <w:sz w:val="24"/>
                <w:szCs w:val="32"/>
                <w:highlight w:val="none"/>
                <w:lang w:eastAsia="zh-CN"/>
              </w:rPr>
              <w:t>）</w:t>
            </w:r>
            <w:r>
              <w:rPr>
                <w:rFonts w:hint="eastAsia"/>
                <w:color w:val="auto"/>
                <w:sz w:val="24"/>
                <w:szCs w:val="32"/>
                <w:highlight w:val="none"/>
                <w:lang w:val="en-US" w:eastAsia="zh-CN"/>
              </w:rPr>
              <w:t>及</w:t>
            </w:r>
            <w:r>
              <w:rPr>
                <w:rFonts w:hint="eastAsia"/>
                <w:color w:val="auto"/>
                <w:kern w:val="0"/>
                <w:sz w:val="24"/>
                <w:szCs w:val="32"/>
                <w:highlight w:val="none"/>
                <w:lang w:eastAsia="zh-CN"/>
              </w:rPr>
              <w:t>《</w:t>
            </w:r>
            <w:r>
              <w:rPr>
                <w:rFonts w:hint="eastAsia"/>
                <w:color w:val="auto"/>
                <w:kern w:val="0"/>
                <w:sz w:val="24"/>
                <w:szCs w:val="32"/>
                <w:highlight w:val="none"/>
              </w:rPr>
              <w:t>西咸新区泾河新城控制性详细规划图</w:t>
            </w:r>
            <w:r>
              <w:rPr>
                <w:rFonts w:hint="eastAsia"/>
                <w:color w:val="auto"/>
                <w:kern w:val="0"/>
                <w:sz w:val="24"/>
                <w:szCs w:val="32"/>
                <w:highlight w:val="none"/>
                <w:lang w:eastAsia="zh-CN"/>
              </w:rPr>
              <w:t>》</w:t>
            </w:r>
            <w:r>
              <w:rPr>
                <w:rFonts w:hint="eastAsia"/>
                <w:color w:val="auto"/>
                <w:kern w:val="0"/>
                <w:sz w:val="24"/>
                <w:szCs w:val="32"/>
                <w:highlight w:val="none"/>
              </w:rPr>
              <w:t>（</w:t>
            </w:r>
            <w:r>
              <w:rPr>
                <w:rFonts w:hint="eastAsia"/>
                <w:color w:val="auto"/>
                <w:kern w:val="0"/>
                <w:sz w:val="24"/>
                <w:szCs w:val="32"/>
                <w:highlight w:val="none"/>
              </w:rPr>
              <w:t>附图</w:t>
            </w:r>
            <w:r>
              <w:rPr>
                <w:rFonts w:hint="eastAsia"/>
                <w:color w:val="auto"/>
                <w:kern w:val="0"/>
                <w:sz w:val="24"/>
                <w:szCs w:val="32"/>
                <w:highlight w:val="none"/>
                <w:lang w:val="en-US" w:eastAsia="zh-CN"/>
              </w:rPr>
              <w:t>6</w:t>
            </w:r>
            <w:r>
              <w:rPr>
                <w:rFonts w:hint="eastAsia"/>
                <w:color w:val="auto"/>
                <w:kern w:val="0"/>
                <w:sz w:val="24"/>
                <w:szCs w:val="32"/>
                <w:highlight w:val="none"/>
              </w:rPr>
              <w:t>），项目所在地用地性质为工业用地，因此本项目符合泾河新城规划要求。</w:t>
            </w:r>
          </w:p>
          <w:p w14:paraId="719B2B0A">
            <w:pPr>
              <w:autoSpaceDE w:val="0"/>
              <w:autoSpaceDN w:val="0"/>
              <w:spacing w:line="360" w:lineRule="auto"/>
              <w:ind w:firstLine="480" w:firstLineChars="200"/>
              <w:rPr>
                <w:rFonts w:hint="default"/>
                <w:color w:val="auto"/>
                <w:sz w:val="24"/>
                <w:szCs w:val="32"/>
                <w:highlight w:val="none"/>
                <w:lang w:val="en-US"/>
              </w:rPr>
            </w:pPr>
            <w:r>
              <w:rPr>
                <w:rFonts w:hint="eastAsia"/>
                <w:bCs/>
                <w:color w:val="auto"/>
                <w:sz w:val="24"/>
                <w:szCs w:val="32"/>
                <w:highlight w:val="none"/>
                <w:lang w:val="en-US" w:eastAsia="zh-CN"/>
              </w:rPr>
              <w:t>本</w:t>
            </w:r>
            <w:r>
              <w:rPr>
                <w:rFonts w:hint="eastAsia"/>
                <w:bCs/>
                <w:color w:val="auto"/>
                <w:sz w:val="24"/>
                <w:szCs w:val="32"/>
                <w:highlight w:val="none"/>
              </w:rPr>
              <w:t>项目位于陕西力拓重工机械有限公司</w:t>
            </w:r>
            <w:r>
              <w:rPr>
                <w:rFonts w:hint="eastAsia"/>
                <w:bCs/>
                <w:color w:val="auto"/>
                <w:sz w:val="24"/>
                <w:szCs w:val="32"/>
                <w:highlight w:val="none"/>
              </w:rPr>
              <w:t>已建成厂房内</w:t>
            </w:r>
            <w:r>
              <w:rPr>
                <w:rFonts w:hint="eastAsia"/>
                <w:bCs/>
                <w:color w:val="auto"/>
                <w:sz w:val="24"/>
                <w:szCs w:val="32"/>
                <w:highlight w:val="none"/>
                <w:lang w:eastAsia="zh-CN"/>
              </w:rPr>
              <w:t>。</w:t>
            </w:r>
            <w:r>
              <w:rPr>
                <w:rFonts w:hint="eastAsia"/>
                <w:bCs/>
                <w:color w:val="auto"/>
                <w:sz w:val="24"/>
                <w:szCs w:val="32"/>
                <w:highlight w:val="none"/>
                <w:lang w:val="en-US" w:eastAsia="zh-CN"/>
              </w:rPr>
              <w:t>本项目东、南以及西侧均为厂房边界，北侧为空置区域（</w:t>
            </w:r>
            <w:r>
              <w:rPr>
                <w:rFonts w:hint="eastAsia"/>
                <w:bCs/>
                <w:color w:val="auto"/>
                <w:sz w:val="24"/>
                <w:szCs w:val="32"/>
                <w:highlight w:val="none"/>
              </w:rPr>
              <w:t>陕西力拓重工机械有限公司</w:t>
            </w:r>
            <w:r>
              <w:rPr>
                <w:rFonts w:hint="eastAsia"/>
                <w:bCs/>
                <w:color w:val="auto"/>
                <w:sz w:val="24"/>
                <w:szCs w:val="32"/>
                <w:highlight w:val="none"/>
                <w:lang w:val="en-US" w:eastAsia="zh-CN"/>
              </w:rPr>
              <w:t>所有</w:t>
            </w:r>
            <w:r>
              <w:rPr>
                <w:rFonts w:hint="eastAsia"/>
                <w:bCs/>
                <w:color w:val="auto"/>
                <w:sz w:val="24"/>
                <w:szCs w:val="32"/>
                <w:highlight w:val="none"/>
                <w:lang w:val="en-US" w:eastAsia="zh-CN"/>
              </w:rPr>
              <w:t>）；本项目所在厂房东侧隔厂内便道为</w:t>
            </w:r>
            <w:r>
              <w:rPr>
                <w:rFonts w:hint="eastAsia"/>
                <w:bCs/>
                <w:color w:val="auto"/>
                <w:sz w:val="24"/>
                <w:szCs w:val="32"/>
                <w:highlight w:val="none"/>
              </w:rPr>
              <w:t>陕西力拓重工机械有限公司</w:t>
            </w:r>
            <w:r>
              <w:rPr>
                <w:rFonts w:hint="eastAsia"/>
                <w:bCs/>
                <w:color w:val="auto"/>
                <w:sz w:val="24"/>
                <w:szCs w:val="32"/>
                <w:highlight w:val="none"/>
                <w:lang w:val="en-US" w:eastAsia="zh-CN"/>
              </w:rPr>
              <w:t>北围墙、南侧隔厂内便道为</w:t>
            </w:r>
            <w:r>
              <w:rPr>
                <w:rFonts w:hint="eastAsia"/>
                <w:bCs/>
                <w:color w:val="auto"/>
                <w:sz w:val="24"/>
                <w:szCs w:val="32"/>
                <w:highlight w:val="none"/>
              </w:rPr>
              <w:t>陕西力拓重工机械有限公司</w:t>
            </w:r>
            <w:r>
              <w:rPr>
                <w:rFonts w:hint="eastAsia"/>
                <w:bCs/>
                <w:color w:val="auto"/>
                <w:sz w:val="24"/>
                <w:szCs w:val="32"/>
                <w:highlight w:val="none"/>
                <w:lang w:val="en-US" w:eastAsia="zh-CN"/>
              </w:rPr>
              <w:t>南围墙、西侧隔厂内便道为</w:t>
            </w:r>
            <w:r>
              <w:rPr>
                <w:rFonts w:hint="eastAsia"/>
                <w:bCs/>
                <w:color w:val="auto"/>
                <w:sz w:val="24"/>
                <w:szCs w:val="32"/>
                <w:highlight w:val="none"/>
              </w:rPr>
              <w:t>陕西力拓重工机械有限公司</w:t>
            </w:r>
            <w:r>
              <w:rPr>
                <w:rFonts w:hint="eastAsia"/>
                <w:bCs/>
                <w:color w:val="auto"/>
                <w:sz w:val="24"/>
                <w:szCs w:val="32"/>
                <w:highlight w:val="none"/>
                <w:lang w:val="en-US" w:eastAsia="zh-CN"/>
              </w:rPr>
              <w:t>西围墙、北侧为</w:t>
            </w:r>
            <w:r>
              <w:rPr>
                <w:rFonts w:hint="eastAsia"/>
                <w:bCs/>
                <w:color w:val="auto"/>
                <w:sz w:val="24"/>
                <w:szCs w:val="32"/>
                <w:highlight w:val="none"/>
              </w:rPr>
              <w:t>陕西力拓重工机械有限公司</w:t>
            </w:r>
            <w:r>
              <w:rPr>
                <w:rFonts w:hint="eastAsia"/>
                <w:bCs/>
                <w:color w:val="auto"/>
                <w:sz w:val="24"/>
                <w:szCs w:val="32"/>
                <w:highlight w:val="none"/>
                <w:lang w:val="en-US" w:eastAsia="zh-CN"/>
              </w:rPr>
              <w:t>空置厂房；陕西力拓重工机械有限公司东、北侧均与隆基乐叶光伏科技（西咸新区）有限公司紧邻、南侧为空地、西侧隔原点西二路为温商高端制造产业园</w:t>
            </w:r>
            <w:r>
              <w:rPr>
                <w:rFonts w:hint="eastAsia"/>
                <w:bCs/>
                <w:color w:val="auto"/>
                <w:sz w:val="24"/>
                <w:szCs w:val="32"/>
                <w:highlight w:val="none"/>
              </w:rPr>
              <w:t>。</w:t>
            </w:r>
            <w:r>
              <w:rPr>
                <w:rFonts w:hint="eastAsia"/>
                <w:bCs/>
                <w:color w:val="auto"/>
                <w:sz w:val="24"/>
                <w:szCs w:val="32"/>
                <w:highlight w:val="none"/>
                <w:lang w:val="en-US" w:eastAsia="zh-CN"/>
              </w:rPr>
              <w:t>陕西力拓重工机械有限公司平面布置图见附图2，本项目所租赁车间平面布置图见附图3，项目四邻关系图见附图4.</w:t>
            </w:r>
          </w:p>
          <w:p w14:paraId="27B98928">
            <w:pPr>
              <w:spacing w:line="360" w:lineRule="auto"/>
              <w:ind w:firstLine="480" w:firstLineChars="200"/>
              <w:rPr>
                <w:color w:val="auto"/>
                <w:sz w:val="24"/>
                <w:szCs w:val="32"/>
                <w:highlight w:val="none"/>
              </w:rPr>
            </w:pPr>
            <w:r>
              <w:rPr>
                <w:rFonts w:hint="eastAsia"/>
                <w:color w:val="auto"/>
                <w:kern w:val="0"/>
                <w:sz w:val="24"/>
                <w:szCs w:val="32"/>
                <w:highlight w:val="none"/>
              </w:rPr>
              <w:t>项目所在地</w:t>
            </w:r>
            <w:r>
              <w:rPr>
                <w:color w:val="auto"/>
                <w:kern w:val="0"/>
                <w:sz w:val="24"/>
                <w:szCs w:val="32"/>
                <w:highlight w:val="none"/>
              </w:rPr>
              <w:t>附近无</w:t>
            </w:r>
            <w:r>
              <w:rPr>
                <w:color w:val="auto"/>
                <w:sz w:val="24"/>
                <w:szCs w:val="32"/>
                <w:highlight w:val="none"/>
              </w:rPr>
              <w:t>饮用水源保护区、风景名胜区、自然保护区和其他需要特别保护的区域，不存在环境制约因素。</w:t>
            </w:r>
            <w:r>
              <w:rPr>
                <w:bCs/>
                <w:color w:val="auto"/>
                <w:sz w:val="24"/>
                <w:szCs w:val="32"/>
                <w:highlight w:val="none"/>
              </w:rPr>
              <w:t>在严格落实评价中提出的各项污染防治措施，加强环保设施的运行维护和管理，并落实环境风险防范措施后，项目废气、废水、噪声、固体废物均可长期稳定达标排放或妥善处置，环境风险可接受，对周围环境影响较小，</w:t>
            </w:r>
            <w:r>
              <w:rPr>
                <w:color w:val="auto"/>
                <w:sz w:val="24"/>
                <w:szCs w:val="32"/>
                <w:highlight w:val="none"/>
              </w:rPr>
              <w:t>不会改变评价区现有环境功能，对周围环境保护目标的影响可接受。</w:t>
            </w:r>
          </w:p>
          <w:p w14:paraId="3875CBFF">
            <w:pPr>
              <w:spacing w:line="360" w:lineRule="auto"/>
              <w:ind w:firstLine="480" w:firstLineChars="200"/>
              <w:rPr>
                <w:color w:val="auto"/>
                <w:sz w:val="24"/>
                <w:szCs w:val="32"/>
                <w:highlight w:val="none"/>
              </w:rPr>
            </w:pPr>
            <w:r>
              <w:rPr>
                <w:color w:val="auto"/>
                <w:sz w:val="24"/>
                <w:szCs w:val="32"/>
                <w:highlight w:val="none"/>
              </w:rPr>
              <w:t>综上，从环境影响的角度分析，项目选址合理可行。</w:t>
            </w:r>
          </w:p>
          <w:p w14:paraId="4323CD30">
            <w:pPr>
              <w:spacing w:line="360" w:lineRule="auto"/>
              <w:ind w:firstLine="480" w:firstLineChars="200"/>
              <w:rPr>
                <w:color w:val="auto"/>
                <w:sz w:val="24"/>
                <w:szCs w:val="32"/>
                <w:highlight w:val="none"/>
              </w:rPr>
            </w:pPr>
          </w:p>
          <w:p w14:paraId="3A3D2A17">
            <w:pPr>
              <w:spacing w:line="360" w:lineRule="auto"/>
              <w:ind w:firstLine="480" w:firstLineChars="200"/>
              <w:rPr>
                <w:color w:val="auto"/>
                <w:sz w:val="24"/>
                <w:szCs w:val="32"/>
                <w:highlight w:val="none"/>
              </w:rPr>
            </w:pPr>
          </w:p>
          <w:p w14:paraId="404D50CB">
            <w:pPr>
              <w:spacing w:line="360" w:lineRule="auto"/>
              <w:ind w:firstLine="480" w:firstLineChars="200"/>
              <w:rPr>
                <w:color w:val="auto"/>
                <w:sz w:val="24"/>
                <w:szCs w:val="32"/>
                <w:highlight w:val="none"/>
              </w:rPr>
            </w:pPr>
          </w:p>
          <w:p w14:paraId="05E93D32">
            <w:pPr>
              <w:pStyle w:val="11"/>
              <w:rPr>
                <w:color w:val="auto"/>
                <w:sz w:val="24"/>
                <w:szCs w:val="32"/>
                <w:highlight w:val="none"/>
              </w:rPr>
            </w:pPr>
          </w:p>
          <w:p w14:paraId="3D5FC72D">
            <w:pPr>
              <w:pStyle w:val="11"/>
              <w:rPr>
                <w:color w:val="auto"/>
                <w:sz w:val="24"/>
                <w:szCs w:val="32"/>
                <w:highlight w:val="none"/>
              </w:rPr>
            </w:pPr>
          </w:p>
          <w:p w14:paraId="19E16E88">
            <w:pPr>
              <w:pStyle w:val="11"/>
              <w:rPr>
                <w:color w:val="auto"/>
                <w:sz w:val="24"/>
                <w:szCs w:val="32"/>
                <w:highlight w:val="none"/>
              </w:rPr>
            </w:pPr>
          </w:p>
          <w:p w14:paraId="638817C6">
            <w:pPr>
              <w:pStyle w:val="11"/>
              <w:rPr>
                <w:color w:val="auto"/>
                <w:sz w:val="24"/>
                <w:szCs w:val="32"/>
                <w:highlight w:val="none"/>
              </w:rPr>
            </w:pPr>
          </w:p>
          <w:p w14:paraId="04BB727D">
            <w:pPr>
              <w:autoSpaceDE w:val="0"/>
              <w:autoSpaceDN w:val="0"/>
              <w:rPr>
                <w:rFonts w:ascii="宋体" w:hAnsi="宋体" w:cs="宋体"/>
                <w:color w:val="auto"/>
                <w:kern w:val="0"/>
                <w:szCs w:val="21"/>
                <w:highlight w:val="none"/>
              </w:rPr>
            </w:pPr>
          </w:p>
        </w:tc>
      </w:tr>
    </w:tbl>
    <w:p w14:paraId="75C3B6EB">
      <w:pPr>
        <w:spacing w:line="360" w:lineRule="auto"/>
        <w:outlineLvl w:val="0"/>
        <w:rPr>
          <w:rFonts w:eastAsia="黑体"/>
          <w:color w:val="auto"/>
          <w:sz w:val="30"/>
          <w:highlight w:val="none"/>
        </w:rPr>
        <w:sectPr>
          <w:pgSz w:w="11906" w:h="16838"/>
          <w:pgMar w:top="1701" w:right="1531" w:bottom="1701" w:left="1531" w:header="851" w:footer="1077" w:gutter="0"/>
          <w:cols w:space="720" w:num="1"/>
          <w:docGrid w:linePitch="312" w:charSpace="0"/>
        </w:sectPr>
      </w:pPr>
    </w:p>
    <w:p w14:paraId="68A2F110">
      <w:pPr>
        <w:pStyle w:val="21"/>
        <w:jc w:val="center"/>
        <w:outlineLvl w:val="0"/>
        <w:rPr>
          <w:color w:val="auto"/>
          <w:highlight w:val="none"/>
        </w:rPr>
      </w:pPr>
      <w:r>
        <w:rPr>
          <w:rFonts w:hint="eastAsia" w:ascii="黑体" w:hAnsi="黑体" w:eastAsia="黑体"/>
          <w:snapToGrid w:val="0"/>
          <w:color w:val="auto"/>
          <w:sz w:val="30"/>
          <w:szCs w:val="30"/>
          <w:highlight w:val="none"/>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5EAE0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5" w:hRule="atLeast"/>
          <w:jc w:val="center"/>
        </w:trPr>
        <w:tc>
          <w:tcPr>
            <w:tcW w:w="823" w:type="dxa"/>
            <w:noWrap w:val="0"/>
            <w:vAlign w:val="center"/>
          </w:tcPr>
          <w:p w14:paraId="78E16BCF">
            <w:pPr>
              <w:pStyle w:val="21"/>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161" w:type="dxa"/>
            <w:noWrap w:val="0"/>
            <w:vAlign w:val="top"/>
          </w:tcPr>
          <w:p w14:paraId="1DF31C4F">
            <w:pPr>
              <w:pStyle w:val="7"/>
              <w:ind w:firstLine="482"/>
              <w:rPr>
                <w:b/>
                <w:bCs/>
                <w:color w:val="auto"/>
                <w:szCs w:val="21"/>
                <w:highlight w:val="none"/>
              </w:rPr>
            </w:pPr>
            <w:r>
              <w:rPr>
                <w:rFonts w:hint="eastAsia"/>
                <w:b/>
                <w:bCs/>
                <w:color w:val="auto"/>
                <w:szCs w:val="21"/>
                <w:highlight w:val="none"/>
              </w:rPr>
              <w:t>1、项目由来</w:t>
            </w:r>
          </w:p>
          <w:p w14:paraId="282BCD27">
            <w:pPr>
              <w:spacing w:line="360" w:lineRule="auto"/>
              <w:ind w:firstLine="480" w:firstLineChars="200"/>
              <w:rPr>
                <w:bCs/>
                <w:color w:val="auto"/>
                <w:sz w:val="24"/>
                <w:highlight w:val="none"/>
              </w:rPr>
            </w:pPr>
            <w:r>
              <w:rPr>
                <w:rFonts w:hint="eastAsia"/>
                <w:bCs/>
                <w:color w:val="auto"/>
                <w:sz w:val="24"/>
                <w:highlight w:val="none"/>
                <w:lang w:val="en-US" w:eastAsia="zh-CN"/>
              </w:rPr>
              <w:t>陕西中昊永欣科技有限公司成立于2023年7月，位于陕西省西咸新区泾河新城原点西二路，主要从事铝碳化硅/金刚石复合材料制造，公司租赁陕西力拓重工机械有限公司现有空置三号厂房新建</w:t>
            </w:r>
            <w:r>
              <w:rPr>
                <w:rFonts w:hint="eastAsia"/>
                <w:bCs/>
                <w:color w:val="auto"/>
                <w:sz w:val="24"/>
                <w:highlight w:val="none"/>
              </w:rPr>
              <w:t>铝碳化硅/金刚石复合材料项目</w:t>
            </w:r>
            <w:r>
              <w:rPr>
                <w:rFonts w:hint="eastAsia"/>
                <w:bCs/>
                <w:color w:val="auto"/>
                <w:sz w:val="24"/>
                <w:highlight w:val="none"/>
                <w:lang w:eastAsia="zh-CN"/>
              </w:rPr>
              <w:t>。</w:t>
            </w:r>
            <w:r>
              <w:rPr>
                <w:rFonts w:hint="eastAsia"/>
                <w:bCs/>
                <w:color w:val="auto"/>
                <w:sz w:val="24"/>
                <w:highlight w:val="none"/>
                <w:lang w:val="en-US" w:eastAsia="zh-CN"/>
              </w:rPr>
              <w:t>陕西力拓重工机械有限公司现有空置三号厂房原先布设采煤机、挖进机配件生产线，后因市场供需关系进行了产能调整，三号厂房自2022年至今一直空置。</w:t>
            </w:r>
            <w:r>
              <w:rPr>
                <w:rFonts w:hint="eastAsia"/>
                <w:bCs/>
                <w:color w:val="auto"/>
                <w:sz w:val="24"/>
                <w:highlight w:val="none"/>
                <w:lang w:val="en-US" w:eastAsia="zh-CN"/>
              </w:rPr>
              <w:t>本项目建设内容包括：1条铝碳化硅/金刚石复合材料散热片生产线以及相关配套设施。</w:t>
            </w:r>
          </w:p>
          <w:p w14:paraId="6BD93466">
            <w:pPr>
              <w:pStyle w:val="7"/>
              <w:ind w:firstLine="482"/>
              <w:rPr>
                <w:rFonts w:hint="eastAsia"/>
                <w:b/>
                <w:bCs/>
                <w:color w:val="auto"/>
                <w:szCs w:val="21"/>
                <w:highlight w:val="none"/>
              </w:rPr>
            </w:pPr>
            <w:r>
              <w:rPr>
                <w:rFonts w:hint="eastAsia"/>
                <w:b/>
                <w:bCs/>
                <w:color w:val="auto"/>
                <w:szCs w:val="21"/>
                <w:highlight w:val="none"/>
              </w:rPr>
              <w:t>2、项目概况</w:t>
            </w:r>
          </w:p>
          <w:p w14:paraId="119C65CA">
            <w:pPr>
              <w:spacing w:line="360" w:lineRule="auto"/>
              <w:ind w:firstLine="480" w:firstLineChars="200"/>
              <w:rPr>
                <w:bCs/>
                <w:color w:val="auto"/>
                <w:sz w:val="24"/>
                <w:highlight w:val="none"/>
              </w:rPr>
            </w:pPr>
            <w:r>
              <w:rPr>
                <w:bCs/>
                <w:color w:val="auto"/>
                <w:sz w:val="24"/>
                <w:highlight w:val="none"/>
              </w:rPr>
              <w:t>项目名称：</w:t>
            </w:r>
            <w:r>
              <w:rPr>
                <w:rFonts w:hint="eastAsia"/>
                <w:bCs/>
                <w:color w:val="auto"/>
                <w:sz w:val="24"/>
                <w:highlight w:val="none"/>
              </w:rPr>
              <w:t>铝碳化硅/金刚石复合材料项目</w:t>
            </w:r>
          </w:p>
          <w:p w14:paraId="02391706">
            <w:pPr>
              <w:spacing w:line="360" w:lineRule="auto"/>
              <w:ind w:firstLine="480" w:firstLineChars="200"/>
              <w:rPr>
                <w:bCs/>
                <w:color w:val="auto"/>
                <w:sz w:val="24"/>
                <w:highlight w:val="none"/>
              </w:rPr>
            </w:pPr>
            <w:r>
              <w:rPr>
                <w:bCs/>
                <w:color w:val="auto"/>
                <w:sz w:val="24"/>
                <w:highlight w:val="none"/>
              </w:rPr>
              <w:t>建设单位：</w:t>
            </w:r>
            <w:r>
              <w:rPr>
                <w:rFonts w:hint="eastAsia"/>
                <w:bCs/>
                <w:color w:val="auto"/>
                <w:sz w:val="24"/>
                <w:highlight w:val="none"/>
              </w:rPr>
              <w:t>陕西中昊永欣科技有限公司</w:t>
            </w:r>
          </w:p>
          <w:p w14:paraId="078E37A7">
            <w:pPr>
              <w:spacing w:line="360" w:lineRule="auto"/>
              <w:ind w:firstLine="480" w:firstLineChars="200"/>
              <w:rPr>
                <w:rFonts w:hint="eastAsia"/>
                <w:bCs/>
                <w:color w:val="auto"/>
                <w:sz w:val="24"/>
                <w:highlight w:val="none"/>
              </w:rPr>
            </w:pPr>
            <w:r>
              <w:rPr>
                <w:bCs/>
                <w:color w:val="auto"/>
                <w:sz w:val="24"/>
                <w:highlight w:val="none"/>
              </w:rPr>
              <w:t>建设性质：</w:t>
            </w:r>
            <w:r>
              <w:rPr>
                <w:rFonts w:hint="eastAsia"/>
                <w:bCs/>
                <w:color w:val="auto"/>
                <w:sz w:val="24"/>
                <w:highlight w:val="none"/>
              </w:rPr>
              <w:t>新建</w:t>
            </w:r>
          </w:p>
          <w:p w14:paraId="178943FC">
            <w:pPr>
              <w:spacing w:line="360" w:lineRule="auto"/>
              <w:ind w:firstLine="480" w:firstLineChars="200"/>
              <w:rPr>
                <w:bCs/>
                <w:color w:val="auto"/>
                <w:sz w:val="24"/>
                <w:highlight w:val="none"/>
              </w:rPr>
            </w:pPr>
            <w:r>
              <w:rPr>
                <w:rFonts w:hint="eastAsia"/>
                <w:bCs/>
                <w:color w:val="auto"/>
                <w:sz w:val="24"/>
                <w:highlight w:val="none"/>
              </w:rPr>
              <w:t>占地</w:t>
            </w:r>
            <w:r>
              <w:rPr>
                <w:bCs/>
                <w:color w:val="auto"/>
                <w:sz w:val="24"/>
                <w:highlight w:val="none"/>
              </w:rPr>
              <w:t>面积</w:t>
            </w:r>
            <w:r>
              <w:rPr>
                <w:rFonts w:hint="eastAsia"/>
                <w:bCs/>
                <w:color w:val="auto"/>
                <w:sz w:val="24"/>
                <w:highlight w:val="none"/>
              </w:rPr>
              <w:t>：</w:t>
            </w:r>
            <w:r>
              <w:rPr>
                <w:rFonts w:hint="eastAsia"/>
                <w:bCs/>
                <w:color w:val="auto"/>
                <w:sz w:val="24"/>
                <w:highlight w:val="none"/>
                <w:lang w:val="en-US" w:eastAsia="zh-CN"/>
              </w:rPr>
              <w:t>1500</w:t>
            </w:r>
            <w:r>
              <w:rPr>
                <w:rFonts w:hint="eastAsia"/>
                <w:bCs/>
                <w:color w:val="auto"/>
                <w:sz w:val="24"/>
                <w:highlight w:val="none"/>
              </w:rPr>
              <w:t>m</w:t>
            </w:r>
            <w:r>
              <w:rPr>
                <w:rFonts w:hint="eastAsia"/>
                <w:bCs/>
                <w:color w:val="auto"/>
                <w:sz w:val="24"/>
                <w:highlight w:val="none"/>
                <w:vertAlign w:val="superscript"/>
              </w:rPr>
              <w:t>2</w:t>
            </w:r>
          </w:p>
          <w:p w14:paraId="24E783AC">
            <w:pPr>
              <w:spacing w:line="360" w:lineRule="auto"/>
              <w:ind w:firstLine="480" w:firstLineChars="200"/>
              <w:rPr>
                <w:bCs/>
                <w:color w:val="auto"/>
                <w:sz w:val="24"/>
                <w:highlight w:val="none"/>
              </w:rPr>
            </w:pPr>
            <w:r>
              <w:rPr>
                <w:bCs/>
                <w:color w:val="auto"/>
                <w:sz w:val="24"/>
                <w:highlight w:val="none"/>
              </w:rPr>
              <w:t>建设地点：陕西省西咸新区</w:t>
            </w:r>
            <w:r>
              <w:rPr>
                <w:rFonts w:hint="eastAsia"/>
                <w:bCs/>
                <w:color w:val="auto"/>
                <w:sz w:val="24"/>
                <w:highlight w:val="none"/>
              </w:rPr>
              <w:t>泾河新城原点西二路陕西力拓重工机械有限公司三号厂房</w:t>
            </w:r>
            <w:r>
              <w:rPr>
                <w:bCs/>
                <w:color w:val="auto"/>
                <w:sz w:val="24"/>
                <w:highlight w:val="none"/>
              </w:rPr>
              <w:t>，中心位置地理坐标为东经</w:t>
            </w:r>
            <w:r>
              <w:rPr>
                <w:rFonts w:hint="eastAsia"/>
                <w:bCs/>
                <w:color w:val="auto"/>
                <w:sz w:val="24"/>
                <w:highlight w:val="none"/>
              </w:rPr>
              <w:t>108度54分38.868秒</w:t>
            </w:r>
            <w:r>
              <w:rPr>
                <w:bCs/>
                <w:color w:val="auto"/>
                <w:sz w:val="24"/>
                <w:highlight w:val="none"/>
              </w:rPr>
              <w:t>，北纬</w:t>
            </w:r>
            <w:r>
              <w:rPr>
                <w:rFonts w:hint="eastAsia"/>
                <w:bCs/>
                <w:color w:val="auto"/>
                <w:sz w:val="24"/>
                <w:highlight w:val="none"/>
              </w:rPr>
              <w:t>34度31分56.615秒</w:t>
            </w:r>
            <w:r>
              <w:rPr>
                <w:rFonts w:hint="eastAsia"/>
                <w:bCs/>
                <w:color w:val="auto"/>
                <w:sz w:val="24"/>
                <w:highlight w:val="none"/>
                <w:lang w:eastAsia="zh-CN"/>
              </w:rPr>
              <w:t>。</w:t>
            </w:r>
            <w:r>
              <w:rPr>
                <w:rFonts w:hint="eastAsia"/>
                <w:bCs/>
                <w:color w:val="auto"/>
                <w:sz w:val="24"/>
                <w:highlight w:val="none"/>
                <w:lang w:val="en-US" w:eastAsia="zh-CN"/>
              </w:rPr>
              <w:t>项目地理位置图见附图1。</w:t>
            </w:r>
          </w:p>
          <w:p w14:paraId="7B61705D">
            <w:pPr>
              <w:pStyle w:val="7"/>
              <w:ind w:firstLine="482"/>
              <w:rPr>
                <w:color w:val="auto"/>
                <w:highlight w:val="none"/>
              </w:rPr>
            </w:pPr>
            <w:r>
              <w:rPr>
                <w:rFonts w:hint="eastAsia"/>
                <w:b/>
                <w:bCs/>
                <w:color w:val="auto"/>
                <w:szCs w:val="21"/>
                <w:highlight w:val="none"/>
              </w:rPr>
              <w:t>3、项目组成</w:t>
            </w:r>
          </w:p>
          <w:p w14:paraId="70D749D9">
            <w:pPr>
              <w:pStyle w:val="7"/>
              <w:ind w:firstLine="480"/>
              <w:rPr>
                <w:b/>
                <w:color w:val="auto"/>
                <w:highlight w:val="none"/>
              </w:rPr>
            </w:pPr>
            <w:r>
              <w:rPr>
                <w:rFonts w:hint="eastAsia"/>
                <w:bCs/>
                <w:color w:val="auto"/>
                <w:sz w:val="24"/>
                <w:highlight w:val="none"/>
              </w:rPr>
              <w:t>陕西中昊永欣科技有限公司</w:t>
            </w:r>
            <w:r>
              <w:rPr>
                <w:rFonts w:hint="eastAsia"/>
                <w:bCs/>
                <w:color w:val="auto"/>
                <w:sz w:val="24"/>
                <w:highlight w:val="none"/>
                <w:lang w:val="en-US" w:eastAsia="zh-CN"/>
              </w:rPr>
              <w:t>租赁陕西力拓重工机械有限公司现有空置三号厂房1500m</w:t>
            </w:r>
            <w:r>
              <w:rPr>
                <w:rFonts w:hint="eastAsia"/>
                <w:bCs/>
                <w:color w:val="auto"/>
                <w:sz w:val="24"/>
                <w:highlight w:val="none"/>
                <w:vertAlign w:val="superscript"/>
                <w:lang w:val="en-US" w:eastAsia="zh-CN"/>
              </w:rPr>
              <w:t>2</w:t>
            </w:r>
            <w:r>
              <w:rPr>
                <w:rFonts w:hint="eastAsia"/>
                <w:bCs/>
                <w:color w:val="auto"/>
                <w:sz w:val="24"/>
                <w:highlight w:val="none"/>
                <w:lang w:val="en-US" w:eastAsia="zh-CN"/>
              </w:rPr>
              <w:t>，新建1条铝碳化硅/金刚石复合材料散热片生产线以及相关配套设施，建成后年产铝碳化硅/金刚石复合材料散热片30万件，主要应用于航空航天精密仪器及大功率电子封装领域。</w:t>
            </w:r>
          </w:p>
          <w:p w14:paraId="15D03097">
            <w:pPr>
              <w:jc w:val="center"/>
              <w:rPr>
                <w:b/>
                <w:color w:val="auto"/>
                <w:sz w:val="24"/>
                <w:highlight w:val="none"/>
              </w:rPr>
            </w:pPr>
            <w:r>
              <w:rPr>
                <w:b/>
                <w:color w:val="auto"/>
                <w:sz w:val="24"/>
                <w:highlight w:val="none"/>
              </w:rPr>
              <w:t>表2-1 项目组成情况一览表</w:t>
            </w:r>
          </w:p>
          <w:tbl>
            <w:tblPr>
              <w:tblStyle w:val="24"/>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651"/>
              <w:gridCol w:w="746"/>
              <w:gridCol w:w="705"/>
              <w:gridCol w:w="4137"/>
              <w:gridCol w:w="1015"/>
            </w:tblGrid>
            <w:tr w14:paraId="3F575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19" w:type="pct"/>
                  <w:shd w:val="clear" w:color="auto" w:fill="auto"/>
                  <w:noWrap w:val="0"/>
                  <w:vAlign w:val="center"/>
                </w:tcPr>
                <w:p w14:paraId="269D1073">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工程类别</w:t>
                  </w:r>
                </w:p>
              </w:tc>
              <w:tc>
                <w:tcPr>
                  <w:tcW w:w="882" w:type="pct"/>
                  <w:gridSpan w:val="2"/>
                  <w:shd w:val="clear" w:color="auto" w:fill="auto"/>
                  <w:noWrap w:val="0"/>
                  <w:vAlign w:val="center"/>
                </w:tcPr>
                <w:p w14:paraId="669DAEFD">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主要项目</w:t>
                  </w:r>
                </w:p>
              </w:tc>
              <w:tc>
                <w:tcPr>
                  <w:tcW w:w="3056" w:type="pct"/>
                  <w:gridSpan w:val="2"/>
                  <w:shd w:val="clear" w:color="auto" w:fill="auto"/>
                  <w:noWrap w:val="0"/>
                  <w:vAlign w:val="center"/>
                </w:tcPr>
                <w:p w14:paraId="29359F62">
                  <w:pPr>
                    <w:pStyle w:val="7"/>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建设内容</w:t>
                  </w:r>
                </w:p>
              </w:tc>
              <w:tc>
                <w:tcPr>
                  <w:tcW w:w="640" w:type="pct"/>
                  <w:shd w:val="clear" w:color="auto" w:fill="auto"/>
                  <w:noWrap w:val="0"/>
                  <w:vAlign w:val="center"/>
                </w:tcPr>
                <w:p w14:paraId="02AAC738">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备注</w:t>
                  </w:r>
                </w:p>
              </w:tc>
            </w:tr>
            <w:tr w14:paraId="61849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19" w:type="pct"/>
                  <w:shd w:val="clear" w:color="auto" w:fill="auto"/>
                  <w:noWrap w:val="0"/>
                  <w:vAlign w:val="center"/>
                </w:tcPr>
                <w:p w14:paraId="248C9B0B">
                  <w:pPr>
                    <w:pStyle w:val="7"/>
                    <w:spacing w:line="240" w:lineRule="auto"/>
                    <w:ind w:firstLine="0" w:firstLineChars="0"/>
                    <w:jc w:val="center"/>
                    <w:rPr>
                      <w:color w:val="auto"/>
                      <w:sz w:val="21"/>
                      <w:szCs w:val="21"/>
                      <w:highlight w:val="none"/>
                    </w:rPr>
                  </w:pPr>
                  <w:r>
                    <w:rPr>
                      <w:rFonts w:hint="eastAsia"/>
                      <w:color w:val="auto"/>
                      <w:sz w:val="21"/>
                      <w:szCs w:val="21"/>
                      <w:highlight w:val="none"/>
                    </w:rPr>
                    <w:t>主体工程</w:t>
                  </w:r>
                </w:p>
              </w:tc>
              <w:tc>
                <w:tcPr>
                  <w:tcW w:w="882" w:type="pct"/>
                  <w:gridSpan w:val="2"/>
                  <w:shd w:val="clear" w:color="auto" w:fill="auto"/>
                  <w:noWrap w:val="0"/>
                  <w:vAlign w:val="center"/>
                </w:tcPr>
                <w:p w14:paraId="7BC864FB">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生产车间</w:t>
                  </w:r>
                </w:p>
              </w:tc>
              <w:tc>
                <w:tcPr>
                  <w:tcW w:w="3056" w:type="pct"/>
                  <w:gridSpan w:val="2"/>
                  <w:shd w:val="clear" w:color="auto" w:fill="auto"/>
                  <w:noWrap w:val="0"/>
                  <w:vAlign w:val="center"/>
                </w:tcPr>
                <w:p w14:paraId="7D335E7A">
                  <w:pPr>
                    <w:pStyle w:val="7"/>
                    <w:spacing w:line="240" w:lineRule="auto"/>
                    <w:ind w:firstLine="0" w:firstLineChars="0"/>
                    <w:rPr>
                      <w:color w:val="auto"/>
                      <w:sz w:val="21"/>
                      <w:szCs w:val="21"/>
                      <w:highlight w:val="none"/>
                    </w:rPr>
                  </w:pPr>
                  <w:r>
                    <w:rPr>
                      <w:rFonts w:hint="eastAsia"/>
                      <w:color w:val="auto"/>
                      <w:sz w:val="21"/>
                      <w:szCs w:val="21"/>
                      <w:highlight w:val="none"/>
                      <w:lang w:val="en-US" w:eastAsia="zh-CN"/>
                    </w:rPr>
                    <w:t>本项目租赁陕西力拓重工机械有限公司空置三号厂房内南部车间新建铝碳化硅/金刚石复合材料项目，</w:t>
                  </w:r>
                  <w:r>
                    <w:rPr>
                      <w:rFonts w:hint="eastAsia"/>
                      <w:color w:val="auto"/>
                      <w:sz w:val="21"/>
                      <w:szCs w:val="21"/>
                      <w:highlight w:val="none"/>
                      <w:lang w:val="en-US" w:eastAsia="zh-CN"/>
                    </w:rPr>
                    <w:t>建筑面积1470m</w:t>
                  </w:r>
                  <w:r>
                    <w:rPr>
                      <w:rFonts w:hint="eastAsia"/>
                      <w:color w:val="auto"/>
                      <w:sz w:val="21"/>
                      <w:szCs w:val="21"/>
                      <w:highlight w:val="none"/>
                      <w:vertAlign w:val="superscript"/>
                      <w:lang w:val="en-US" w:eastAsia="zh-CN"/>
                    </w:rPr>
                    <w:t>2</w:t>
                  </w:r>
                  <w:r>
                    <w:rPr>
                      <w:color w:val="auto"/>
                      <w:sz w:val="21"/>
                      <w:szCs w:val="21"/>
                      <w:highlight w:val="none"/>
                    </w:rPr>
                    <w:t>，</w:t>
                  </w:r>
                  <w:r>
                    <w:rPr>
                      <w:rFonts w:hint="eastAsia"/>
                      <w:color w:val="auto"/>
                      <w:sz w:val="21"/>
                      <w:szCs w:val="21"/>
                      <w:highlight w:val="none"/>
                    </w:rPr>
                    <w:t>高</w:t>
                  </w:r>
                  <w:r>
                    <w:rPr>
                      <w:rFonts w:hint="eastAsia"/>
                      <w:color w:val="auto"/>
                      <w:sz w:val="21"/>
                      <w:szCs w:val="21"/>
                      <w:highlight w:val="none"/>
                      <w:lang w:val="en-US" w:eastAsia="zh-CN"/>
                    </w:rPr>
                    <w:t>13.5</w:t>
                  </w:r>
                  <w:r>
                    <w:rPr>
                      <w:rFonts w:hint="eastAsia"/>
                      <w:color w:val="auto"/>
                      <w:sz w:val="21"/>
                      <w:szCs w:val="21"/>
                      <w:highlight w:val="none"/>
                    </w:rPr>
                    <w:t>m</w:t>
                  </w:r>
                  <w:r>
                    <w:rPr>
                      <w:rFonts w:hint="eastAsia"/>
                      <w:color w:val="auto"/>
                      <w:sz w:val="21"/>
                      <w:szCs w:val="21"/>
                      <w:highlight w:val="none"/>
                      <w:lang w:eastAsia="zh-CN"/>
                    </w:rPr>
                    <w:t>，</w:t>
                  </w:r>
                  <w:r>
                    <w:rPr>
                      <w:rFonts w:hint="eastAsia"/>
                      <w:color w:val="auto"/>
                      <w:sz w:val="21"/>
                      <w:szCs w:val="21"/>
                      <w:highlight w:val="none"/>
                      <w:lang w:val="en-US" w:eastAsia="zh-CN"/>
                    </w:rPr>
                    <w:t>主要设置1条铝碳化硅/金刚石复合材料散热片生产线。布设包括搅拌罐、三维运动</w:t>
                  </w:r>
                  <w:r>
                    <w:rPr>
                      <w:rFonts w:hint="eastAsia"/>
                      <w:color w:val="auto"/>
                      <w:sz w:val="21"/>
                      <w:szCs w:val="21"/>
                      <w:highlight w:val="none"/>
                      <w:lang w:val="en-US" w:eastAsia="zh-CN"/>
                    </w:rPr>
                    <w:t>混料机</w:t>
                  </w:r>
                  <w:r>
                    <w:rPr>
                      <w:rFonts w:hint="eastAsia"/>
                      <w:color w:val="auto"/>
                      <w:sz w:val="21"/>
                      <w:szCs w:val="21"/>
                      <w:highlight w:val="none"/>
                      <w:lang w:val="en-US" w:eastAsia="zh-CN"/>
                    </w:rPr>
                    <w:t>、热风循环烘箱、高速混合机、球磨机、电阻炉、井式加热炉、空压机、箱式电阻炉、液压机等等设备以及相关配套设施。</w:t>
                  </w:r>
                </w:p>
              </w:tc>
              <w:tc>
                <w:tcPr>
                  <w:tcW w:w="640" w:type="pct"/>
                  <w:vMerge w:val="restart"/>
                  <w:shd w:val="clear" w:color="auto" w:fill="auto"/>
                  <w:noWrap w:val="0"/>
                  <w:vAlign w:val="center"/>
                </w:tcPr>
                <w:p w14:paraId="37C24E4B">
                  <w:pPr>
                    <w:pStyle w:val="7"/>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租赁已建成厂房</w:t>
                  </w:r>
                </w:p>
              </w:tc>
            </w:tr>
            <w:tr w14:paraId="2C86E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restart"/>
                  <w:shd w:val="clear" w:color="auto" w:fill="auto"/>
                  <w:noWrap w:val="0"/>
                  <w:vAlign w:val="center"/>
                </w:tcPr>
                <w:p w14:paraId="7AB28CB5">
                  <w:pPr>
                    <w:pStyle w:val="7"/>
                    <w:spacing w:line="240" w:lineRule="auto"/>
                    <w:ind w:firstLine="0" w:firstLineChars="0"/>
                    <w:jc w:val="center"/>
                    <w:rPr>
                      <w:color w:val="auto"/>
                      <w:sz w:val="21"/>
                      <w:szCs w:val="21"/>
                      <w:highlight w:val="none"/>
                    </w:rPr>
                  </w:pPr>
                  <w:r>
                    <w:rPr>
                      <w:rFonts w:hint="eastAsia"/>
                      <w:color w:val="auto"/>
                      <w:sz w:val="21"/>
                      <w:szCs w:val="21"/>
                      <w:highlight w:val="none"/>
                    </w:rPr>
                    <w:t>储运工程</w:t>
                  </w:r>
                </w:p>
              </w:tc>
              <w:tc>
                <w:tcPr>
                  <w:tcW w:w="882" w:type="pct"/>
                  <w:gridSpan w:val="2"/>
                  <w:shd w:val="clear" w:color="auto" w:fill="auto"/>
                  <w:noWrap w:val="0"/>
                  <w:vAlign w:val="center"/>
                </w:tcPr>
                <w:p w14:paraId="6751C872">
                  <w:pPr>
                    <w:pStyle w:val="7"/>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库房</w:t>
                  </w:r>
                </w:p>
              </w:tc>
              <w:tc>
                <w:tcPr>
                  <w:tcW w:w="3056" w:type="pct"/>
                  <w:gridSpan w:val="2"/>
                  <w:shd w:val="clear" w:color="auto" w:fill="auto"/>
                  <w:noWrap w:val="0"/>
                  <w:vAlign w:val="center"/>
                </w:tcPr>
                <w:p w14:paraId="2B5FE365">
                  <w:pPr>
                    <w:pStyle w:val="7"/>
                    <w:spacing w:line="240" w:lineRule="auto"/>
                    <w:ind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位于生产车间内东部，面积140m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，设置</w:t>
                  </w:r>
                  <w:r>
                    <w:rPr>
                      <w:rFonts w:hint="eastAsia"/>
                      <w:color w:val="auto"/>
                      <w:sz w:val="21"/>
                      <w:szCs w:val="21"/>
                      <w:highlight w:val="none"/>
                    </w:rPr>
                    <w:t>原</w:t>
                  </w:r>
                  <w:r>
                    <w:rPr>
                      <w:rFonts w:hint="eastAsia"/>
                      <w:color w:val="auto"/>
                      <w:sz w:val="21"/>
                      <w:szCs w:val="21"/>
                      <w:highlight w:val="none"/>
                      <w:lang w:val="en-US" w:eastAsia="zh-CN"/>
                    </w:rPr>
                    <w:t>辅料</w:t>
                  </w:r>
                  <w:r>
                    <w:rPr>
                      <w:rFonts w:hint="eastAsia"/>
                      <w:color w:val="auto"/>
                      <w:sz w:val="21"/>
                      <w:szCs w:val="21"/>
                      <w:highlight w:val="none"/>
                    </w:rPr>
                    <w:t>暂存区</w:t>
                  </w:r>
                  <w:r>
                    <w:rPr>
                      <w:rFonts w:hint="eastAsia"/>
                      <w:color w:val="auto"/>
                      <w:sz w:val="21"/>
                      <w:szCs w:val="21"/>
                      <w:highlight w:val="none"/>
                      <w:lang w:eastAsia="zh-CN"/>
                    </w:rPr>
                    <w:t>、</w:t>
                  </w:r>
                  <w:r>
                    <w:rPr>
                      <w:rFonts w:hint="eastAsia"/>
                      <w:color w:val="auto"/>
                      <w:sz w:val="21"/>
                      <w:szCs w:val="21"/>
                      <w:highlight w:val="none"/>
                    </w:rPr>
                    <w:t>成品暂存区</w:t>
                  </w:r>
                  <w:r>
                    <w:rPr>
                      <w:rFonts w:hint="eastAsia"/>
                      <w:color w:val="auto"/>
                      <w:sz w:val="21"/>
                      <w:szCs w:val="21"/>
                      <w:highlight w:val="none"/>
                      <w:lang w:eastAsia="zh-CN"/>
                    </w:rPr>
                    <w:t>、一般固废暂存区。</w:t>
                  </w:r>
                </w:p>
              </w:tc>
              <w:tc>
                <w:tcPr>
                  <w:tcW w:w="640" w:type="pct"/>
                  <w:vMerge w:val="continue"/>
                  <w:shd w:val="clear" w:color="auto" w:fill="auto"/>
                  <w:noWrap w:val="0"/>
                  <w:vAlign w:val="center"/>
                </w:tcPr>
                <w:p w14:paraId="1211576E">
                  <w:pPr>
                    <w:pStyle w:val="7"/>
                    <w:spacing w:line="240" w:lineRule="auto"/>
                    <w:ind w:firstLine="0" w:firstLineChars="0"/>
                    <w:jc w:val="center"/>
                    <w:rPr>
                      <w:color w:val="auto"/>
                      <w:sz w:val="21"/>
                      <w:szCs w:val="21"/>
                      <w:highlight w:val="none"/>
                    </w:rPr>
                  </w:pPr>
                </w:p>
              </w:tc>
            </w:tr>
            <w:tr w14:paraId="29BE2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44F2937B">
                  <w:pPr>
                    <w:pStyle w:val="7"/>
                    <w:spacing w:line="240" w:lineRule="auto"/>
                    <w:ind w:firstLine="0" w:firstLineChars="0"/>
                    <w:jc w:val="center"/>
                    <w:rPr>
                      <w:rFonts w:hint="eastAsia"/>
                      <w:color w:val="auto"/>
                      <w:sz w:val="21"/>
                      <w:szCs w:val="21"/>
                      <w:highlight w:val="none"/>
                    </w:rPr>
                  </w:pPr>
                </w:p>
              </w:tc>
              <w:tc>
                <w:tcPr>
                  <w:tcW w:w="882" w:type="pct"/>
                  <w:gridSpan w:val="2"/>
                  <w:shd w:val="clear" w:color="auto" w:fill="auto"/>
                  <w:noWrap w:val="0"/>
                  <w:vAlign w:val="center"/>
                </w:tcPr>
                <w:p w14:paraId="187CCC4E">
                  <w:pPr>
                    <w:pStyle w:val="7"/>
                    <w:spacing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原</w:t>
                  </w:r>
                  <w:r>
                    <w:rPr>
                      <w:rFonts w:hint="eastAsia"/>
                      <w:color w:val="auto"/>
                      <w:sz w:val="21"/>
                      <w:szCs w:val="21"/>
                      <w:highlight w:val="none"/>
                      <w:lang w:val="en-US" w:eastAsia="zh-CN"/>
                    </w:rPr>
                    <w:t>辅料</w:t>
                  </w:r>
                  <w:r>
                    <w:rPr>
                      <w:rFonts w:hint="eastAsia"/>
                      <w:color w:val="auto"/>
                      <w:sz w:val="21"/>
                      <w:szCs w:val="21"/>
                      <w:highlight w:val="none"/>
                    </w:rPr>
                    <w:t>暂存区</w:t>
                  </w:r>
                </w:p>
              </w:tc>
              <w:tc>
                <w:tcPr>
                  <w:tcW w:w="3056" w:type="pct"/>
                  <w:gridSpan w:val="2"/>
                  <w:shd w:val="clear" w:color="auto" w:fill="auto"/>
                  <w:noWrap w:val="0"/>
                  <w:vAlign w:val="center"/>
                </w:tcPr>
                <w:p w14:paraId="393CE362">
                  <w:pPr>
                    <w:pStyle w:val="7"/>
                    <w:spacing w:line="240" w:lineRule="auto"/>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位于库房内中部，</w:t>
                  </w:r>
                  <w:r>
                    <w:rPr>
                      <w:rFonts w:hint="eastAsia"/>
                      <w:color w:val="auto"/>
                      <w:sz w:val="21"/>
                      <w:szCs w:val="21"/>
                      <w:highlight w:val="none"/>
                      <w:lang w:val="en-US" w:eastAsia="zh-CN"/>
                    </w:rPr>
                    <w:t>面积70m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sz w:val="21"/>
                      <w:szCs w:val="21"/>
                      <w:highlight w:val="none"/>
                      <w:lang w:val="en-US" w:eastAsia="zh-CN"/>
                    </w:rPr>
                    <w:t>用于暂存原辅料。</w:t>
                  </w:r>
                </w:p>
              </w:tc>
              <w:tc>
                <w:tcPr>
                  <w:tcW w:w="640" w:type="pct"/>
                  <w:vMerge w:val="continue"/>
                  <w:shd w:val="clear" w:color="auto" w:fill="auto"/>
                  <w:noWrap w:val="0"/>
                  <w:vAlign w:val="center"/>
                </w:tcPr>
                <w:p w14:paraId="16C45F11">
                  <w:pPr>
                    <w:pStyle w:val="7"/>
                    <w:spacing w:line="240" w:lineRule="auto"/>
                    <w:ind w:firstLine="0" w:firstLineChars="0"/>
                    <w:jc w:val="center"/>
                    <w:rPr>
                      <w:color w:val="auto"/>
                      <w:sz w:val="21"/>
                      <w:szCs w:val="21"/>
                      <w:highlight w:val="none"/>
                    </w:rPr>
                  </w:pPr>
                </w:p>
              </w:tc>
            </w:tr>
            <w:tr w14:paraId="20BEC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228D656D">
                  <w:pPr>
                    <w:pStyle w:val="7"/>
                    <w:spacing w:line="240" w:lineRule="auto"/>
                    <w:ind w:firstLine="0" w:firstLineChars="0"/>
                    <w:jc w:val="center"/>
                    <w:rPr>
                      <w:rFonts w:hint="eastAsia"/>
                      <w:color w:val="auto"/>
                      <w:sz w:val="21"/>
                      <w:szCs w:val="21"/>
                      <w:highlight w:val="none"/>
                    </w:rPr>
                  </w:pPr>
                </w:p>
              </w:tc>
              <w:tc>
                <w:tcPr>
                  <w:tcW w:w="882" w:type="pct"/>
                  <w:gridSpan w:val="2"/>
                  <w:shd w:val="clear" w:color="auto" w:fill="auto"/>
                  <w:noWrap w:val="0"/>
                  <w:vAlign w:val="center"/>
                </w:tcPr>
                <w:p w14:paraId="4CEFD737">
                  <w:pPr>
                    <w:pStyle w:val="7"/>
                    <w:spacing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rPr>
                    <w:t>成品暂存区</w:t>
                  </w:r>
                </w:p>
              </w:tc>
              <w:tc>
                <w:tcPr>
                  <w:tcW w:w="3056" w:type="pct"/>
                  <w:gridSpan w:val="2"/>
                  <w:shd w:val="clear" w:color="auto" w:fill="auto"/>
                  <w:noWrap w:val="0"/>
                  <w:vAlign w:val="center"/>
                </w:tcPr>
                <w:p w14:paraId="503092FB">
                  <w:pPr>
                    <w:pStyle w:val="7"/>
                    <w:spacing w:line="240" w:lineRule="auto"/>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位于库房内南部，</w:t>
                  </w:r>
                  <w:r>
                    <w:rPr>
                      <w:rFonts w:hint="eastAsia"/>
                      <w:color w:val="auto"/>
                      <w:sz w:val="21"/>
                      <w:szCs w:val="21"/>
                      <w:highlight w:val="none"/>
                      <w:lang w:val="en-US" w:eastAsia="zh-CN"/>
                    </w:rPr>
                    <w:t>面积60m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sz w:val="21"/>
                      <w:szCs w:val="21"/>
                      <w:highlight w:val="none"/>
                      <w:lang w:val="en-US" w:eastAsia="zh-CN"/>
                    </w:rPr>
                    <w:t>用于</w:t>
                  </w:r>
                  <w:r>
                    <w:rPr>
                      <w:rFonts w:hint="eastAsia"/>
                      <w:color w:val="auto"/>
                      <w:sz w:val="21"/>
                      <w:szCs w:val="21"/>
                      <w:highlight w:val="none"/>
                      <w:lang w:val="en-US" w:eastAsia="zh-CN"/>
                    </w:rPr>
                    <w:t>暂存成品。</w:t>
                  </w:r>
                </w:p>
              </w:tc>
              <w:tc>
                <w:tcPr>
                  <w:tcW w:w="640" w:type="pct"/>
                  <w:vMerge w:val="continue"/>
                  <w:shd w:val="clear" w:color="auto" w:fill="auto"/>
                  <w:noWrap w:val="0"/>
                  <w:vAlign w:val="center"/>
                </w:tcPr>
                <w:p w14:paraId="556AFC89">
                  <w:pPr>
                    <w:pStyle w:val="7"/>
                    <w:spacing w:line="240" w:lineRule="auto"/>
                    <w:ind w:firstLine="0" w:firstLineChars="0"/>
                    <w:jc w:val="center"/>
                    <w:rPr>
                      <w:color w:val="auto"/>
                      <w:sz w:val="21"/>
                      <w:szCs w:val="21"/>
                      <w:highlight w:val="none"/>
                    </w:rPr>
                  </w:pPr>
                </w:p>
              </w:tc>
            </w:tr>
            <w:tr w14:paraId="79A5E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269648C8">
                  <w:pPr>
                    <w:pStyle w:val="7"/>
                    <w:spacing w:line="240" w:lineRule="auto"/>
                    <w:ind w:firstLine="0" w:firstLineChars="0"/>
                    <w:jc w:val="center"/>
                    <w:rPr>
                      <w:rFonts w:hint="eastAsia"/>
                      <w:color w:val="auto"/>
                      <w:sz w:val="21"/>
                      <w:szCs w:val="21"/>
                      <w:highlight w:val="none"/>
                    </w:rPr>
                  </w:pPr>
                </w:p>
              </w:tc>
              <w:tc>
                <w:tcPr>
                  <w:tcW w:w="882" w:type="pct"/>
                  <w:gridSpan w:val="2"/>
                  <w:shd w:val="clear" w:color="auto" w:fill="auto"/>
                  <w:noWrap w:val="0"/>
                  <w:vAlign w:val="center"/>
                </w:tcPr>
                <w:p w14:paraId="0A348A93">
                  <w:pPr>
                    <w:pStyle w:val="7"/>
                    <w:spacing w:line="240" w:lineRule="auto"/>
                    <w:ind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一般固废暂存区</w:t>
                  </w:r>
                </w:p>
              </w:tc>
              <w:tc>
                <w:tcPr>
                  <w:tcW w:w="3056" w:type="pct"/>
                  <w:gridSpan w:val="2"/>
                  <w:shd w:val="clear" w:color="auto" w:fill="auto"/>
                  <w:noWrap w:val="0"/>
                  <w:vAlign w:val="center"/>
                </w:tcPr>
                <w:p w14:paraId="349BA066">
                  <w:pPr>
                    <w:pStyle w:val="7"/>
                    <w:spacing w:line="240" w:lineRule="auto"/>
                    <w:ind w:right="0" w:rightChars="0"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位于库房内北部，面积10m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，用于暂存一般固废。</w:t>
                  </w:r>
                </w:p>
              </w:tc>
              <w:tc>
                <w:tcPr>
                  <w:tcW w:w="640" w:type="pct"/>
                  <w:vMerge w:val="continue"/>
                  <w:shd w:val="clear" w:color="auto" w:fill="auto"/>
                  <w:noWrap w:val="0"/>
                  <w:vAlign w:val="center"/>
                </w:tcPr>
                <w:p w14:paraId="5430A27D">
                  <w:pPr>
                    <w:pStyle w:val="7"/>
                    <w:spacing w:line="240" w:lineRule="auto"/>
                    <w:ind w:firstLine="0" w:firstLineChars="0"/>
                    <w:jc w:val="center"/>
                    <w:rPr>
                      <w:color w:val="auto"/>
                      <w:sz w:val="21"/>
                      <w:szCs w:val="21"/>
                      <w:highlight w:val="none"/>
                    </w:rPr>
                  </w:pPr>
                </w:p>
              </w:tc>
            </w:tr>
            <w:tr w14:paraId="746F8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19" w:type="pct"/>
                  <w:vMerge w:val="continue"/>
                  <w:shd w:val="clear" w:color="auto" w:fill="auto"/>
                  <w:noWrap w:val="0"/>
                  <w:vAlign w:val="center"/>
                </w:tcPr>
                <w:p w14:paraId="1CB2BD34">
                  <w:pPr>
                    <w:pStyle w:val="7"/>
                    <w:spacing w:line="240" w:lineRule="auto"/>
                    <w:ind w:firstLine="0" w:firstLineChars="0"/>
                    <w:jc w:val="center"/>
                    <w:rPr>
                      <w:rFonts w:hint="eastAsia"/>
                      <w:color w:val="auto"/>
                      <w:sz w:val="21"/>
                      <w:szCs w:val="21"/>
                      <w:highlight w:val="none"/>
                    </w:rPr>
                  </w:pPr>
                </w:p>
              </w:tc>
              <w:tc>
                <w:tcPr>
                  <w:tcW w:w="882" w:type="pct"/>
                  <w:gridSpan w:val="2"/>
                  <w:shd w:val="clear" w:color="auto" w:fill="auto"/>
                  <w:noWrap w:val="0"/>
                  <w:vAlign w:val="center"/>
                </w:tcPr>
                <w:p w14:paraId="04E09469">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危废贮存库</w:t>
                  </w:r>
                </w:p>
              </w:tc>
              <w:tc>
                <w:tcPr>
                  <w:tcW w:w="3056" w:type="pct"/>
                  <w:gridSpan w:val="2"/>
                  <w:shd w:val="clear" w:color="auto" w:fill="auto"/>
                  <w:noWrap w:val="0"/>
                  <w:vAlign w:val="center"/>
                </w:tcPr>
                <w:p w14:paraId="4A603C3F">
                  <w:pPr>
                    <w:pStyle w:val="7"/>
                    <w:spacing w:line="240" w:lineRule="auto"/>
                    <w:ind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位于本项目所租赁三号厂房外北侧陕西力拓重工机械有限公司现有危废贮存库，可依托面积约5m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，用于暂存危废。</w:t>
                  </w:r>
                </w:p>
              </w:tc>
              <w:tc>
                <w:tcPr>
                  <w:tcW w:w="640" w:type="pct"/>
                  <w:shd w:val="clear" w:color="auto" w:fill="auto"/>
                  <w:noWrap w:val="0"/>
                  <w:vAlign w:val="center"/>
                </w:tcPr>
                <w:p w14:paraId="180497F2">
                  <w:pPr>
                    <w:pStyle w:val="7"/>
                    <w:spacing w:line="240" w:lineRule="auto"/>
                    <w:ind w:firstLine="0" w:firstLineChars="0"/>
                    <w:jc w:val="center"/>
                    <w:rPr>
                      <w:rFonts w:hint="default"/>
                      <w:color w:val="auto"/>
                      <w:sz w:val="21"/>
                      <w:szCs w:val="21"/>
                      <w:highlight w:val="none"/>
                      <w:lang w:val="en-US"/>
                    </w:rPr>
                  </w:pPr>
                  <w:r>
                    <w:rPr>
                      <w:rFonts w:hint="eastAsia"/>
                      <w:color w:val="auto"/>
                      <w:sz w:val="21"/>
                      <w:szCs w:val="21"/>
                      <w:highlight w:val="none"/>
                      <w:lang w:val="en-US" w:eastAsia="zh-CN"/>
                    </w:rPr>
                    <w:t>依托陕西力拓重工机械有限公司现有危废贮存库</w:t>
                  </w:r>
                </w:p>
              </w:tc>
            </w:tr>
            <w:tr w14:paraId="19561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19" w:type="pct"/>
                  <w:shd w:val="clear" w:color="auto" w:fill="auto"/>
                  <w:noWrap w:val="0"/>
                  <w:vAlign w:val="center"/>
                </w:tcPr>
                <w:p w14:paraId="5B57E292">
                  <w:pPr>
                    <w:pStyle w:val="7"/>
                    <w:spacing w:line="240" w:lineRule="auto"/>
                    <w:ind w:firstLine="0" w:firstLineChars="0"/>
                    <w:jc w:val="center"/>
                    <w:rPr>
                      <w:color w:val="auto"/>
                      <w:sz w:val="21"/>
                      <w:szCs w:val="21"/>
                      <w:highlight w:val="none"/>
                    </w:rPr>
                  </w:pPr>
                  <w:r>
                    <w:rPr>
                      <w:rFonts w:hint="eastAsia"/>
                      <w:color w:val="auto"/>
                      <w:sz w:val="21"/>
                      <w:szCs w:val="21"/>
                      <w:highlight w:val="none"/>
                    </w:rPr>
                    <w:t>辅助工程</w:t>
                  </w:r>
                </w:p>
              </w:tc>
              <w:tc>
                <w:tcPr>
                  <w:tcW w:w="882" w:type="pct"/>
                  <w:gridSpan w:val="2"/>
                  <w:shd w:val="clear" w:color="auto" w:fill="auto"/>
                  <w:noWrap w:val="0"/>
                  <w:vAlign w:val="center"/>
                </w:tcPr>
                <w:p w14:paraId="3AF589B8">
                  <w:pPr>
                    <w:pStyle w:val="7"/>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办公区域</w:t>
                  </w:r>
                </w:p>
              </w:tc>
              <w:tc>
                <w:tcPr>
                  <w:tcW w:w="3056" w:type="pct"/>
                  <w:gridSpan w:val="2"/>
                  <w:shd w:val="clear" w:color="auto" w:fill="auto"/>
                  <w:noWrap w:val="0"/>
                  <w:vAlign w:val="center"/>
                </w:tcPr>
                <w:p w14:paraId="44625789">
                  <w:pPr>
                    <w:pStyle w:val="7"/>
                    <w:spacing w:line="240" w:lineRule="auto"/>
                    <w:ind w:firstLine="0" w:firstLineChars="0"/>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位于所租赁</w:t>
                  </w:r>
                  <w:r>
                    <w:rPr>
                      <w:rFonts w:hint="eastAsia"/>
                      <w:color w:val="auto"/>
                      <w:sz w:val="21"/>
                      <w:szCs w:val="21"/>
                      <w:highlight w:val="none"/>
                      <w:lang w:val="en-US" w:eastAsia="zh-CN"/>
                    </w:rPr>
                    <w:t>车间</w:t>
                  </w:r>
                  <w:r>
                    <w:rPr>
                      <w:rFonts w:hint="eastAsia"/>
                      <w:color w:val="auto"/>
                      <w:sz w:val="21"/>
                      <w:szCs w:val="21"/>
                      <w:highlight w:val="none"/>
                      <w:lang w:val="en-US" w:eastAsia="zh-CN"/>
                    </w:rPr>
                    <w:t>的西侧，</w:t>
                  </w:r>
                  <w:r>
                    <w:rPr>
                      <w:rFonts w:hint="eastAsia"/>
                      <w:color w:val="auto"/>
                      <w:sz w:val="21"/>
                      <w:szCs w:val="21"/>
                      <w:highlight w:val="none"/>
                    </w:rPr>
                    <w:t>高</w:t>
                  </w:r>
                  <w:r>
                    <w:rPr>
                      <w:rFonts w:hint="eastAsia"/>
                      <w:color w:val="auto"/>
                      <w:sz w:val="21"/>
                      <w:szCs w:val="21"/>
                      <w:highlight w:val="none"/>
                      <w:lang w:val="en-US" w:eastAsia="zh-CN"/>
                    </w:rPr>
                    <w:t>3</w:t>
                  </w:r>
                  <w:r>
                    <w:rPr>
                      <w:rFonts w:hint="eastAsia"/>
                      <w:color w:val="auto"/>
                      <w:sz w:val="21"/>
                      <w:szCs w:val="21"/>
                      <w:highlight w:val="none"/>
                    </w:rPr>
                    <w:t>m，</w:t>
                  </w:r>
                  <w:r>
                    <w:rPr>
                      <w:rFonts w:hint="eastAsia"/>
                      <w:color w:val="auto"/>
                      <w:sz w:val="21"/>
                      <w:szCs w:val="21"/>
                      <w:highlight w:val="none"/>
                      <w:lang w:val="en-US" w:eastAsia="zh-CN"/>
                    </w:rPr>
                    <w:t>砖</w:t>
                  </w:r>
                  <w:r>
                    <w:rPr>
                      <w:rFonts w:hint="eastAsia"/>
                      <w:color w:val="auto"/>
                      <w:sz w:val="21"/>
                      <w:szCs w:val="21"/>
                      <w:highlight w:val="none"/>
                    </w:rPr>
                    <w:t>混结构</w:t>
                  </w:r>
                  <w:r>
                    <w:rPr>
                      <w:rFonts w:hint="eastAsia"/>
                      <w:color w:val="auto"/>
                      <w:sz w:val="21"/>
                      <w:szCs w:val="21"/>
                      <w:highlight w:val="none"/>
                      <w:lang w:eastAsia="zh-CN"/>
                    </w:rPr>
                    <w:t>，</w:t>
                  </w:r>
                  <w:r>
                    <w:rPr>
                      <w:rFonts w:hint="eastAsia"/>
                      <w:color w:val="auto"/>
                      <w:sz w:val="21"/>
                      <w:szCs w:val="21"/>
                      <w:highlight w:val="none"/>
                    </w:rPr>
                    <w:t>用于日常办公。</w:t>
                  </w:r>
                </w:p>
              </w:tc>
              <w:tc>
                <w:tcPr>
                  <w:tcW w:w="640" w:type="pct"/>
                  <w:shd w:val="clear" w:color="auto" w:fill="auto"/>
                  <w:noWrap w:val="0"/>
                  <w:vAlign w:val="center"/>
                </w:tcPr>
                <w:p w14:paraId="7106A1DE">
                  <w:pPr>
                    <w:pStyle w:val="7"/>
                    <w:spacing w:line="240" w:lineRule="auto"/>
                    <w:ind w:firstLine="0" w:firstLineChars="0"/>
                    <w:jc w:val="center"/>
                    <w:rPr>
                      <w:rFonts w:hint="default"/>
                      <w:color w:val="auto"/>
                      <w:sz w:val="21"/>
                      <w:szCs w:val="21"/>
                      <w:highlight w:val="none"/>
                      <w:lang w:val="en-US"/>
                    </w:rPr>
                  </w:pPr>
                  <w:r>
                    <w:rPr>
                      <w:rFonts w:hint="eastAsia"/>
                      <w:color w:val="auto"/>
                      <w:sz w:val="21"/>
                      <w:szCs w:val="21"/>
                      <w:highlight w:val="none"/>
                      <w:lang w:val="en-US" w:eastAsia="zh-CN"/>
                    </w:rPr>
                    <w:t>依托现有办公区域</w:t>
                  </w:r>
                </w:p>
              </w:tc>
            </w:tr>
            <w:tr w14:paraId="42151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19" w:type="pct"/>
                  <w:vMerge w:val="restart"/>
                  <w:shd w:val="clear" w:color="auto" w:fill="auto"/>
                  <w:noWrap w:val="0"/>
                  <w:vAlign w:val="center"/>
                </w:tcPr>
                <w:p w14:paraId="4954CC9D">
                  <w:pPr>
                    <w:pStyle w:val="7"/>
                    <w:spacing w:line="240" w:lineRule="auto"/>
                    <w:ind w:firstLine="0" w:firstLineChars="0"/>
                    <w:jc w:val="center"/>
                    <w:rPr>
                      <w:color w:val="auto"/>
                      <w:sz w:val="21"/>
                      <w:szCs w:val="21"/>
                      <w:highlight w:val="none"/>
                    </w:rPr>
                  </w:pPr>
                  <w:r>
                    <w:rPr>
                      <w:rFonts w:hint="eastAsia"/>
                      <w:color w:val="auto"/>
                      <w:sz w:val="21"/>
                      <w:szCs w:val="21"/>
                      <w:highlight w:val="none"/>
                    </w:rPr>
                    <w:t>公用工程</w:t>
                  </w:r>
                </w:p>
              </w:tc>
              <w:tc>
                <w:tcPr>
                  <w:tcW w:w="882" w:type="pct"/>
                  <w:gridSpan w:val="2"/>
                  <w:shd w:val="clear" w:color="auto" w:fill="auto"/>
                  <w:noWrap w:val="0"/>
                  <w:vAlign w:val="center"/>
                </w:tcPr>
                <w:p w14:paraId="46EE3380">
                  <w:pPr>
                    <w:pStyle w:val="7"/>
                    <w:spacing w:line="240" w:lineRule="auto"/>
                    <w:ind w:firstLine="0" w:firstLineChars="0"/>
                    <w:jc w:val="center"/>
                    <w:rPr>
                      <w:color w:val="auto"/>
                      <w:sz w:val="21"/>
                      <w:szCs w:val="21"/>
                      <w:highlight w:val="none"/>
                    </w:rPr>
                  </w:pPr>
                  <w:r>
                    <w:rPr>
                      <w:rFonts w:hint="eastAsia"/>
                      <w:color w:val="auto"/>
                      <w:sz w:val="21"/>
                      <w:szCs w:val="21"/>
                      <w:highlight w:val="none"/>
                    </w:rPr>
                    <w:t>给水</w:t>
                  </w:r>
                </w:p>
              </w:tc>
              <w:tc>
                <w:tcPr>
                  <w:tcW w:w="3056" w:type="pct"/>
                  <w:gridSpan w:val="2"/>
                  <w:shd w:val="clear" w:color="auto" w:fill="auto"/>
                  <w:noWrap w:val="0"/>
                  <w:vAlign w:val="center"/>
                </w:tcPr>
                <w:p w14:paraId="4CEFAD4C">
                  <w:pPr>
                    <w:pStyle w:val="7"/>
                    <w:spacing w:line="240" w:lineRule="auto"/>
                    <w:ind w:firstLine="0" w:firstLineChars="0"/>
                    <w:jc w:val="center"/>
                    <w:rPr>
                      <w:color w:val="auto"/>
                      <w:sz w:val="21"/>
                      <w:szCs w:val="21"/>
                      <w:highlight w:val="none"/>
                    </w:rPr>
                  </w:pPr>
                  <w:r>
                    <w:rPr>
                      <w:color w:val="auto"/>
                      <w:sz w:val="21"/>
                      <w:szCs w:val="21"/>
                      <w:highlight w:val="none"/>
                    </w:rPr>
                    <w:t>市政供水管网供水，依托所在厂区现有供水设施</w:t>
                  </w:r>
                  <w:r>
                    <w:rPr>
                      <w:rFonts w:hint="eastAsia"/>
                      <w:color w:val="auto"/>
                      <w:sz w:val="21"/>
                      <w:szCs w:val="21"/>
                      <w:highlight w:val="none"/>
                    </w:rPr>
                    <w:t>。</w:t>
                  </w:r>
                </w:p>
              </w:tc>
              <w:tc>
                <w:tcPr>
                  <w:tcW w:w="640" w:type="pct"/>
                  <w:shd w:val="clear" w:color="auto" w:fill="auto"/>
                  <w:noWrap w:val="0"/>
                  <w:vAlign w:val="center"/>
                </w:tcPr>
                <w:p w14:paraId="28F32E5A">
                  <w:pPr>
                    <w:pStyle w:val="7"/>
                    <w:spacing w:line="240" w:lineRule="auto"/>
                    <w:ind w:firstLine="0" w:firstLineChars="0"/>
                    <w:jc w:val="center"/>
                    <w:rPr>
                      <w:color w:val="auto"/>
                      <w:sz w:val="21"/>
                      <w:szCs w:val="21"/>
                      <w:highlight w:val="none"/>
                    </w:rPr>
                  </w:pPr>
                  <w:r>
                    <w:rPr>
                      <w:rFonts w:hint="eastAsia"/>
                      <w:color w:val="auto"/>
                      <w:sz w:val="21"/>
                      <w:szCs w:val="21"/>
                      <w:highlight w:val="none"/>
                    </w:rPr>
                    <w:t>依托</w:t>
                  </w:r>
                </w:p>
              </w:tc>
            </w:tr>
            <w:tr w14:paraId="16415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3CB3E6DF">
                  <w:pPr>
                    <w:pStyle w:val="7"/>
                    <w:spacing w:line="240" w:lineRule="auto"/>
                    <w:ind w:firstLine="0" w:firstLineChars="0"/>
                    <w:jc w:val="center"/>
                    <w:rPr>
                      <w:color w:val="auto"/>
                      <w:sz w:val="21"/>
                      <w:szCs w:val="21"/>
                      <w:highlight w:val="none"/>
                    </w:rPr>
                  </w:pPr>
                </w:p>
              </w:tc>
              <w:tc>
                <w:tcPr>
                  <w:tcW w:w="882" w:type="pct"/>
                  <w:gridSpan w:val="2"/>
                  <w:shd w:val="clear" w:color="auto" w:fill="auto"/>
                  <w:noWrap w:val="0"/>
                  <w:vAlign w:val="center"/>
                </w:tcPr>
                <w:p w14:paraId="7F0FEDB4">
                  <w:pPr>
                    <w:pStyle w:val="7"/>
                    <w:spacing w:line="240" w:lineRule="auto"/>
                    <w:ind w:firstLine="0" w:firstLineChars="0"/>
                    <w:jc w:val="center"/>
                    <w:rPr>
                      <w:color w:val="auto"/>
                      <w:sz w:val="21"/>
                      <w:szCs w:val="21"/>
                      <w:highlight w:val="none"/>
                    </w:rPr>
                  </w:pPr>
                  <w:r>
                    <w:rPr>
                      <w:rFonts w:hint="eastAsia"/>
                      <w:color w:val="auto"/>
                      <w:sz w:val="21"/>
                      <w:szCs w:val="21"/>
                      <w:highlight w:val="none"/>
                    </w:rPr>
                    <w:t>排水</w:t>
                  </w:r>
                </w:p>
              </w:tc>
              <w:tc>
                <w:tcPr>
                  <w:tcW w:w="3056" w:type="pct"/>
                  <w:gridSpan w:val="2"/>
                  <w:shd w:val="clear" w:color="auto" w:fill="auto"/>
                  <w:noWrap w:val="0"/>
                  <w:vAlign w:val="center"/>
                </w:tcPr>
                <w:p w14:paraId="7E329DF7">
                  <w:pPr>
                    <w:pStyle w:val="7"/>
                    <w:spacing w:line="240" w:lineRule="auto"/>
                    <w:ind w:firstLine="0" w:firstLineChars="0"/>
                    <w:jc w:val="both"/>
                    <w:rPr>
                      <w:color w:val="auto"/>
                      <w:sz w:val="21"/>
                      <w:szCs w:val="21"/>
                      <w:highlight w:val="none"/>
                    </w:rPr>
                  </w:pPr>
                  <w:r>
                    <w:rPr>
                      <w:rFonts w:hint="eastAsia"/>
                      <w:color w:val="auto"/>
                      <w:sz w:val="21"/>
                      <w:szCs w:val="21"/>
                      <w:highlight w:val="none"/>
                      <w:lang w:val="en-US" w:eastAsia="zh-CN"/>
                    </w:rPr>
                    <w:t>本项目无生产废水；员工</w:t>
                  </w:r>
                  <w:r>
                    <w:rPr>
                      <w:color w:val="auto"/>
                      <w:sz w:val="21"/>
                      <w:szCs w:val="21"/>
                      <w:highlight w:val="none"/>
                    </w:rPr>
                    <w:t>生活污水依托</w:t>
                  </w:r>
                  <w:r>
                    <w:rPr>
                      <w:rFonts w:hint="eastAsia"/>
                      <w:color w:val="auto"/>
                      <w:sz w:val="21"/>
                      <w:szCs w:val="21"/>
                      <w:highlight w:val="none"/>
                      <w:lang w:val="en-US" w:eastAsia="zh-CN"/>
                    </w:rPr>
                    <w:t>厂区现有</w:t>
                  </w:r>
                  <w:r>
                    <w:rPr>
                      <w:rFonts w:hint="eastAsia"/>
                      <w:color w:val="auto"/>
                      <w:sz w:val="21"/>
                      <w:szCs w:val="21"/>
                      <w:highlight w:val="none"/>
                    </w:rPr>
                    <w:t>化粪池</w:t>
                  </w:r>
                  <w:r>
                    <w:rPr>
                      <w:rFonts w:hint="eastAsia"/>
                      <w:color w:val="auto"/>
                      <w:sz w:val="21"/>
                      <w:szCs w:val="21"/>
                      <w:highlight w:val="none"/>
                      <w:lang w:val="en-US" w:eastAsia="zh-CN"/>
                    </w:rPr>
                    <w:t>处理</w:t>
                  </w:r>
                  <w:r>
                    <w:rPr>
                      <w:color w:val="auto"/>
                      <w:sz w:val="21"/>
                      <w:szCs w:val="21"/>
                      <w:highlight w:val="none"/>
                    </w:rPr>
                    <w:t>后通过市政</w:t>
                  </w:r>
                  <w:r>
                    <w:rPr>
                      <w:rFonts w:hint="eastAsia"/>
                      <w:color w:val="auto"/>
                      <w:sz w:val="21"/>
                      <w:szCs w:val="21"/>
                      <w:highlight w:val="none"/>
                    </w:rPr>
                    <w:t>污水</w:t>
                  </w:r>
                  <w:r>
                    <w:rPr>
                      <w:color w:val="auto"/>
                      <w:sz w:val="21"/>
                      <w:szCs w:val="21"/>
                      <w:highlight w:val="none"/>
                    </w:rPr>
                    <w:t>管网进入泾河新城</w:t>
                  </w:r>
                  <w:r>
                    <w:rPr>
                      <w:rFonts w:hint="eastAsia"/>
                      <w:color w:val="auto"/>
                      <w:sz w:val="21"/>
                      <w:szCs w:val="21"/>
                      <w:highlight w:val="none"/>
                    </w:rPr>
                    <w:t>第二污水处理厂</w:t>
                  </w:r>
                  <w:r>
                    <w:rPr>
                      <w:rFonts w:hint="eastAsia"/>
                      <w:color w:val="auto"/>
                      <w:sz w:val="21"/>
                      <w:szCs w:val="21"/>
                      <w:highlight w:val="none"/>
                      <w:lang w:val="en-US" w:eastAsia="zh-CN"/>
                    </w:rPr>
                    <w:t>进一步</w:t>
                  </w:r>
                  <w:r>
                    <w:rPr>
                      <w:color w:val="auto"/>
                      <w:sz w:val="21"/>
                      <w:szCs w:val="21"/>
                      <w:highlight w:val="none"/>
                    </w:rPr>
                    <w:t>处理</w:t>
                  </w:r>
                </w:p>
              </w:tc>
              <w:tc>
                <w:tcPr>
                  <w:tcW w:w="640" w:type="pct"/>
                  <w:shd w:val="clear" w:color="auto" w:fill="auto"/>
                  <w:noWrap w:val="0"/>
                  <w:vAlign w:val="center"/>
                </w:tcPr>
                <w:p w14:paraId="4355AF74">
                  <w:pPr>
                    <w:pStyle w:val="7"/>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化粪池</w:t>
                  </w:r>
                  <w:r>
                    <w:rPr>
                      <w:rFonts w:hint="eastAsia"/>
                      <w:color w:val="auto"/>
                      <w:sz w:val="21"/>
                      <w:szCs w:val="21"/>
                      <w:highlight w:val="none"/>
                    </w:rPr>
                    <w:t>依托</w:t>
                  </w:r>
                </w:p>
              </w:tc>
            </w:tr>
            <w:tr w14:paraId="5F834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19" w:type="pct"/>
                  <w:vMerge w:val="continue"/>
                  <w:shd w:val="clear" w:color="auto" w:fill="auto"/>
                  <w:noWrap w:val="0"/>
                  <w:vAlign w:val="center"/>
                </w:tcPr>
                <w:p w14:paraId="465E2015">
                  <w:pPr>
                    <w:pStyle w:val="7"/>
                    <w:spacing w:line="240" w:lineRule="auto"/>
                    <w:ind w:firstLine="0" w:firstLineChars="0"/>
                    <w:jc w:val="center"/>
                    <w:rPr>
                      <w:color w:val="auto"/>
                      <w:sz w:val="21"/>
                      <w:szCs w:val="21"/>
                      <w:highlight w:val="none"/>
                    </w:rPr>
                  </w:pPr>
                </w:p>
              </w:tc>
              <w:tc>
                <w:tcPr>
                  <w:tcW w:w="882" w:type="pct"/>
                  <w:gridSpan w:val="2"/>
                  <w:shd w:val="clear" w:color="auto" w:fill="auto"/>
                  <w:noWrap w:val="0"/>
                  <w:vAlign w:val="center"/>
                </w:tcPr>
                <w:p w14:paraId="1BCEAE92">
                  <w:pPr>
                    <w:pStyle w:val="7"/>
                    <w:spacing w:line="240" w:lineRule="auto"/>
                    <w:ind w:firstLine="0" w:firstLineChars="0"/>
                    <w:jc w:val="center"/>
                    <w:rPr>
                      <w:color w:val="auto"/>
                      <w:sz w:val="21"/>
                      <w:szCs w:val="21"/>
                      <w:highlight w:val="none"/>
                    </w:rPr>
                  </w:pPr>
                  <w:r>
                    <w:rPr>
                      <w:rFonts w:hint="eastAsia"/>
                      <w:color w:val="auto"/>
                      <w:sz w:val="21"/>
                      <w:szCs w:val="21"/>
                      <w:highlight w:val="none"/>
                    </w:rPr>
                    <w:t>供电</w:t>
                  </w:r>
                </w:p>
              </w:tc>
              <w:tc>
                <w:tcPr>
                  <w:tcW w:w="3056" w:type="pct"/>
                  <w:gridSpan w:val="2"/>
                  <w:shd w:val="clear" w:color="auto" w:fill="auto"/>
                  <w:noWrap w:val="0"/>
                  <w:vAlign w:val="center"/>
                </w:tcPr>
                <w:p w14:paraId="6214EBF6">
                  <w:pPr>
                    <w:pStyle w:val="7"/>
                    <w:spacing w:line="240" w:lineRule="auto"/>
                    <w:ind w:firstLine="0" w:firstLineChars="0"/>
                    <w:jc w:val="both"/>
                    <w:rPr>
                      <w:rFonts w:hint="eastAsia" w:eastAsia="宋体"/>
                      <w:color w:val="auto"/>
                      <w:sz w:val="21"/>
                      <w:szCs w:val="21"/>
                      <w:highlight w:val="none"/>
                      <w:lang w:val="en-US" w:eastAsia="zh-CN"/>
                    </w:rPr>
                  </w:pPr>
                  <w:r>
                    <w:rPr>
                      <w:rFonts w:hint="eastAsia"/>
                      <w:color w:val="auto"/>
                      <w:sz w:val="21"/>
                      <w:szCs w:val="21"/>
                      <w:highlight w:val="none"/>
                    </w:rPr>
                    <w:t>市政电网</w:t>
                  </w:r>
                  <w:r>
                    <w:rPr>
                      <w:rFonts w:hint="eastAsia"/>
                      <w:color w:val="auto"/>
                      <w:sz w:val="21"/>
                      <w:szCs w:val="21"/>
                      <w:highlight w:val="none"/>
                      <w:lang w:val="en-US" w:eastAsia="zh-CN"/>
                    </w:rPr>
                    <w:t>供给</w:t>
                  </w:r>
                </w:p>
              </w:tc>
              <w:tc>
                <w:tcPr>
                  <w:tcW w:w="640" w:type="pct"/>
                  <w:shd w:val="clear" w:color="auto" w:fill="auto"/>
                  <w:noWrap w:val="0"/>
                  <w:vAlign w:val="center"/>
                </w:tcPr>
                <w:p w14:paraId="7892970E">
                  <w:pPr>
                    <w:pStyle w:val="7"/>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01EB9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19" w:type="pct"/>
                  <w:vMerge w:val="continue"/>
                  <w:shd w:val="clear" w:color="auto" w:fill="auto"/>
                  <w:noWrap w:val="0"/>
                  <w:vAlign w:val="center"/>
                </w:tcPr>
                <w:p w14:paraId="3C302103">
                  <w:pPr>
                    <w:pStyle w:val="7"/>
                    <w:spacing w:line="240" w:lineRule="auto"/>
                    <w:ind w:firstLine="0" w:firstLineChars="0"/>
                    <w:jc w:val="center"/>
                    <w:rPr>
                      <w:color w:val="auto"/>
                      <w:sz w:val="21"/>
                      <w:szCs w:val="21"/>
                      <w:highlight w:val="none"/>
                    </w:rPr>
                  </w:pPr>
                </w:p>
              </w:tc>
              <w:tc>
                <w:tcPr>
                  <w:tcW w:w="882" w:type="pct"/>
                  <w:gridSpan w:val="2"/>
                  <w:shd w:val="clear" w:color="auto" w:fill="auto"/>
                  <w:noWrap w:val="0"/>
                  <w:vAlign w:val="center"/>
                </w:tcPr>
                <w:p w14:paraId="380470BC">
                  <w:pPr>
                    <w:pStyle w:val="7"/>
                    <w:spacing w:line="240" w:lineRule="auto"/>
                    <w:ind w:firstLine="0" w:firstLineChars="0"/>
                    <w:jc w:val="center"/>
                    <w:rPr>
                      <w:color w:val="auto"/>
                      <w:sz w:val="21"/>
                      <w:szCs w:val="21"/>
                      <w:highlight w:val="none"/>
                    </w:rPr>
                  </w:pPr>
                  <w:r>
                    <w:rPr>
                      <w:rFonts w:hint="eastAsia"/>
                      <w:color w:val="auto"/>
                      <w:sz w:val="21"/>
                      <w:szCs w:val="21"/>
                      <w:highlight w:val="none"/>
                    </w:rPr>
                    <w:t>供暖、制冷</w:t>
                  </w:r>
                </w:p>
              </w:tc>
              <w:tc>
                <w:tcPr>
                  <w:tcW w:w="3056" w:type="pct"/>
                  <w:gridSpan w:val="2"/>
                  <w:shd w:val="clear" w:color="auto" w:fill="auto"/>
                  <w:noWrap w:val="0"/>
                  <w:vAlign w:val="center"/>
                </w:tcPr>
                <w:p w14:paraId="5EF0A689">
                  <w:pPr>
                    <w:pStyle w:val="7"/>
                    <w:spacing w:line="240" w:lineRule="auto"/>
                    <w:ind w:firstLine="0" w:firstLineChars="0"/>
                    <w:jc w:val="both"/>
                    <w:rPr>
                      <w:color w:val="auto"/>
                      <w:sz w:val="21"/>
                      <w:szCs w:val="21"/>
                      <w:highlight w:val="none"/>
                    </w:rPr>
                  </w:pPr>
                  <w:r>
                    <w:rPr>
                      <w:rFonts w:hint="eastAsia"/>
                      <w:color w:val="auto"/>
                      <w:sz w:val="21"/>
                      <w:szCs w:val="21"/>
                      <w:highlight w:val="none"/>
                    </w:rPr>
                    <w:t>办公区供暖、制冷采用分体式空调</w:t>
                  </w:r>
                </w:p>
              </w:tc>
              <w:tc>
                <w:tcPr>
                  <w:tcW w:w="640" w:type="pct"/>
                  <w:shd w:val="clear" w:color="auto" w:fill="auto"/>
                  <w:noWrap w:val="0"/>
                  <w:vAlign w:val="center"/>
                </w:tcPr>
                <w:p w14:paraId="36518521">
                  <w:pPr>
                    <w:pStyle w:val="7"/>
                    <w:spacing w:line="240" w:lineRule="auto"/>
                    <w:ind w:firstLine="0" w:firstLineChars="0"/>
                    <w:jc w:val="center"/>
                    <w:rPr>
                      <w:color w:val="auto"/>
                      <w:sz w:val="21"/>
                      <w:szCs w:val="21"/>
                      <w:highlight w:val="none"/>
                    </w:rPr>
                  </w:pPr>
                  <w:r>
                    <w:rPr>
                      <w:rFonts w:hint="eastAsia"/>
                      <w:color w:val="auto"/>
                      <w:sz w:val="21"/>
                      <w:szCs w:val="21"/>
                      <w:highlight w:val="none"/>
                    </w:rPr>
                    <w:t>新建</w:t>
                  </w:r>
                </w:p>
              </w:tc>
            </w:tr>
            <w:tr w14:paraId="2A8B4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Merge w:val="restart"/>
                  <w:shd w:val="clear" w:color="auto" w:fill="auto"/>
                  <w:noWrap w:val="0"/>
                  <w:vAlign w:val="center"/>
                </w:tcPr>
                <w:p w14:paraId="09C040B2">
                  <w:pPr>
                    <w:pStyle w:val="7"/>
                    <w:spacing w:line="240" w:lineRule="auto"/>
                    <w:ind w:firstLine="0" w:firstLineChars="0"/>
                    <w:jc w:val="center"/>
                    <w:rPr>
                      <w:color w:val="auto"/>
                      <w:sz w:val="21"/>
                      <w:szCs w:val="21"/>
                      <w:highlight w:val="none"/>
                    </w:rPr>
                  </w:pPr>
                  <w:r>
                    <w:rPr>
                      <w:rFonts w:hint="eastAsia"/>
                      <w:color w:val="auto"/>
                      <w:sz w:val="21"/>
                      <w:szCs w:val="21"/>
                      <w:highlight w:val="none"/>
                    </w:rPr>
                    <w:t>环保工程</w:t>
                  </w:r>
                </w:p>
              </w:tc>
              <w:tc>
                <w:tcPr>
                  <w:tcW w:w="882" w:type="pct"/>
                  <w:gridSpan w:val="2"/>
                  <w:vMerge w:val="restart"/>
                  <w:shd w:val="clear" w:color="auto" w:fill="auto"/>
                  <w:noWrap w:val="0"/>
                  <w:vAlign w:val="center"/>
                </w:tcPr>
                <w:p w14:paraId="05246086">
                  <w:pPr>
                    <w:pStyle w:val="7"/>
                    <w:spacing w:line="240" w:lineRule="auto"/>
                    <w:ind w:firstLine="0" w:firstLineChars="0"/>
                    <w:jc w:val="center"/>
                    <w:rPr>
                      <w:color w:val="auto"/>
                      <w:sz w:val="21"/>
                      <w:szCs w:val="21"/>
                      <w:highlight w:val="none"/>
                    </w:rPr>
                  </w:pPr>
                  <w:r>
                    <w:rPr>
                      <w:rFonts w:hint="eastAsia"/>
                      <w:color w:val="auto"/>
                      <w:sz w:val="21"/>
                      <w:szCs w:val="21"/>
                      <w:highlight w:val="none"/>
                    </w:rPr>
                    <w:t>废气</w:t>
                  </w:r>
                </w:p>
              </w:tc>
              <w:tc>
                <w:tcPr>
                  <w:tcW w:w="445" w:type="pct"/>
                  <w:shd w:val="clear" w:color="auto" w:fill="auto"/>
                  <w:noWrap w:val="0"/>
                  <w:vAlign w:val="center"/>
                </w:tcPr>
                <w:p w14:paraId="3D632C16">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上料粉尘</w:t>
                  </w:r>
                </w:p>
              </w:tc>
              <w:tc>
                <w:tcPr>
                  <w:tcW w:w="2611" w:type="pct"/>
                  <w:shd w:val="clear" w:color="auto" w:fill="auto"/>
                  <w:noWrap w:val="0"/>
                  <w:vAlign w:val="center"/>
                </w:tcPr>
                <w:p w14:paraId="18930C49">
                  <w:pPr>
                    <w:pStyle w:val="7"/>
                    <w:spacing w:line="240" w:lineRule="auto"/>
                    <w:ind w:firstLine="0" w:firstLineChars="0"/>
                    <w:jc w:val="both"/>
                    <w:rPr>
                      <w:rFonts w:hint="default"/>
                      <w:color w:val="auto"/>
                      <w:highlight w:val="none"/>
                      <w:lang w:val="en-US" w:eastAsia="zh-CN"/>
                    </w:rPr>
                  </w:pPr>
                  <w:r>
                    <w:rPr>
                      <w:rFonts w:hint="eastAsia"/>
                      <w:color w:val="auto"/>
                      <w:sz w:val="21"/>
                      <w:szCs w:val="21"/>
                      <w:highlight w:val="none"/>
                      <w:lang w:val="en-US" w:eastAsia="zh-CN"/>
                    </w:rPr>
                    <w:t>上料粉尘经脉冲净化器配套喇叭口收集进入脉冲净化器处理后在车间无组织排放。</w:t>
                  </w:r>
                </w:p>
              </w:tc>
              <w:tc>
                <w:tcPr>
                  <w:tcW w:w="640" w:type="pct"/>
                  <w:shd w:val="clear" w:color="auto" w:fill="auto"/>
                  <w:noWrap w:val="0"/>
                  <w:vAlign w:val="center"/>
                </w:tcPr>
                <w:p w14:paraId="75F3B8DD">
                  <w:pPr>
                    <w:pStyle w:val="7"/>
                    <w:spacing w:line="240" w:lineRule="auto"/>
                    <w:ind w:firstLine="0" w:firstLineChars="0"/>
                    <w:jc w:val="center"/>
                    <w:rPr>
                      <w:color w:val="auto"/>
                      <w:sz w:val="21"/>
                      <w:szCs w:val="21"/>
                      <w:highlight w:val="none"/>
                    </w:rPr>
                  </w:pPr>
                  <w:r>
                    <w:rPr>
                      <w:rFonts w:hint="eastAsia"/>
                      <w:color w:val="auto"/>
                      <w:sz w:val="21"/>
                      <w:szCs w:val="21"/>
                      <w:highlight w:val="none"/>
                    </w:rPr>
                    <w:t>新建</w:t>
                  </w:r>
                </w:p>
              </w:tc>
            </w:tr>
            <w:tr w14:paraId="0325B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19" w:type="pct"/>
                  <w:vMerge w:val="continue"/>
                  <w:shd w:val="clear" w:color="auto" w:fill="auto"/>
                  <w:noWrap w:val="0"/>
                  <w:vAlign w:val="center"/>
                </w:tcPr>
                <w:p w14:paraId="42D8F954">
                  <w:pPr>
                    <w:pStyle w:val="7"/>
                    <w:spacing w:line="240" w:lineRule="auto"/>
                    <w:ind w:firstLine="0" w:firstLineChars="0"/>
                    <w:jc w:val="both"/>
                    <w:rPr>
                      <w:color w:val="auto"/>
                      <w:highlight w:val="none"/>
                    </w:rPr>
                  </w:pPr>
                </w:p>
              </w:tc>
              <w:tc>
                <w:tcPr>
                  <w:tcW w:w="882" w:type="pct"/>
                  <w:gridSpan w:val="2"/>
                  <w:vMerge w:val="continue"/>
                  <w:shd w:val="clear" w:color="auto" w:fill="auto"/>
                  <w:noWrap w:val="0"/>
                  <w:vAlign w:val="center"/>
                </w:tcPr>
                <w:p w14:paraId="08639177">
                  <w:pPr>
                    <w:pStyle w:val="7"/>
                    <w:spacing w:line="240" w:lineRule="auto"/>
                    <w:ind w:firstLine="0" w:firstLineChars="0"/>
                    <w:jc w:val="both"/>
                    <w:rPr>
                      <w:color w:val="auto"/>
                      <w:highlight w:val="none"/>
                    </w:rPr>
                  </w:pPr>
                </w:p>
              </w:tc>
              <w:tc>
                <w:tcPr>
                  <w:tcW w:w="445" w:type="pct"/>
                  <w:shd w:val="clear" w:color="auto" w:fill="auto"/>
                  <w:noWrap w:val="0"/>
                  <w:vAlign w:val="center"/>
                </w:tcPr>
                <w:p w14:paraId="71496EC1">
                  <w:pPr>
                    <w:pStyle w:val="7"/>
                    <w:spacing w:line="240" w:lineRule="auto"/>
                    <w:ind w:firstLine="0" w:firstLineChars="0"/>
                    <w:jc w:val="center"/>
                    <w:rPr>
                      <w:rFonts w:hint="default" w:eastAsia="宋体"/>
                      <w:color w:val="auto"/>
                      <w:sz w:val="21"/>
                      <w:szCs w:val="16"/>
                      <w:highlight w:val="none"/>
                      <w:lang w:val="en-US" w:eastAsia="zh-CN"/>
                    </w:rPr>
                  </w:pPr>
                  <w:r>
                    <w:rPr>
                      <w:rFonts w:hint="eastAsia"/>
                      <w:color w:val="auto"/>
                      <w:sz w:val="21"/>
                      <w:szCs w:val="16"/>
                      <w:highlight w:val="none"/>
                      <w:lang w:val="en-US" w:eastAsia="zh-CN"/>
                    </w:rPr>
                    <w:t>有机废气</w:t>
                  </w:r>
                </w:p>
              </w:tc>
              <w:tc>
                <w:tcPr>
                  <w:tcW w:w="2611" w:type="pct"/>
                  <w:shd w:val="clear" w:color="auto" w:fill="auto"/>
                  <w:noWrap w:val="0"/>
                  <w:vAlign w:val="center"/>
                </w:tcPr>
                <w:p w14:paraId="395A13A0">
                  <w:pPr>
                    <w:pStyle w:val="7"/>
                    <w:spacing w:line="240" w:lineRule="auto"/>
                    <w:ind w:firstLine="0" w:firstLineChars="0"/>
                    <w:jc w:val="both"/>
                    <w:rPr>
                      <w:rFonts w:hint="eastAsia" w:eastAsia="宋体"/>
                      <w:color w:val="auto"/>
                      <w:sz w:val="21"/>
                      <w:szCs w:val="16"/>
                      <w:highlight w:val="none"/>
                      <w:lang w:val="en-US" w:eastAsia="zh-CN"/>
                    </w:rPr>
                  </w:pPr>
                  <w:r>
                    <w:rPr>
                      <w:rFonts w:hint="eastAsia"/>
                      <w:color w:val="auto"/>
                      <w:sz w:val="21"/>
                      <w:szCs w:val="16"/>
                      <w:highlight w:val="none"/>
                      <w:lang w:val="en-US" w:eastAsia="zh-CN"/>
                    </w:rPr>
                    <w:t>本项目高温混合、表面处理、反应复合、热处理过程产生的有机废气由</w:t>
                  </w:r>
                  <w:r>
                    <w:rPr>
                      <w:rFonts w:hint="eastAsia"/>
                      <w:color w:val="auto"/>
                      <w:sz w:val="21"/>
                      <w:szCs w:val="16"/>
                      <w:highlight w:val="none"/>
                      <w:lang w:val="en-US" w:eastAsia="zh-CN"/>
                    </w:rPr>
                    <w:t>10个</w:t>
                  </w:r>
                  <w:r>
                    <w:rPr>
                      <w:rFonts w:hint="eastAsia"/>
                      <w:color w:val="auto"/>
                      <w:sz w:val="21"/>
                      <w:szCs w:val="16"/>
                      <w:highlight w:val="none"/>
                      <w:lang w:val="en-US" w:eastAsia="zh-CN"/>
                    </w:rPr>
                    <w:t>集气罩收集进入</w:t>
                  </w:r>
                  <w:r>
                    <w:rPr>
                      <w:rFonts w:hint="eastAsia"/>
                      <w:color w:val="auto"/>
                      <w:sz w:val="21"/>
                      <w:szCs w:val="16"/>
                      <w:highlight w:val="none"/>
                      <w:lang w:val="en-US" w:eastAsia="zh-CN"/>
                    </w:rPr>
                    <w:t>二级活性炭装置</w:t>
                  </w:r>
                  <w:r>
                    <w:rPr>
                      <w:rFonts w:hint="eastAsia"/>
                      <w:color w:val="auto"/>
                      <w:sz w:val="21"/>
                      <w:szCs w:val="16"/>
                      <w:highlight w:val="none"/>
                      <w:lang w:val="en-US" w:eastAsia="zh-CN"/>
                    </w:rPr>
                    <w:t>处理后通过18.5m高排气筒（DA001）达标排放</w:t>
                  </w:r>
                  <w:r>
                    <w:rPr>
                      <w:rFonts w:hint="eastAsia"/>
                      <w:color w:val="auto"/>
                      <w:sz w:val="21"/>
                      <w:szCs w:val="16"/>
                      <w:highlight w:val="none"/>
                      <w:lang w:val="en-US" w:eastAsia="zh-CN"/>
                    </w:rPr>
                    <w:t>。</w:t>
                  </w:r>
                </w:p>
              </w:tc>
              <w:tc>
                <w:tcPr>
                  <w:tcW w:w="640" w:type="pct"/>
                  <w:shd w:val="clear" w:color="auto" w:fill="auto"/>
                  <w:noWrap w:val="0"/>
                  <w:vAlign w:val="center"/>
                </w:tcPr>
                <w:p w14:paraId="03A0A56E">
                  <w:pPr>
                    <w:pStyle w:val="7"/>
                    <w:spacing w:line="240" w:lineRule="auto"/>
                    <w:ind w:firstLine="0" w:firstLineChars="0"/>
                    <w:jc w:val="center"/>
                    <w:rPr>
                      <w:color w:val="auto"/>
                      <w:highlight w:val="none"/>
                    </w:rPr>
                  </w:pPr>
                  <w:r>
                    <w:rPr>
                      <w:rFonts w:hint="eastAsia"/>
                      <w:color w:val="auto"/>
                      <w:sz w:val="21"/>
                      <w:szCs w:val="21"/>
                      <w:highlight w:val="none"/>
                    </w:rPr>
                    <w:t>新建</w:t>
                  </w:r>
                </w:p>
              </w:tc>
            </w:tr>
            <w:tr w14:paraId="4D507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419" w:type="pct"/>
                  <w:vMerge w:val="continue"/>
                  <w:shd w:val="clear" w:color="auto" w:fill="auto"/>
                  <w:noWrap w:val="0"/>
                  <w:vAlign w:val="center"/>
                </w:tcPr>
                <w:p w14:paraId="05EA1C44">
                  <w:pPr>
                    <w:pStyle w:val="7"/>
                    <w:spacing w:line="240" w:lineRule="auto"/>
                    <w:ind w:firstLine="0" w:firstLineChars="0"/>
                    <w:jc w:val="center"/>
                    <w:rPr>
                      <w:color w:val="auto"/>
                      <w:sz w:val="21"/>
                      <w:szCs w:val="21"/>
                      <w:highlight w:val="none"/>
                    </w:rPr>
                  </w:pPr>
                </w:p>
              </w:tc>
              <w:tc>
                <w:tcPr>
                  <w:tcW w:w="882" w:type="pct"/>
                  <w:gridSpan w:val="2"/>
                  <w:shd w:val="clear" w:color="auto" w:fill="auto"/>
                  <w:noWrap w:val="0"/>
                  <w:vAlign w:val="center"/>
                </w:tcPr>
                <w:p w14:paraId="61EB99FA">
                  <w:pPr>
                    <w:pStyle w:val="7"/>
                    <w:spacing w:line="240" w:lineRule="auto"/>
                    <w:ind w:firstLine="0" w:firstLineChars="0"/>
                    <w:jc w:val="center"/>
                    <w:rPr>
                      <w:color w:val="auto"/>
                      <w:sz w:val="21"/>
                      <w:szCs w:val="21"/>
                      <w:highlight w:val="none"/>
                    </w:rPr>
                  </w:pPr>
                  <w:r>
                    <w:rPr>
                      <w:rFonts w:hint="eastAsia"/>
                      <w:color w:val="auto"/>
                      <w:sz w:val="21"/>
                      <w:szCs w:val="21"/>
                      <w:highlight w:val="none"/>
                    </w:rPr>
                    <w:t>废水</w:t>
                  </w:r>
                </w:p>
              </w:tc>
              <w:tc>
                <w:tcPr>
                  <w:tcW w:w="3056" w:type="pct"/>
                  <w:gridSpan w:val="2"/>
                  <w:shd w:val="clear" w:color="auto" w:fill="auto"/>
                  <w:noWrap w:val="0"/>
                  <w:vAlign w:val="center"/>
                </w:tcPr>
                <w:p w14:paraId="7EADDA2D">
                  <w:pPr>
                    <w:pStyle w:val="7"/>
                    <w:spacing w:line="240" w:lineRule="auto"/>
                    <w:ind w:firstLine="0" w:firstLineChars="0"/>
                    <w:jc w:val="both"/>
                    <w:rPr>
                      <w:color w:val="auto"/>
                      <w:sz w:val="21"/>
                      <w:szCs w:val="21"/>
                      <w:highlight w:val="none"/>
                    </w:rPr>
                  </w:pPr>
                  <w:r>
                    <w:rPr>
                      <w:rFonts w:hint="eastAsia"/>
                      <w:color w:val="auto"/>
                      <w:sz w:val="21"/>
                      <w:szCs w:val="21"/>
                      <w:highlight w:val="none"/>
                      <w:lang w:val="en-US" w:eastAsia="zh-CN"/>
                    </w:rPr>
                    <w:t>本项目无生产废水产生，员工生活污水经化粪池（</w:t>
                  </w:r>
                  <w:r>
                    <w:rPr>
                      <w:rFonts w:hint="eastAsia"/>
                      <w:color w:val="auto"/>
                      <w:sz w:val="21"/>
                      <w:szCs w:val="21"/>
                      <w:highlight w:val="none"/>
                    </w:rPr>
                    <w:t>50m</w:t>
                  </w:r>
                  <w:r>
                    <w:rPr>
                      <w:rFonts w:hint="eastAsia"/>
                      <w:color w:val="auto"/>
                      <w:sz w:val="21"/>
                      <w:szCs w:val="21"/>
                      <w:highlight w:val="none"/>
                      <w:vertAlign w:val="superscript"/>
                    </w:rPr>
                    <w:t>3</w:t>
                  </w:r>
                  <w:r>
                    <w:rPr>
                      <w:rFonts w:hint="eastAsia"/>
                      <w:color w:val="auto"/>
                      <w:sz w:val="21"/>
                      <w:szCs w:val="21"/>
                      <w:highlight w:val="none"/>
                    </w:rPr>
                    <w:t>，位于</w:t>
                  </w:r>
                  <w:r>
                    <w:rPr>
                      <w:rFonts w:hint="eastAsia"/>
                      <w:color w:val="auto"/>
                      <w:sz w:val="21"/>
                      <w:szCs w:val="21"/>
                      <w:highlight w:val="none"/>
                      <w:lang w:val="en-US" w:eastAsia="zh-CN"/>
                    </w:rPr>
                    <w:t>车间西</w:t>
                  </w:r>
                  <w:r>
                    <w:rPr>
                      <w:rFonts w:hint="eastAsia"/>
                      <w:color w:val="auto"/>
                      <w:sz w:val="21"/>
                      <w:szCs w:val="21"/>
                      <w:highlight w:val="none"/>
                    </w:rPr>
                    <w:t>北侧</w:t>
                  </w:r>
                  <w:r>
                    <w:rPr>
                      <w:rFonts w:hint="eastAsia"/>
                      <w:color w:val="auto"/>
                      <w:sz w:val="21"/>
                      <w:szCs w:val="21"/>
                      <w:highlight w:val="none"/>
                      <w:lang w:val="en-US" w:eastAsia="zh-CN"/>
                    </w:rPr>
                    <w:t>）处理后通过市政污水管网排入泾河新城第二污水处理厂集中处理</w:t>
                  </w:r>
                  <w:r>
                    <w:rPr>
                      <w:rFonts w:hint="eastAsia"/>
                      <w:color w:val="auto"/>
                      <w:sz w:val="21"/>
                      <w:szCs w:val="21"/>
                      <w:highlight w:val="none"/>
                    </w:rPr>
                    <w:t>。</w:t>
                  </w:r>
                </w:p>
              </w:tc>
              <w:tc>
                <w:tcPr>
                  <w:tcW w:w="640" w:type="pct"/>
                  <w:shd w:val="clear" w:color="auto" w:fill="auto"/>
                  <w:noWrap w:val="0"/>
                  <w:vAlign w:val="center"/>
                </w:tcPr>
                <w:p w14:paraId="01279D35">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rPr>
                    <w:t>依托</w:t>
                  </w:r>
                  <w:r>
                    <w:rPr>
                      <w:rFonts w:hint="eastAsia"/>
                      <w:color w:val="auto"/>
                      <w:sz w:val="21"/>
                      <w:szCs w:val="21"/>
                      <w:highlight w:val="none"/>
                      <w:lang w:val="en-US" w:eastAsia="zh-CN"/>
                    </w:rPr>
                    <w:t>厂区现有化粪池</w:t>
                  </w:r>
                </w:p>
              </w:tc>
            </w:tr>
            <w:tr w14:paraId="61107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19" w:type="pct"/>
                  <w:vMerge w:val="continue"/>
                  <w:shd w:val="clear" w:color="auto" w:fill="auto"/>
                  <w:noWrap w:val="0"/>
                  <w:vAlign w:val="center"/>
                </w:tcPr>
                <w:p w14:paraId="079F589A">
                  <w:pPr>
                    <w:pStyle w:val="7"/>
                    <w:spacing w:line="240" w:lineRule="auto"/>
                    <w:ind w:firstLine="0" w:firstLineChars="0"/>
                    <w:jc w:val="center"/>
                    <w:rPr>
                      <w:color w:val="auto"/>
                      <w:sz w:val="21"/>
                      <w:szCs w:val="21"/>
                      <w:highlight w:val="none"/>
                    </w:rPr>
                  </w:pPr>
                </w:p>
              </w:tc>
              <w:tc>
                <w:tcPr>
                  <w:tcW w:w="882" w:type="pct"/>
                  <w:gridSpan w:val="2"/>
                  <w:shd w:val="clear" w:color="auto" w:fill="auto"/>
                  <w:noWrap w:val="0"/>
                  <w:vAlign w:val="center"/>
                </w:tcPr>
                <w:p w14:paraId="18414CFE">
                  <w:pPr>
                    <w:pStyle w:val="7"/>
                    <w:spacing w:line="240" w:lineRule="auto"/>
                    <w:ind w:firstLine="0" w:firstLineChars="0"/>
                    <w:jc w:val="center"/>
                    <w:rPr>
                      <w:color w:val="auto"/>
                      <w:sz w:val="21"/>
                      <w:szCs w:val="21"/>
                      <w:highlight w:val="none"/>
                    </w:rPr>
                  </w:pPr>
                  <w:r>
                    <w:rPr>
                      <w:rFonts w:hint="eastAsia"/>
                      <w:color w:val="auto"/>
                      <w:sz w:val="21"/>
                      <w:szCs w:val="21"/>
                      <w:highlight w:val="none"/>
                    </w:rPr>
                    <w:t>噪声</w:t>
                  </w:r>
                </w:p>
              </w:tc>
              <w:tc>
                <w:tcPr>
                  <w:tcW w:w="3056" w:type="pct"/>
                  <w:gridSpan w:val="2"/>
                  <w:shd w:val="clear" w:color="auto" w:fill="auto"/>
                  <w:noWrap w:val="0"/>
                  <w:vAlign w:val="center"/>
                </w:tcPr>
                <w:p w14:paraId="7B04DBFB">
                  <w:pPr>
                    <w:jc w:val="left"/>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选用低噪声设备，建筑物隔声屏蔽及合理布局</w:t>
                  </w:r>
                  <w:r>
                    <w:rPr>
                      <w:rFonts w:hint="eastAsia"/>
                      <w:color w:val="auto"/>
                      <w:szCs w:val="21"/>
                      <w:highlight w:val="none"/>
                      <w:lang w:eastAsia="zh-CN"/>
                    </w:rPr>
                    <w:t>；</w:t>
                  </w:r>
                  <w:r>
                    <w:rPr>
                      <w:rFonts w:hint="eastAsia"/>
                      <w:color w:val="auto"/>
                      <w:szCs w:val="21"/>
                      <w:highlight w:val="none"/>
                      <w:lang w:val="en-US" w:eastAsia="zh-CN"/>
                    </w:rPr>
                    <w:t>其中搅拌罐、三维运动混料机、热风循环烘箱、高速混合机、球磨机、电阻炉、井式加热炉、箱式电阻炉、液压机、上料粉尘处理装置（脉冲净化器）、有机废气处理装置（包含配套风机）均位于厂房内，采用基础减振降噪措施，有机废气处理装置配套风机加设隔声罩；空压机位于厂房内，采用基础减振加消声器降噪措施。</w:t>
                  </w:r>
                </w:p>
              </w:tc>
              <w:tc>
                <w:tcPr>
                  <w:tcW w:w="640" w:type="pct"/>
                  <w:shd w:val="clear" w:color="auto" w:fill="auto"/>
                  <w:noWrap w:val="0"/>
                  <w:vAlign w:val="center"/>
                </w:tcPr>
                <w:p w14:paraId="7BCF8944">
                  <w:pPr>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新建</w:t>
                  </w:r>
                </w:p>
              </w:tc>
            </w:tr>
            <w:tr w14:paraId="0D78C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72B8C2FD">
                  <w:pPr>
                    <w:pStyle w:val="7"/>
                    <w:spacing w:line="240" w:lineRule="auto"/>
                    <w:ind w:firstLine="0" w:firstLineChars="0"/>
                    <w:jc w:val="center"/>
                    <w:rPr>
                      <w:color w:val="auto"/>
                      <w:sz w:val="21"/>
                      <w:szCs w:val="21"/>
                      <w:highlight w:val="none"/>
                    </w:rPr>
                  </w:pPr>
                </w:p>
              </w:tc>
              <w:tc>
                <w:tcPr>
                  <w:tcW w:w="411" w:type="pct"/>
                  <w:vMerge w:val="restart"/>
                  <w:shd w:val="clear" w:color="auto" w:fill="auto"/>
                  <w:noWrap w:val="0"/>
                  <w:vAlign w:val="center"/>
                </w:tcPr>
                <w:p w14:paraId="347414E3">
                  <w:pPr>
                    <w:pStyle w:val="7"/>
                    <w:spacing w:line="240" w:lineRule="auto"/>
                    <w:ind w:firstLine="0" w:firstLineChars="0"/>
                    <w:jc w:val="center"/>
                    <w:rPr>
                      <w:color w:val="auto"/>
                      <w:sz w:val="21"/>
                      <w:szCs w:val="21"/>
                      <w:highlight w:val="none"/>
                    </w:rPr>
                  </w:pPr>
                  <w:r>
                    <w:rPr>
                      <w:rFonts w:hint="eastAsia"/>
                      <w:color w:val="auto"/>
                      <w:sz w:val="21"/>
                      <w:szCs w:val="21"/>
                      <w:highlight w:val="none"/>
                    </w:rPr>
                    <w:t>固废</w:t>
                  </w:r>
                </w:p>
              </w:tc>
              <w:tc>
                <w:tcPr>
                  <w:tcW w:w="471" w:type="pct"/>
                  <w:shd w:val="clear" w:color="auto" w:fill="auto"/>
                  <w:noWrap w:val="0"/>
                  <w:vAlign w:val="center"/>
                </w:tcPr>
                <w:p w14:paraId="786EA6DB">
                  <w:pPr>
                    <w:adjustRightInd w:val="0"/>
                    <w:snapToGrid w:val="0"/>
                    <w:jc w:val="center"/>
                    <w:rPr>
                      <w:rFonts w:hint="eastAsia"/>
                      <w:color w:val="auto"/>
                      <w:sz w:val="21"/>
                      <w:szCs w:val="21"/>
                      <w:highlight w:val="none"/>
                    </w:rPr>
                  </w:pPr>
                  <w:r>
                    <w:rPr>
                      <w:rFonts w:hint="eastAsia"/>
                      <w:color w:val="auto"/>
                      <w:szCs w:val="21"/>
                      <w:highlight w:val="none"/>
                    </w:rPr>
                    <w:t>生活垃圾</w:t>
                  </w:r>
                </w:p>
              </w:tc>
              <w:tc>
                <w:tcPr>
                  <w:tcW w:w="3056" w:type="pct"/>
                  <w:gridSpan w:val="2"/>
                  <w:shd w:val="clear" w:color="auto" w:fill="auto"/>
                  <w:noWrap w:val="0"/>
                  <w:vAlign w:val="center"/>
                </w:tcPr>
                <w:p w14:paraId="7875740C">
                  <w:pPr>
                    <w:rPr>
                      <w:color w:val="auto"/>
                      <w:sz w:val="21"/>
                      <w:szCs w:val="21"/>
                      <w:highlight w:val="none"/>
                    </w:rPr>
                  </w:pPr>
                  <w:r>
                    <w:rPr>
                      <w:rFonts w:hint="eastAsia"/>
                      <w:color w:val="auto"/>
                      <w:szCs w:val="21"/>
                      <w:highlight w:val="none"/>
                    </w:rPr>
                    <w:t>分类收集，由市政环卫部门定期清运</w:t>
                  </w:r>
                </w:p>
              </w:tc>
              <w:tc>
                <w:tcPr>
                  <w:tcW w:w="640" w:type="pct"/>
                  <w:shd w:val="clear" w:color="auto" w:fill="auto"/>
                  <w:noWrap w:val="0"/>
                  <w:vAlign w:val="center"/>
                </w:tcPr>
                <w:p w14:paraId="6D9AE34F">
                  <w:pPr>
                    <w:pStyle w:val="7"/>
                    <w:spacing w:line="240" w:lineRule="auto"/>
                    <w:ind w:firstLine="0" w:firstLineChars="0"/>
                    <w:jc w:val="center"/>
                    <w:rPr>
                      <w:color w:val="auto"/>
                      <w:sz w:val="21"/>
                      <w:szCs w:val="21"/>
                      <w:highlight w:val="none"/>
                    </w:rPr>
                  </w:pPr>
                  <w:r>
                    <w:rPr>
                      <w:rFonts w:hint="eastAsia"/>
                      <w:color w:val="auto"/>
                      <w:sz w:val="21"/>
                      <w:szCs w:val="21"/>
                      <w:highlight w:val="none"/>
                    </w:rPr>
                    <w:t>新建</w:t>
                  </w:r>
                </w:p>
              </w:tc>
            </w:tr>
            <w:tr w14:paraId="58930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4C2BC828">
                  <w:pPr>
                    <w:pStyle w:val="7"/>
                    <w:spacing w:line="240" w:lineRule="auto"/>
                    <w:ind w:firstLine="0" w:firstLineChars="0"/>
                    <w:jc w:val="center"/>
                    <w:rPr>
                      <w:color w:val="auto"/>
                      <w:sz w:val="21"/>
                      <w:szCs w:val="21"/>
                      <w:highlight w:val="none"/>
                    </w:rPr>
                  </w:pPr>
                </w:p>
              </w:tc>
              <w:tc>
                <w:tcPr>
                  <w:tcW w:w="411" w:type="pct"/>
                  <w:vMerge w:val="continue"/>
                  <w:shd w:val="clear" w:color="auto" w:fill="auto"/>
                  <w:noWrap w:val="0"/>
                  <w:vAlign w:val="center"/>
                </w:tcPr>
                <w:p w14:paraId="56D24BD6">
                  <w:pPr>
                    <w:pStyle w:val="7"/>
                    <w:spacing w:line="240" w:lineRule="auto"/>
                    <w:ind w:firstLine="0" w:firstLineChars="0"/>
                    <w:jc w:val="center"/>
                    <w:rPr>
                      <w:rFonts w:hint="eastAsia"/>
                      <w:color w:val="auto"/>
                      <w:sz w:val="21"/>
                      <w:szCs w:val="21"/>
                      <w:highlight w:val="none"/>
                    </w:rPr>
                  </w:pPr>
                </w:p>
              </w:tc>
              <w:tc>
                <w:tcPr>
                  <w:tcW w:w="471" w:type="pct"/>
                  <w:shd w:val="clear" w:color="auto" w:fill="auto"/>
                  <w:noWrap w:val="0"/>
                  <w:vAlign w:val="center"/>
                </w:tcPr>
                <w:p w14:paraId="5CCE557A">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一般固废</w:t>
                  </w:r>
                </w:p>
              </w:tc>
              <w:tc>
                <w:tcPr>
                  <w:tcW w:w="3056" w:type="pct"/>
                  <w:gridSpan w:val="2"/>
                  <w:shd w:val="clear" w:color="auto" w:fill="auto"/>
                  <w:noWrap w:val="0"/>
                  <w:vAlign w:val="center"/>
                </w:tcPr>
                <w:p w14:paraId="352AB636">
                  <w:pPr>
                    <w:rPr>
                      <w:rFonts w:hint="eastAsia" w:ascii="Times New Roman" w:hAnsi="Times New Roman" w:eastAsia="宋体" w:cs="Times New Roman"/>
                      <w:color w:val="auto"/>
                      <w:kern w:val="0"/>
                      <w:sz w:val="21"/>
                      <w:szCs w:val="21"/>
                      <w:highlight w:val="none"/>
                      <w:lang w:val="en-US" w:eastAsia="zh-CN" w:bidi="ar-SA"/>
                    </w:rPr>
                  </w:pPr>
                  <w:r>
                    <w:rPr>
                      <w:rFonts w:hint="eastAsia"/>
                      <w:color w:val="auto"/>
                      <w:szCs w:val="21"/>
                      <w:highlight w:val="none"/>
                    </w:rPr>
                    <w:t>一般工业固废包括除尘灰、废模具、废边角料、废包装材料、废铝合金，分类收集后暂存于一般工业固废暂存区（位于库房北部，面积10m</w:t>
                  </w:r>
                  <w:r>
                    <w:rPr>
                      <w:rFonts w:hint="eastAsia"/>
                      <w:color w:val="auto"/>
                      <w:szCs w:val="21"/>
                      <w:highlight w:val="none"/>
                      <w:vertAlign w:val="superscript"/>
                    </w:rPr>
                    <w:t>2</w:t>
                  </w:r>
                  <w:r>
                    <w:rPr>
                      <w:rFonts w:hint="eastAsia"/>
                      <w:color w:val="auto"/>
                      <w:szCs w:val="21"/>
                      <w:highlight w:val="none"/>
                    </w:rPr>
                    <w:t>），其中除尘灰定期回收综合利用，废模具厂家定期回收，废边角料、废包装材料、废铝合金定期外售综合利用</w:t>
                  </w:r>
                  <w:r>
                    <w:rPr>
                      <w:rFonts w:hint="eastAsia"/>
                      <w:color w:val="auto"/>
                      <w:szCs w:val="21"/>
                      <w:highlight w:val="none"/>
                      <w:lang w:eastAsia="zh-CN"/>
                    </w:rPr>
                    <w:t>。</w:t>
                  </w:r>
                </w:p>
              </w:tc>
              <w:tc>
                <w:tcPr>
                  <w:tcW w:w="640" w:type="pct"/>
                  <w:shd w:val="clear" w:color="auto" w:fill="auto"/>
                  <w:noWrap w:val="0"/>
                  <w:vAlign w:val="center"/>
                </w:tcPr>
                <w:p w14:paraId="1B456F77">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14:paraId="0705A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419" w:type="pct"/>
                  <w:vMerge w:val="continue"/>
                  <w:shd w:val="clear" w:color="auto" w:fill="auto"/>
                  <w:noWrap w:val="0"/>
                  <w:vAlign w:val="center"/>
                </w:tcPr>
                <w:p w14:paraId="70AB2633">
                  <w:pPr>
                    <w:pStyle w:val="7"/>
                    <w:spacing w:line="240" w:lineRule="auto"/>
                    <w:ind w:firstLine="0" w:firstLineChars="0"/>
                    <w:jc w:val="center"/>
                    <w:rPr>
                      <w:color w:val="auto"/>
                      <w:sz w:val="21"/>
                      <w:szCs w:val="21"/>
                      <w:highlight w:val="none"/>
                    </w:rPr>
                  </w:pPr>
                </w:p>
              </w:tc>
              <w:tc>
                <w:tcPr>
                  <w:tcW w:w="411" w:type="pct"/>
                  <w:vMerge w:val="continue"/>
                  <w:shd w:val="clear" w:color="auto" w:fill="auto"/>
                  <w:noWrap w:val="0"/>
                  <w:vAlign w:val="center"/>
                </w:tcPr>
                <w:p w14:paraId="2636F46D">
                  <w:pPr>
                    <w:pStyle w:val="7"/>
                    <w:spacing w:line="240" w:lineRule="auto"/>
                    <w:ind w:firstLine="0" w:firstLineChars="0"/>
                    <w:jc w:val="center"/>
                    <w:rPr>
                      <w:rFonts w:hint="eastAsia"/>
                      <w:color w:val="auto"/>
                      <w:sz w:val="21"/>
                      <w:szCs w:val="21"/>
                      <w:highlight w:val="none"/>
                    </w:rPr>
                  </w:pPr>
                </w:p>
              </w:tc>
              <w:tc>
                <w:tcPr>
                  <w:tcW w:w="471" w:type="pct"/>
                  <w:shd w:val="clear" w:color="auto" w:fill="auto"/>
                  <w:noWrap w:val="0"/>
                  <w:vAlign w:val="center"/>
                </w:tcPr>
                <w:p w14:paraId="523BF177">
                  <w:pPr>
                    <w:adjustRightInd w:val="0"/>
                    <w:snapToGrid w:val="0"/>
                    <w:jc w:val="center"/>
                    <w:rPr>
                      <w:rFonts w:hint="eastAsia"/>
                      <w:color w:val="auto"/>
                      <w:sz w:val="21"/>
                      <w:szCs w:val="21"/>
                      <w:highlight w:val="none"/>
                    </w:rPr>
                  </w:pPr>
                  <w:r>
                    <w:rPr>
                      <w:rFonts w:hint="eastAsia"/>
                      <w:color w:val="auto"/>
                      <w:szCs w:val="21"/>
                      <w:highlight w:val="none"/>
                    </w:rPr>
                    <w:t>危险废物</w:t>
                  </w:r>
                </w:p>
              </w:tc>
              <w:tc>
                <w:tcPr>
                  <w:tcW w:w="3056" w:type="pct"/>
                  <w:gridSpan w:val="2"/>
                  <w:shd w:val="clear" w:color="auto" w:fill="auto"/>
                  <w:noWrap w:val="0"/>
                  <w:vAlign w:val="center"/>
                </w:tcPr>
                <w:p w14:paraId="69AD3A43">
                  <w:pPr>
                    <w:rPr>
                      <w:rFonts w:hint="eastAsia" w:eastAsia="宋体"/>
                      <w:color w:val="auto"/>
                      <w:sz w:val="21"/>
                      <w:szCs w:val="21"/>
                      <w:highlight w:val="none"/>
                      <w:lang w:eastAsia="zh-CN"/>
                    </w:rPr>
                  </w:pPr>
                  <w:r>
                    <w:rPr>
                      <w:rFonts w:hint="eastAsia"/>
                      <w:color w:val="auto"/>
                      <w:szCs w:val="21"/>
                      <w:highlight w:val="none"/>
                    </w:rPr>
                    <w:t>危险废物包括有机废气处理产生的废活性炭、废油桶、废含油抹布，分类收集后暂存于危废贮存库（依托</w:t>
                  </w:r>
                  <w:r>
                    <w:rPr>
                      <w:rFonts w:hint="eastAsia"/>
                      <w:color w:val="auto"/>
                      <w:szCs w:val="21"/>
                      <w:highlight w:val="none"/>
                    </w:rPr>
                    <w:t>陕西力拓重工机械有限公司</w:t>
                  </w:r>
                  <w:r>
                    <w:rPr>
                      <w:rFonts w:hint="eastAsia"/>
                      <w:color w:val="auto"/>
                      <w:szCs w:val="21"/>
                      <w:highlight w:val="none"/>
                    </w:rPr>
                    <w:t>现有，依托面积</w:t>
                  </w:r>
                  <w:r>
                    <w:rPr>
                      <w:rFonts w:hint="eastAsia"/>
                      <w:color w:val="auto"/>
                      <w:szCs w:val="21"/>
                      <w:highlight w:val="none"/>
                      <w:lang w:val="en-US" w:eastAsia="zh-CN"/>
                    </w:rPr>
                    <w:t>5</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），定期交由有资质单位处置。</w:t>
                  </w:r>
                </w:p>
              </w:tc>
              <w:tc>
                <w:tcPr>
                  <w:tcW w:w="640" w:type="pct"/>
                  <w:shd w:val="clear" w:color="auto" w:fill="auto"/>
                  <w:noWrap w:val="0"/>
                  <w:vAlign w:val="center"/>
                </w:tcPr>
                <w:p w14:paraId="71271A80">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依托厂区现有危废贮存库</w:t>
                  </w:r>
                </w:p>
              </w:tc>
            </w:tr>
          </w:tbl>
          <w:p w14:paraId="5E87A0E8">
            <w:pPr>
              <w:pStyle w:val="7"/>
              <w:ind w:firstLine="482"/>
              <w:rPr>
                <w:b/>
                <w:bCs/>
                <w:color w:val="auto"/>
                <w:szCs w:val="21"/>
                <w:highlight w:val="none"/>
              </w:rPr>
            </w:pPr>
            <w:r>
              <w:rPr>
                <w:rFonts w:hint="eastAsia"/>
                <w:b/>
                <w:bCs/>
                <w:color w:val="auto"/>
                <w:szCs w:val="21"/>
                <w:highlight w:val="none"/>
              </w:rPr>
              <w:t>4、产品方案</w:t>
            </w:r>
          </w:p>
          <w:p w14:paraId="2A219A83">
            <w:pPr>
              <w:pStyle w:val="7"/>
              <w:ind w:firstLine="480"/>
              <w:rPr>
                <w:rFonts w:hint="eastAsia"/>
                <w:bCs/>
                <w:color w:val="auto"/>
                <w:highlight w:val="none"/>
                <w:lang w:val="en-US" w:eastAsia="zh-CN"/>
              </w:rPr>
            </w:pPr>
            <w:r>
              <w:rPr>
                <w:rFonts w:hint="eastAsia"/>
                <w:bCs/>
                <w:color w:val="auto"/>
                <w:highlight w:val="none"/>
                <w:lang w:val="en-US" w:eastAsia="zh-CN"/>
              </w:rPr>
              <w:t>本项目产品为</w:t>
            </w:r>
            <w:r>
              <w:rPr>
                <w:rFonts w:hint="eastAsia" w:eastAsia="宋体"/>
                <w:bCs/>
                <w:color w:val="auto"/>
                <w:highlight w:val="none"/>
                <w:lang w:val="en-US" w:eastAsia="zh-CN"/>
              </w:rPr>
              <w:t>铝碳化硅</w:t>
            </w:r>
            <w:r>
              <w:rPr>
                <w:rFonts w:hint="eastAsia"/>
                <w:bCs/>
                <w:color w:val="auto"/>
                <w:highlight w:val="none"/>
                <w:lang w:val="en-US" w:eastAsia="zh-CN"/>
              </w:rPr>
              <w:t>及铝金刚石。</w:t>
            </w:r>
          </w:p>
          <w:p w14:paraId="5B85B518">
            <w:pPr>
              <w:pStyle w:val="7"/>
              <w:ind w:firstLine="480"/>
              <w:rPr>
                <w:rFonts w:hint="eastAsia" w:eastAsia="宋体"/>
                <w:bCs/>
                <w:color w:val="auto"/>
                <w:highlight w:val="none"/>
                <w:lang w:val="en-US" w:eastAsia="zh-CN"/>
              </w:rPr>
            </w:pPr>
            <w:r>
              <w:rPr>
                <w:rFonts w:hint="eastAsia" w:eastAsia="宋体"/>
                <w:bCs/>
                <w:color w:val="auto"/>
                <w:highlight w:val="none"/>
                <w:lang w:val="en-US" w:eastAsia="zh-CN"/>
              </w:rPr>
              <w:t>铝碳化硅是</w:t>
            </w:r>
            <w:r>
              <w:rPr>
                <w:rFonts w:hint="eastAsia"/>
                <w:bCs/>
                <w:color w:val="auto"/>
                <w:highlight w:val="none"/>
                <w:lang w:val="en-US" w:eastAsia="zh-CN"/>
              </w:rPr>
              <w:t>铝合金</w:t>
            </w:r>
            <w:r>
              <w:rPr>
                <w:rFonts w:hint="eastAsia" w:eastAsia="宋体"/>
                <w:bCs/>
                <w:color w:val="auto"/>
                <w:highlight w:val="none"/>
                <w:lang w:val="en-US" w:eastAsia="zh-CN"/>
              </w:rPr>
              <w:t>和碳化硅复合而成的金属基热管理复合材料，是电子元器件专用封装材料，主要是将</w:t>
            </w:r>
            <w:r>
              <w:rPr>
                <w:rFonts w:hint="eastAsia"/>
                <w:bCs/>
                <w:color w:val="auto"/>
                <w:highlight w:val="none"/>
                <w:lang w:val="en-US" w:eastAsia="zh-CN"/>
              </w:rPr>
              <w:t>铝合金</w:t>
            </w:r>
            <w:r>
              <w:rPr>
                <w:rFonts w:hint="eastAsia" w:eastAsia="宋体"/>
                <w:bCs/>
                <w:color w:val="auto"/>
                <w:highlight w:val="none"/>
                <w:lang w:val="en-US" w:eastAsia="zh-CN"/>
              </w:rPr>
              <w:t>与高体积分数的碳化硅复合成为低密度、高导热率和低膨胀系数的封装材料，可用于大功率IGBT散热基板上的国产化应用、军工雷达以及军工芯片的散热底板和散热盖板，也可用于高铁、国网、新能源汽车、航天航空电子封装等高端领域，具有巨大的社会价值和显著的经济效益。</w:t>
            </w:r>
          </w:p>
          <w:p w14:paraId="5E64F68A">
            <w:pPr>
              <w:pStyle w:val="7"/>
              <w:ind w:firstLine="480"/>
              <w:rPr>
                <w:rFonts w:hint="default" w:eastAsia="宋体"/>
                <w:bCs/>
                <w:color w:val="auto"/>
                <w:highlight w:val="none"/>
                <w:lang w:val="en-US" w:eastAsia="zh-CN"/>
              </w:rPr>
            </w:pPr>
            <w:r>
              <w:rPr>
                <w:rFonts w:hint="eastAsia"/>
                <w:bCs/>
                <w:color w:val="auto"/>
                <w:highlight w:val="none"/>
                <w:lang w:val="en-US" w:eastAsia="zh-CN"/>
              </w:rPr>
              <w:t>铝金刚石是金刚石和铝复合而成的材料，它是以铝合金为基体、以金刚石颗粒作为增强体形成的一种金属基复合材料，主要用于封装高性能集成电路、微处理器和功率半导体器件、制造飞行器机翼边缘防护件、卫星精密仪器支架等，</w:t>
            </w:r>
            <w:r>
              <w:rPr>
                <w:rFonts w:hint="eastAsia" w:eastAsia="宋体"/>
                <w:bCs/>
                <w:color w:val="auto"/>
                <w:highlight w:val="none"/>
                <w:lang w:val="en-US" w:eastAsia="zh-CN"/>
              </w:rPr>
              <w:t>因其高导热性、轻质高强等优异性能，在多个领域得到了广泛应用</w:t>
            </w:r>
            <w:r>
              <w:rPr>
                <w:rFonts w:hint="eastAsia"/>
                <w:bCs/>
                <w:color w:val="auto"/>
                <w:highlight w:val="none"/>
                <w:lang w:val="en-US" w:eastAsia="zh-CN"/>
              </w:rPr>
              <w:t>。</w:t>
            </w:r>
          </w:p>
          <w:p w14:paraId="2BD6D539">
            <w:pPr>
              <w:pStyle w:val="7"/>
              <w:ind w:firstLine="480"/>
              <w:rPr>
                <w:rFonts w:hint="default" w:eastAsia="宋体"/>
                <w:bCs/>
                <w:color w:val="auto"/>
                <w:highlight w:val="none"/>
                <w:lang w:val="en-US" w:eastAsia="zh-CN"/>
              </w:rPr>
            </w:pPr>
            <w:r>
              <w:rPr>
                <w:rFonts w:hint="eastAsia" w:eastAsia="宋体"/>
                <w:bCs/>
                <w:color w:val="auto"/>
                <w:highlight w:val="none"/>
                <w:lang w:val="en-US" w:eastAsia="zh-CN"/>
              </w:rPr>
              <w:t>本项目</w:t>
            </w:r>
            <w:r>
              <w:rPr>
                <w:rFonts w:hint="eastAsia"/>
                <w:bCs/>
                <w:color w:val="auto"/>
                <w:highlight w:val="none"/>
                <w:lang w:val="en-US" w:eastAsia="zh-CN"/>
              </w:rPr>
              <w:t>年</w:t>
            </w:r>
            <w:r>
              <w:rPr>
                <w:rFonts w:hint="eastAsia" w:eastAsia="宋体"/>
                <w:bCs/>
                <w:color w:val="auto"/>
                <w:highlight w:val="none"/>
                <w:lang w:val="en-US" w:eastAsia="zh-CN"/>
              </w:rPr>
              <w:t>生产铝碳化硅</w:t>
            </w:r>
            <w:r>
              <w:rPr>
                <w:rFonts w:hint="eastAsia"/>
                <w:bCs/>
                <w:color w:val="auto"/>
                <w:highlight w:val="none"/>
                <w:lang w:val="en-US" w:eastAsia="zh-CN"/>
              </w:rPr>
              <w:t>、</w:t>
            </w:r>
            <w:r>
              <w:rPr>
                <w:rFonts w:hint="eastAsia" w:eastAsia="宋体"/>
                <w:bCs/>
                <w:color w:val="auto"/>
                <w:highlight w:val="none"/>
                <w:lang w:val="en-US" w:eastAsia="zh-CN"/>
              </w:rPr>
              <w:t>铝金刚石复合材料散热片30万件</w:t>
            </w:r>
            <w:r>
              <w:rPr>
                <w:rFonts w:hint="eastAsia"/>
                <w:bCs/>
                <w:color w:val="auto"/>
                <w:highlight w:val="none"/>
                <w:lang w:val="en-US" w:eastAsia="zh-CN"/>
              </w:rPr>
              <w:t>。</w:t>
            </w:r>
          </w:p>
          <w:p w14:paraId="3AB4B20D">
            <w:pPr>
              <w:jc w:val="center"/>
              <w:rPr>
                <w:b/>
                <w:color w:val="auto"/>
                <w:sz w:val="24"/>
                <w:highlight w:val="none"/>
              </w:rPr>
            </w:pPr>
            <w:r>
              <w:rPr>
                <w:b/>
                <w:color w:val="auto"/>
                <w:sz w:val="24"/>
                <w:highlight w:val="none"/>
              </w:rPr>
              <w:t>表2-</w:t>
            </w:r>
            <w:r>
              <w:rPr>
                <w:rFonts w:hint="eastAsia"/>
                <w:b/>
                <w:color w:val="auto"/>
                <w:sz w:val="24"/>
                <w:highlight w:val="none"/>
              </w:rPr>
              <w:t>2项目产品方案</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33"/>
              <w:gridCol w:w="920"/>
              <w:gridCol w:w="766"/>
              <w:gridCol w:w="938"/>
              <w:gridCol w:w="2465"/>
              <w:gridCol w:w="1000"/>
            </w:tblGrid>
            <w:tr w14:paraId="2EEDD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90" w:type="pct"/>
                  <w:shd w:val="clear" w:color="auto" w:fill="auto"/>
                  <w:noWrap w:val="0"/>
                  <w:vAlign w:val="center"/>
                </w:tcPr>
                <w:p w14:paraId="11D0D4AD">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序号</w:t>
                  </w:r>
                </w:p>
              </w:tc>
              <w:tc>
                <w:tcPr>
                  <w:tcW w:w="776" w:type="pct"/>
                  <w:shd w:val="clear" w:color="auto" w:fill="auto"/>
                  <w:noWrap w:val="0"/>
                  <w:vAlign w:val="center"/>
                </w:tcPr>
                <w:p w14:paraId="46B9848C">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产品名称</w:t>
                  </w:r>
                </w:p>
              </w:tc>
              <w:tc>
                <w:tcPr>
                  <w:tcW w:w="579" w:type="pct"/>
                  <w:shd w:val="clear" w:color="auto" w:fill="auto"/>
                  <w:noWrap w:val="0"/>
                  <w:vAlign w:val="center"/>
                </w:tcPr>
                <w:p w14:paraId="5FD1E53E">
                  <w:pPr>
                    <w:pStyle w:val="7"/>
                    <w:spacing w:line="240" w:lineRule="auto"/>
                    <w:ind w:firstLine="0" w:firstLineChars="0"/>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规格</w:t>
                  </w:r>
                </w:p>
              </w:tc>
              <w:tc>
                <w:tcPr>
                  <w:tcW w:w="482" w:type="pct"/>
                  <w:shd w:val="clear" w:color="auto" w:fill="auto"/>
                  <w:noWrap w:val="0"/>
                  <w:vAlign w:val="center"/>
                </w:tcPr>
                <w:p w14:paraId="5D63DB1E">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单位</w:t>
                  </w:r>
                </w:p>
              </w:tc>
              <w:tc>
                <w:tcPr>
                  <w:tcW w:w="590" w:type="pct"/>
                  <w:shd w:val="clear" w:color="auto" w:fill="auto"/>
                  <w:noWrap w:val="0"/>
                  <w:vAlign w:val="center"/>
                </w:tcPr>
                <w:p w14:paraId="4413DC39">
                  <w:pPr>
                    <w:pStyle w:val="7"/>
                    <w:spacing w:line="240" w:lineRule="auto"/>
                    <w:ind w:firstLine="0" w:firstLineChars="0"/>
                    <w:jc w:val="center"/>
                    <w:rPr>
                      <w:b/>
                      <w:bCs/>
                      <w:color w:val="auto"/>
                      <w:sz w:val="21"/>
                      <w:szCs w:val="21"/>
                      <w:highlight w:val="none"/>
                    </w:rPr>
                  </w:pPr>
                  <w:r>
                    <w:rPr>
                      <w:rFonts w:hint="eastAsia"/>
                      <w:b/>
                      <w:bCs/>
                      <w:color w:val="auto"/>
                      <w:sz w:val="21"/>
                      <w:szCs w:val="21"/>
                      <w:highlight w:val="none"/>
                    </w:rPr>
                    <w:t>年产量</w:t>
                  </w:r>
                </w:p>
              </w:tc>
              <w:tc>
                <w:tcPr>
                  <w:tcW w:w="1551" w:type="pct"/>
                  <w:shd w:val="clear" w:color="auto" w:fill="auto"/>
                  <w:noWrap w:val="0"/>
                  <w:vAlign w:val="center"/>
                </w:tcPr>
                <w:p w14:paraId="27A5523E">
                  <w:pPr>
                    <w:pStyle w:val="7"/>
                    <w:spacing w:line="240" w:lineRule="auto"/>
                    <w:ind w:firstLine="0" w:firstLineChars="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主要技术指标</w:t>
                  </w:r>
                </w:p>
              </w:tc>
              <w:tc>
                <w:tcPr>
                  <w:tcW w:w="629" w:type="pct"/>
                  <w:shd w:val="clear" w:color="auto" w:fill="auto"/>
                  <w:noWrap w:val="0"/>
                  <w:vAlign w:val="center"/>
                </w:tcPr>
                <w:p w14:paraId="5F0FDD9C">
                  <w:pPr>
                    <w:pStyle w:val="7"/>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lang w:val="en-US" w:eastAsia="zh-CN"/>
                    </w:rPr>
                    <w:t>用途</w:t>
                  </w:r>
                </w:p>
              </w:tc>
            </w:tr>
            <w:tr w14:paraId="65340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0" w:type="pct"/>
                  <w:shd w:val="clear" w:color="auto" w:fill="auto"/>
                  <w:noWrap w:val="0"/>
                  <w:vAlign w:val="center"/>
                </w:tcPr>
                <w:p w14:paraId="2881AA3E">
                  <w:pPr>
                    <w:pStyle w:val="7"/>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776" w:type="pct"/>
                  <w:shd w:val="clear" w:color="auto" w:fill="auto"/>
                  <w:noWrap w:val="0"/>
                  <w:vAlign w:val="center"/>
                </w:tcPr>
                <w:p w14:paraId="2840342C">
                  <w:pPr>
                    <w:pStyle w:val="7"/>
                    <w:spacing w:line="240" w:lineRule="auto"/>
                    <w:ind w:firstLine="0" w:firstLineChars="0"/>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铝碳化硅、铝金刚石复合材料散热片</w:t>
                  </w:r>
                </w:p>
              </w:tc>
              <w:tc>
                <w:tcPr>
                  <w:tcW w:w="579" w:type="pct"/>
                  <w:shd w:val="clear" w:color="auto" w:fill="auto"/>
                  <w:noWrap w:val="0"/>
                  <w:vAlign w:val="center"/>
                </w:tcPr>
                <w:p w14:paraId="691CCABF">
                  <w:pPr>
                    <w:pStyle w:val="7"/>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定制</w:t>
                  </w:r>
                </w:p>
              </w:tc>
              <w:tc>
                <w:tcPr>
                  <w:tcW w:w="482" w:type="pct"/>
                  <w:shd w:val="clear" w:color="auto" w:fill="auto"/>
                  <w:noWrap w:val="0"/>
                  <w:vAlign w:val="center"/>
                </w:tcPr>
                <w:p w14:paraId="393EBDA0">
                  <w:pPr>
                    <w:pStyle w:val="7"/>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万</w:t>
                  </w:r>
                  <w:r>
                    <w:rPr>
                      <w:rFonts w:hint="eastAsia"/>
                      <w:color w:val="auto"/>
                      <w:sz w:val="21"/>
                      <w:szCs w:val="21"/>
                      <w:highlight w:val="none"/>
                      <w:lang w:val="en-US" w:eastAsia="zh-CN"/>
                    </w:rPr>
                    <w:t>件</w:t>
                  </w:r>
                </w:p>
              </w:tc>
              <w:tc>
                <w:tcPr>
                  <w:tcW w:w="590" w:type="pct"/>
                  <w:shd w:val="clear" w:color="auto" w:fill="auto"/>
                  <w:noWrap w:val="0"/>
                  <w:vAlign w:val="center"/>
                </w:tcPr>
                <w:p w14:paraId="1B70433A">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1551" w:type="pct"/>
                  <w:shd w:val="clear" w:color="auto" w:fill="auto"/>
                  <w:noWrap w:val="0"/>
                  <w:vAlign w:val="center"/>
                </w:tcPr>
                <w:p w14:paraId="6E1E5A64">
                  <w:pPr>
                    <w:pStyle w:val="7"/>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密度：2.9-3.0g/cm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热导率：180W/mk；膨胀系数：8*10-6；弯曲强度：350MPa</w:t>
                  </w:r>
                </w:p>
              </w:tc>
              <w:tc>
                <w:tcPr>
                  <w:tcW w:w="629" w:type="pct"/>
                  <w:shd w:val="clear" w:color="auto" w:fill="auto"/>
                  <w:noWrap w:val="0"/>
                  <w:vAlign w:val="center"/>
                </w:tcPr>
                <w:p w14:paraId="50859BFD">
                  <w:pPr>
                    <w:pStyle w:val="7"/>
                    <w:spacing w:line="240" w:lineRule="auto"/>
                    <w:ind w:firstLine="0" w:firstLineChars="0"/>
                    <w:jc w:val="center"/>
                    <w:rPr>
                      <w:rFonts w:hint="default"/>
                      <w:color w:val="auto"/>
                      <w:sz w:val="21"/>
                      <w:szCs w:val="21"/>
                      <w:highlight w:val="none"/>
                      <w:lang w:val="en-US"/>
                    </w:rPr>
                  </w:pPr>
                  <w:r>
                    <w:rPr>
                      <w:rFonts w:hint="default"/>
                      <w:color w:val="auto"/>
                      <w:sz w:val="21"/>
                      <w:szCs w:val="21"/>
                      <w:highlight w:val="none"/>
                      <w:lang w:val="en-US"/>
                    </w:rPr>
                    <w:t>电子封装材料</w:t>
                  </w:r>
                </w:p>
              </w:tc>
            </w:tr>
          </w:tbl>
          <w:p w14:paraId="7FB7B49A">
            <w:pPr>
              <w:pStyle w:val="7"/>
              <w:ind w:left="0" w:leftChars="0" w:firstLine="0" w:firstLineChars="0"/>
              <w:rPr>
                <w:rFonts w:hint="default" w:eastAsia="宋体"/>
                <w:b/>
                <w:bCs/>
                <w:color w:val="auto"/>
                <w:sz w:val="21"/>
                <w:szCs w:val="21"/>
                <w:highlight w:val="none"/>
                <w:lang w:val="en-US" w:eastAsia="zh-CN"/>
              </w:rPr>
            </w:pPr>
            <w:r>
              <w:rPr>
                <w:rFonts w:hint="eastAsia"/>
                <w:b/>
                <w:bCs/>
                <w:color w:val="auto"/>
                <w:sz w:val="21"/>
                <w:szCs w:val="18"/>
                <w:highlight w:val="none"/>
                <w:lang w:val="en-US" w:eastAsia="zh-CN"/>
              </w:rPr>
              <w:t>备注：本项目所生产的</w:t>
            </w:r>
            <w:r>
              <w:rPr>
                <w:rFonts w:hint="eastAsia"/>
                <w:b/>
                <w:bCs/>
                <w:color w:val="auto"/>
                <w:sz w:val="21"/>
                <w:szCs w:val="18"/>
                <w:highlight w:val="none"/>
                <w:lang w:val="en-US" w:eastAsia="zh-CN"/>
              </w:rPr>
              <w:t>铝碳化硅、铝金刚石复合材料散热片</w:t>
            </w:r>
            <w:r>
              <w:rPr>
                <w:rFonts w:hint="eastAsia"/>
                <w:b/>
                <w:bCs/>
                <w:color w:val="auto"/>
                <w:sz w:val="21"/>
                <w:szCs w:val="18"/>
                <w:highlight w:val="none"/>
                <w:lang w:val="en-US" w:eastAsia="zh-CN"/>
              </w:rPr>
              <w:t>全部根据顾客要求定制而成，</w:t>
            </w:r>
            <w:r>
              <w:rPr>
                <w:rFonts w:hint="eastAsia"/>
                <w:b/>
                <w:bCs/>
                <w:color w:val="auto"/>
                <w:sz w:val="21"/>
                <w:szCs w:val="18"/>
                <w:highlight w:val="none"/>
                <w:lang w:val="en-US" w:eastAsia="zh-CN"/>
              </w:rPr>
              <w:t>铝碳化硅、铝金刚石复合材料散热片合计年生产30万件，两种产品各自年产量根据市场需求进行调整，总量不超过30万件/年。</w:t>
            </w:r>
          </w:p>
          <w:p w14:paraId="00744CB4">
            <w:pPr>
              <w:pStyle w:val="7"/>
              <w:ind w:firstLine="482"/>
              <w:rPr>
                <w:rFonts w:hint="eastAsia"/>
                <w:b/>
                <w:bCs/>
                <w:color w:val="auto"/>
                <w:szCs w:val="21"/>
                <w:highlight w:val="none"/>
              </w:rPr>
            </w:pPr>
            <w:r>
              <w:rPr>
                <w:rFonts w:hint="eastAsia"/>
                <w:b/>
                <w:bCs/>
                <w:color w:val="auto"/>
                <w:szCs w:val="21"/>
                <w:highlight w:val="none"/>
              </w:rPr>
              <w:t>5、原辅材料</w:t>
            </w:r>
            <w:r>
              <w:rPr>
                <w:rFonts w:hint="eastAsia"/>
                <w:b/>
                <w:bCs/>
                <w:color w:val="auto"/>
                <w:szCs w:val="21"/>
                <w:highlight w:val="none"/>
                <w:lang w:eastAsia="zh-CN"/>
              </w:rPr>
              <w:t>、</w:t>
            </w:r>
            <w:r>
              <w:rPr>
                <w:rFonts w:hint="eastAsia"/>
                <w:b/>
                <w:bCs/>
                <w:color w:val="auto"/>
                <w:szCs w:val="21"/>
                <w:highlight w:val="none"/>
                <w:lang w:val="en-US" w:eastAsia="zh-CN"/>
              </w:rPr>
              <w:t>能源消耗</w:t>
            </w:r>
            <w:r>
              <w:rPr>
                <w:rFonts w:hint="eastAsia"/>
                <w:b/>
                <w:bCs/>
                <w:color w:val="auto"/>
                <w:szCs w:val="21"/>
                <w:highlight w:val="none"/>
              </w:rPr>
              <w:t>及主要设备</w:t>
            </w:r>
          </w:p>
          <w:p w14:paraId="736036DB">
            <w:pPr>
              <w:pStyle w:val="7"/>
              <w:ind w:firstLine="480"/>
              <w:rPr>
                <w:bCs/>
                <w:color w:val="auto"/>
                <w:highlight w:val="none"/>
              </w:rPr>
            </w:pPr>
            <w:r>
              <w:rPr>
                <w:rFonts w:hint="eastAsia"/>
                <w:bCs/>
                <w:color w:val="auto"/>
                <w:highlight w:val="none"/>
              </w:rPr>
              <w:t>项目</w:t>
            </w:r>
            <w:r>
              <w:rPr>
                <w:bCs/>
                <w:color w:val="auto"/>
                <w:highlight w:val="none"/>
              </w:rPr>
              <w:t>主要</w:t>
            </w:r>
            <w:r>
              <w:rPr>
                <w:rFonts w:hint="eastAsia"/>
                <w:bCs/>
                <w:color w:val="auto"/>
                <w:highlight w:val="none"/>
              </w:rPr>
              <w:t>原辅材料、能源消耗</w:t>
            </w:r>
            <w:r>
              <w:rPr>
                <w:bCs/>
                <w:color w:val="auto"/>
                <w:highlight w:val="none"/>
              </w:rPr>
              <w:t>情况见表2-3，主要原辅材料理化性质见表2-4，主要设备见表2-5。</w:t>
            </w:r>
          </w:p>
          <w:p w14:paraId="0F598EEF">
            <w:pPr>
              <w:ind w:firstLine="482" w:firstLineChars="200"/>
              <w:jc w:val="center"/>
              <w:rPr>
                <w:b/>
                <w:color w:val="auto"/>
                <w:sz w:val="24"/>
                <w:highlight w:val="none"/>
              </w:rPr>
            </w:pPr>
            <w:r>
              <w:rPr>
                <w:b/>
                <w:color w:val="auto"/>
                <w:sz w:val="24"/>
                <w:highlight w:val="none"/>
              </w:rPr>
              <w:t xml:space="preserve">表2-3 </w:t>
            </w:r>
            <w:r>
              <w:rPr>
                <w:rFonts w:hint="eastAsia"/>
                <w:b/>
                <w:color w:val="auto"/>
                <w:sz w:val="24"/>
                <w:highlight w:val="none"/>
              </w:rPr>
              <w:t>本项目原辅材料、能源消耗</w:t>
            </w:r>
            <w:r>
              <w:rPr>
                <w:b/>
                <w:color w:val="auto"/>
                <w:sz w:val="24"/>
                <w:highlight w:val="none"/>
              </w:rPr>
              <w:t>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7"/>
              <w:gridCol w:w="2459"/>
              <w:gridCol w:w="990"/>
              <w:gridCol w:w="939"/>
              <w:gridCol w:w="947"/>
              <w:gridCol w:w="2100"/>
            </w:tblGrid>
            <w:tr w14:paraId="434162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2D331F50">
                  <w:pPr>
                    <w:spacing w:before="24" w:after="24"/>
                    <w:jc w:val="center"/>
                    <w:rPr>
                      <w:b/>
                      <w:bCs/>
                      <w:color w:val="auto"/>
                      <w:szCs w:val="21"/>
                      <w:highlight w:val="none"/>
                    </w:rPr>
                  </w:pPr>
                  <w:r>
                    <w:rPr>
                      <w:b/>
                      <w:bCs/>
                      <w:color w:val="auto"/>
                      <w:szCs w:val="21"/>
                      <w:highlight w:val="none"/>
                    </w:rPr>
                    <w:t>序号</w:t>
                  </w:r>
                </w:p>
              </w:tc>
              <w:tc>
                <w:tcPr>
                  <w:tcW w:w="1548" w:type="pct"/>
                  <w:noWrap w:val="0"/>
                  <w:vAlign w:val="center"/>
                </w:tcPr>
                <w:p w14:paraId="345E349A">
                  <w:pPr>
                    <w:spacing w:before="24" w:after="24"/>
                    <w:jc w:val="center"/>
                    <w:rPr>
                      <w:b/>
                      <w:bCs/>
                      <w:color w:val="auto"/>
                      <w:szCs w:val="21"/>
                      <w:highlight w:val="none"/>
                    </w:rPr>
                  </w:pPr>
                  <w:r>
                    <w:rPr>
                      <w:b/>
                      <w:bCs/>
                      <w:color w:val="auto"/>
                      <w:szCs w:val="21"/>
                      <w:highlight w:val="none"/>
                    </w:rPr>
                    <w:t>名称</w:t>
                  </w:r>
                </w:p>
              </w:tc>
              <w:tc>
                <w:tcPr>
                  <w:tcW w:w="623" w:type="pct"/>
                  <w:noWrap w:val="0"/>
                  <w:vAlign w:val="center"/>
                </w:tcPr>
                <w:p w14:paraId="3F2E5031">
                  <w:pPr>
                    <w:spacing w:before="24" w:after="24"/>
                    <w:jc w:val="center"/>
                    <w:rPr>
                      <w:rFonts w:hint="eastAsia"/>
                      <w:b/>
                      <w:bCs/>
                      <w:color w:val="auto"/>
                      <w:szCs w:val="21"/>
                      <w:highlight w:val="none"/>
                    </w:rPr>
                  </w:pPr>
                  <w:r>
                    <w:rPr>
                      <w:rFonts w:hint="eastAsia"/>
                      <w:b/>
                      <w:bCs/>
                      <w:color w:val="auto"/>
                      <w:szCs w:val="21"/>
                      <w:highlight w:val="none"/>
                    </w:rPr>
                    <w:t>单位</w:t>
                  </w:r>
                </w:p>
              </w:tc>
              <w:tc>
                <w:tcPr>
                  <w:tcW w:w="591" w:type="pct"/>
                  <w:noWrap w:val="0"/>
                  <w:vAlign w:val="center"/>
                </w:tcPr>
                <w:p w14:paraId="39F5C0E7">
                  <w:pPr>
                    <w:spacing w:before="24" w:after="24"/>
                    <w:jc w:val="center"/>
                    <w:rPr>
                      <w:b/>
                      <w:bCs/>
                      <w:color w:val="auto"/>
                      <w:szCs w:val="21"/>
                      <w:highlight w:val="none"/>
                    </w:rPr>
                  </w:pPr>
                  <w:r>
                    <w:rPr>
                      <w:b/>
                      <w:bCs/>
                      <w:color w:val="auto"/>
                      <w:szCs w:val="21"/>
                      <w:highlight w:val="none"/>
                    </w:rPr>
                    <w:t>最大存量</w:t>
                  </w:r>
                </w:p>
              </w:tc>
              <w:tc>
                <w:tcPr>
                  <w:tcW w:w="596" w:type="pct"/>
                  <w:noWrap w:val="0"/>
                  <w:vAlign w:val="center"/>
                </w:tcPr>
                <w:p w14:paraId="76E52EA3">
                  <w:pPr>
                    <w:spacing w:before="24" w:after="24"/>
                    <w:jc w:val="center"/>
                    <w:rPr>
                      <w:b/>
                      <w:bCs/>
                      <w:color w:val="auto"/>
                      <w:szCs w:val="21"/>
                      <w:highlight w:val="none"/>
                    </w:rPr>
                  </w:pPr>
                  <w:r>
                    <w:rPr>
                      <w:rFonts w:hint="eastAsia"/>
                      <w:b/>
                      <w:bCs/>
                      <w:color w:val="auto"/>
                      <w:szCs w:val="21"/>
                      <w:highlight w:val="none"/>
                    </w:rPr>
                    <w:t>年</w:t>
                  </w:r>
                  <w:r>
                    <w:rPr>
                      <w:b/>
                      <w:bCs/>
                      <w:color w:val="auto"/>
                      <w:szCs w:val="21"/>
                      <w:highlight w:val="none"/>
                    </w:rPr>
                    <w:t>使用量</w:t>
                  </w:r>
                </w:p>
              </w:tc>
              <w:tc>
                <w:tcPr>
                  <w:tcW w:w="1320" w:type="pct"/>
                  <w:noWrap w:val="0"/>
                  <w:vAlign w:val="center"/>
                </w:tcPr>
                <w:p w14:paraId="5F295448">
                  <w:pPr>
                    <w:spacing w:before="24" w:after="24"/>
                    <w:jc w:val="center"/>
                    <w:rPr>
                      <w:b/>
                      <w:bCs/>
                      <w:color w:val="auto"/>
                      <w:szCs w:val="21"/>
                      <w:highlight w:val="none"/>
                    </w:rPr>
                  </w:pPr>
                  <w:r>
                    <w:rPr>
                      <w:b/>
                      <w:bCs/>
                      <w:color w:val="auto"/>
                      <w:szCs w:val="21"/>
                      <w:highlight w:val="none"/>
                    </w:rPr>
                    <w:t>备注</w:t>
                  </w:r>
                </w:p>
              </w:tc>
            </w:tr>
            <w:tr w14:paraId="3CA421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6"/>
                  <w:noWrap w:val="0"/>
                  <w:vAlign w:val="center"/>
                </w:tcPr>
                <w:p w14:paraId="04D58394">
                  <w:pPr>
                    <w:spacing w:before="24" w:after="24"/>
                    <w:jc w:val="both"/>
                    <w:rPr>
                      <w:rFonts w:hint="eastAsia" w:eastAsia="宋体"/>
                      <w:b/>
                      <w:bCs/>
                      <w:color w:val="auto"/>
                      <w:szCs w:val="21"/>
                      <w:highlight w:val="none"/>
                      <w:lang w:val="en-US" w:eastAsia="zh-CN"/>
                    </w:rPr>
                  </w:pPr>
                  <w:r>
                    <w:rPr>
                      <w:rFonts w:hint="eastAsia"/>
                      <w:b/>
                      <w:bCs/>
                      <w:color w:val="auto"/>
                      <w:szCs w:val="21"/>
                      <w:highlight w:val="none"/>
                      <w:lang w:val="en-US" w:eastAsia="zh-CN"/>
                    </w:rPr>
                    <w:t>原料</w:t>
                  </w:r>
                </w:p>
              </w:tc>
            </w:tr>
            <w:tr w14:paraId="42790B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67A9E7CB">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548" w:type="pct"/>
                  <w:noWrap w:val="0"/>
                  <w:vAlign w:val="center"/>
                </w:tcPr>
                <w:p w14:paraId="630ABF4B">
                  <w:pPr>
                    <w:spacing w:before="24" w:after="24"/>
                    <w:jc w:val="center"/>
                    <w:rPr>
                      <w:rFonts w:hint="eastAsia" w:eastAsia="宋体"/>
                      <w:color w:val="auto"/>
                      <w:szCs w:val="21"/>
                      <w:highlight w:val="none"/>
                      <w:lang w:eastAsia="zh-CN"/>
                    </w:rPr>
                  </w:pPr>
                  <w:r>
                    <w:rPr>
                      <w:rFonts w:hint="eastAsia"/>
                      <w:color w:val="auto"/>
                      <w:szCs w:val="21"/>
                      <w:highlight w:val="none"/>
                    </w:rPr>
                    <w:t>铝合金</w:t>
                  </w:r>
                  <w:r>
                    <w:rPr>
                      <w:rFonts w:hint="eastAsia"/>
                      <w:color w:val="auto"/>
                      <w:szCs w:val="21"/>
                      <w:highlight w:val="none"/>
                      <w:lang w:eastAsia="zh-CN"/>
                    </w:rPr>
                    <w:t>（</w:t>
                  </w:r>
                  <w:r>
                    <w:rPr>
                      <w:rFonts w:hint="eastAsia"/>
                      <w:color w:val="auto"/>
                      <w:szCs w:val="21"/>
                      <w:highlight w:val="none"/>
                      <w:lang w:val="en-US" w:eastAsia="zh-CN"/>
                    </w:rPr>
                    <w:t>固态、颗粒</w:t>
                  </w:r>
                  <w:r>
                    <w:rPr>
                      <w:rFonts w:hint="eastAsia"/>
                      <w:color w:val="auto"/>
                      <w:szCs w:val="21"/>
                      <w:highlight w:val="none"/>
                      <w:lang w:eastAsia="zh-CN"/>
                    </w:rPr>
                    <w:t>）</w:t>
                  </w:r>
                </w:p>
              </w:tc>
              <w:tc>
                <w:tcPr>
                  <w:tcW w:w="623" w:type="pct"/>
                  <w:noWrap w:val="0"/>
                  <w:vAlign w:val="center"/>
                </w:tcPr>
                <w:p w14:paraId="5B120236">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t</w:t>
                  </w:r>
                </w:p>
              </w:tc>
              <w:tc>
                <w:tcPr>
                  <w:tcW w:w="591" w:type="pct"/>
                  <w:noWrap w:val="0"/>
                  <w:vAlign w:val="center"/>
                </w:tcPr>
                <w:p w14:paraId="47056674">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596" w:type="pct"/>
                  <w:noWrap w:val="0"/>
                  <w:vAlign w:val="center"/>
                </w:tcPr>
                <w:p w14:paraId="3B33A786">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320" w:type="pct"/>
                  <w:noWrap w:val="0"/>
                  <w:vAlign w:val="center"/>
                </w:tcPr>
                <w:p w14:paraId="015FCDC8">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两种形态规格均定制，</w:t>
                  </w:r>
                  <w:r>
                    <w:rPr>
                      <w:rFonts w:hint="eastAsia"/>
                      <w:color w:val="auto"/>
                      <w:szCs w:val="21"/>
                      <w:highlight w:val="none"/>
                      <w:lang w:val="en-US" w:eastAsia="zh-CN"/>
                    </w:rPr>
                    <w:t>颗粒状态的粒径约1.5-2.5mm，</w:t>
                  </w:r>
                  <w:r>
                    <w:rPr>
                      <w:rFonts w:hint="eastAsia"/>
                      <w:color w:val="auto"/>
                      <w:szCs w:val="21"/>
                      <w:highlight w:val="none"/>
                      <w:lang w:val="en-US" w:eastAsia="zh-CN"/>
                    </w:rPr>
                    <w:t>外购</w:t>
                  </w:r>
                </w:p>
              </w:tc>
            </w:tr>
            <w:tr w14:paraId="49A51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550E0FE1">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548" w:type="pct"/>
                  <w:noWrap w:val="0"/>
                  <w:vAlign w:val="center"/>
                </w:tcPr>
                <w:p w14:paraId="1BC16556">
                  <w:pPr>
                    <w:spacing w:before="24" w:after="24"/>
                    <w:jc w:val="center"/>
                    <w:rPr>
                      <w:rFonts w:hint="eastAsia"/>
                      <w:color w:val="auto"/>
                      <w:szCs w:val="21"/>
                      <w:highlight w:val="none"/>
                    </w:rPr>
                  </w:pPr>
                  <w:r>
                    <w:rPr>
                      <w:rFonts w:hint="eastAsia"/>
                      <w:color w:val="auto"/>
                      <w:szCs w:val="21"/>
                      <w:highlight w:val="none"/>
                    </w:rPr>
                    <w:t>碳化硅颗粒</w:t>
                  </w:r>
                </w:p>
                <w:p w14:paraId="63597847">
                  <w:pPr>
                    <w:spacing w:before="24" w:after="24"/>
                    <w:jc w:val="center"/>
                    <w:rPr>
                      <w:rFonts w:hint="eastAsia" w:eastAsia="宋体"/>
                      <w:color w:val="auto"/>
                      <w:szCs w:val="21"/>
                      <w:highlight w:val="none"/>
                      <w:lang w:eastAsia="zh-CN"/>
                    </w:rPr>
                  </w:pPr>
                  <w:r>
                    <w:rPr>
                      <w:rFonts w:hint="eastAsia"/>
                      <w:color w:val="auto"/>
                      <w:szCs w:val="21"/>
                      <w:highlight w:val="none"/>
                      <w:lang w:eastAsia="zh-CN"/>
                    </w:rPr>
                    <w:t>（粒径：50-10</w:t>
                  </w:r>
                  <w:r>
                    <w:rPr>
                      <w:rFonts w:hint="default" w:ascii="Times New Roman" w:hAnsi="Times New Roman" w:cs="Times New Roman"/>
                      <w:color w:val="auto"/>
                      <w:szCs w:val="21"/>
                      <w:highlight w:val="none"/>
                      <w:lang w:eastAsia="zh-CN"/>
                    </w:rPr>
                    <w:t>0</w:t>
                  </w:r>
                  <w:r>
                    <w:rPr>
                      <w:rFonts w:hint="default" w:ascii="Times New Roman" w:hAnsi="Times New Roman" w:cs="Times New Roman"/>
                      <w:color w:val="auto"/>
                      <w:szCs w:val="21"/>
                      <w:highlight w:val="none"/>
                      <w:lang w:val="en-US" w:eastAsia="zh-CN"/>
                    </w:rPr>
                    <w:t>μ</w:t>
                  </w:r>
                  <w:r>
                    <w:rPr>
                      <w:rFonts w:hint="default" w:ascii="Times New Roman" w:hAnsi="Times New Roman" w:cs="Times New Roman"/>
                      <w:color w:val="auto"/>
                      <w:szCs w:val="21"/>
                      <w:highlight w:val="none"/>
                      <w:lang w:eastAsia="zh-CN"/>
                    </w:rPr>
                    <w:t>m</w:t>
                  </w:r>
                  <w:r>
                    <w:rPr>
                      <w:rFonts w:hint="eastAsia"/>
                      <w:color w:val="auto"/>
                      <w:szCs w:val="21"/>
                      <w:highlight w:val="none"/>
                      <w:lang w:eastAsia="zh-CN"/>
                    </w:rPr>
                    <w:t>）</w:t>
                  </w:r>
                </w:p>
              </w:tc>
              <w:tc>
                <w:tcPr>
                  <w:tcW w:w="623" w:type="pct"/>
                  <w:noWrap w:val="0"/>
                  <w:vAlign w:val="center"/>
                </w:tcPr>
                <w:p w14:paraId="3B06CF17">
                  <w:pPr>
                    <w:spacing w:before="24" w:after="24"/>
                    <w:jc w:val="center"/>
                    <w:rPr>
                      <w:rFonts w:hint="eastAsia"/>
                      <w:color w:val="auto"/>
                      <w:szCs w:val="21"/>
                      <w:highlight w:val="none"/>
                    </w:rPr>
                  </w:pPr>
                  <w:r>
                    <w:rPr>
                      <w:rFonts w:hint="eastAsia"/>
                      <w:color w:val="auto"/>
                      <w:szCs w:val="21"/>
                      <w:highlight w:val="none"/>
                      <w:lang w:val="en-US" w:eastAsia="zh-CN"/>
                    </w:rPr>
                    <w:t>t</w:t>
                  </w:r>
                </w:p>
              </w:tc>
              <w:tc>
                <w:tcPr>
                  <w:tcW w:w="591" w:type="pct"/>
                  <w:noWrap w:val="0"/>
                  <w:vAlign w:val="center"/>
                </w:tcPr>
                <w:p w14:paraId="4ED536A4">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596" w:type="pct"/>
                  <w:noWrap w:val="0"/>
                  <w:vAlign w:val="center"/>
                </w:tcPr>
                <w:p w14:paraId="7E5A43AE">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320" w:type="pct"/>
                  <w:noWrap w:val="0"/>
                  <w:vAlign w:val="center"/>
                </w:tcPr>
                <w:p w14:paraId="3EB6D932">
                  <w:pPr>
                    <w:spacing w:before="24" w:after="24"/>
                    <w:jc w:val="center"/>
                    <w:rPr>
                      <w:rFonts w:hint="eastAsia"/>
                      <w:color w:val="auto"/>
                      <w:szCs w:val="21"/>
                      <w:highlight w:val="none"/>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2CCD31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317E8668">
                  <w:pPr>
                    <w:spacing w:before="24" w:after="24"/>
                    <w:jc w:val="center"/>
                    <w:rPr>
                      <w:rFonts w:hint="default"/>
                      <w:color w:val="auto"/>
                      <w:szCs w:val="21"/>
                      <w:highlight w:val="none"/>
                      <w:lang w:val="en-US" w:eastAsia="zh-CN"/>
                    </w:rPr>
                  </w:pPr>
                  <w:r>
                    <w:rPr>
                      <w:rFonts w:hint="eastAsia"/>
                      <w:color w:val="auto"/>
                      <w:szCs w:val="21"/>
                      <w:highlight w:val="none"/>
                      <w:lang w:val="en-US" w:eastAsia="zh-CN"/>
                    </w:rPr>
                    <w:t>3</w:t>
                  </w:r>
                </w:p>
              </w:tc>
              <w:tc>
                <w:tcPr>
                  <w:tcW w:w="1548" w:type="pct"/>
                  <w:noWrap w:val="0"/>
                  <w:vAlign w:val="center"/>
                </w:tcPr>
                <w:p w14:paraId="4391887A">
                  <w:pPr>
                    <w:spacing w:before="24" w:after="24"/>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金</w:t>
                  </w:r>
                  <w:r>
                    <w:rPr>
                      <w:rFonts w:hint="eastAsia" w:ascii="Times New Roman" w:hAnsi="Times New Roman" w:eastAsia="宋体" w:cs="Times New Roman"/>
                      <w:b w:val="0"/>
                      <w:bCs w:val="0"/>
                      <w:color w:val="auto"/>
                      <w:kern w:val="0"/>
                      <w:sz w:val="21"/>
                      <w:szCs w:val="21"/>
                      <w:highlight w:val="none"/>
                      <w:lang w:val="en-US" w:eastAsia="zh-CN" w:bidi="ar-SA"/>
                    </w:rPr>
                    <w:t>刚石颗粒</w:t>
                  </w:r>
                </w:p>
                <w:p w14:paraId="13CACC77">
                  <w:pPr>
                    <w:spacing w:before="24" w:after="24"/>
                    <w:jc w:val="center"/>
                    <w:rPr>
                      <w:rFonts w:hint="default" w:eastAsia="宋体"/>
                      <w:color w:val="auto"/>
                      <w:szCs w:val="21"/>
                      <w:highlight w:val="none"/>
                      <w:lang w:val="en-US" w:eastAsia="zh-CN"/>
                    </w:rPr>
                  </w:pPr>
                  <w:r>
                    <w:rPr>
                      <w:rFonts w:hint="eastAsia"/>
                      <w:color w:val="auto"/>
                      <w:szCs w:val="21"/>
                      <w:highlight w:val="none"/>
                      <w:lang w:eastAsia="zh-CN"/>
                    </w:rPr>
                    <w:t>（粒径：</w:t>
                  </w:r>
                  <w:r>
                    <w:rPr>
                      <w:rFonts w:hint="eastAsia"/>
                      <w:color w:val="auto"/>
                      <w:szCs w:val="21"/>
                      <w:highlight w:val="none"/>
                      <w:lang w:val="en-US" w:eastAsia="zh-CN"/>
                    </w:rPr>
                    <w:t>80-120</w:t>
                  </w:r>
                  <w:r>
                    <w:rPr>
                      <w:rFonts w:hint="default" w:ascii="Times New Roman" w:hAnsi="Times New Roman" w:cs="Times New Roman"/>
                      <w:color w:val="auto"/>
                      <w:szCs w:val="21"/>
                      <w:highlight w:val="none"/>
                      <w:lang w:val="en-US" w:eastAsia="zh-CN"/>
                    </w:rPr>
                    <w:t>μ</w:t>
                  </w:r>
                  <w:r>
                    <w:rPr>
                      <w:rFonts w:hint="default" w:ascii="Times New Roman" w:hAnsi="Times New Roman" w:cs="Times New Roman"/>
                      <w:color w:val="auto"/>
                      <w:szCs w:val="21"/>
                      <w:highlight w:val="none"/>
                      <w:lang w:eastAsia="zh-CN"/>
                    </w:rPr>
                    <w:t>m</w:t>
                  </w:r>
                  <w:r>
                    <w:rPr>
                      <w:rFonts w:hint="eastAsia"/>
                      <w:color w:val="auto"/>
                      <w:szCs w:val="21"/>
                      <w:highlight w:val="none"/>
                      <w:lang w:eastAsia="zh-CN"/>
                    </w:rPr>
                    <w:t>）</w:t>
                  </w:r>
                </w:p>
              </w:tc>
              <w:tc>
                <w:tcPr>
                  <w:tcW w:w="623" w:type="pct"/>
                  <w:noWrap w:val="0"/>
                  <w:vAlign w:val="center"/>
                </w:tcPr>
                <w:p w14:paraId="37DC4049">
                  <w:pPr>
                    <w:spacing w:before="24" w:after="24"/>
                    <w:jc w:val="center"/>
                    <w:rPr>
                      <w:rFonts w:hint="eastAsia"/>
                      <w:color w:val="auto"/>
                      <w:szCs w:val="21"/>
                      <w:highlight w:val="none"/>
                      <w:lang w:val="en-US" w:eastAsia="zh-CN"/>
                    </w:rPr>
                  </w:pPr>
                  <w:r>
                    <w:rPr>
                      <w:rFonts w:hint="eastAsia"/>
                      <w:color w:val="auto"/>
                      <w:szCs w:val="21"/>
                      <w:highlight w:val="none"/>
                      <w:lang w:val="en-US" w:eastAsia="zh-CN"/>
                    </w:rPr>
                    <w:t>t</w:t>
                  </w:r>
                </w:p>
              </w:tc>
              <w:tc>
                <w:tcPr>
                  <w:tcW w:w="591" w:type="pct"/>
                  <w:noWrap w:val="0"/>
                  <w:vAlign w:val="center"/>
                </w:tcPr>
                <w:p w14:paraId="11D977B9">
                  <w:pPr>
                    <w:spacing w:before="24" w:after="24"/>
                    <w:jc w:val="center"/>
                    <w:rPr>
                      <w:rFonts w:hint="default"/>
                      <w:color w:val="auto"/>
                      <w:szCs w:val="21"/>
                      <w:highlight w:val="none"/>
                      <w:lang w:val="en-US" w:eastAsia="zh-CN"/>
                    </w:rPr>
                  </w:pPr>
                  <w:r>
                    <w:rPr>
                      <w:rFonts w:hint="eastAsia"/>
                      <w:color w:val="auto"/>
                      <w:szCs w:val="21"/>
                      <w:highlight w:val="none"/>
                      <w:lang w:val="en-US" w:eastAsia="zh-CN"/>
                    </w:rPr>
                    <w:t>0.005</w:t>
                  </w:r>
                </w:p>
              </w:tc>
              <w:tc>
                <w:tcPr>
                  <w:tcW w:w="596" w:type="pct"/>
                  <w:noWrap w:val="0"/>
                  <w:vAlign w:val="center"/>
                </w:tcPr>
                <w:p w14:paraId="56821DE5">
                  <w:pPr>
                    <w:spacing w:before="24" w:after="24"/>
                    <w:jc w:val="center"/>
                    <w:rPr>
                      <w:rFonts w:hint="default"/>
                      <w:color w:val="auto"/>
                      <w:szCs w:val="21"/>
                      <w:highlight w:val="none"/>
                      <w:lang w:val="en-US" w:eastAsia="zh-CN"/>
                    </w:rPr>
                  </w:pPr>
                  <w:r>
                    <w:rPr>
                      <w:rFonts w:hint="eastAsia"/>
                      <w:color w:val="auto"/>
                      <w:szCs w:val="21"/>
                      <w:highlight w:val="none"/>
                      <w:lang w:val="en-US" w:eastAsia="zh-CN"/>
                    </w:rPr>
                    <w:t>0.05</w:t>
                  </w:r>
                </w:p>
              </w:tc>
              <w:tc>
                <w:tcPr>
                  <w:tcW w:w="1320" w:type="pct"/>
                  <w:noWrap w:val="0"/>
                  <w:vAlign w:val="center"/>
                </w:tcPr>
                <w:p w14:paraId="0678F7FD">
                  <w:pPr>
                    <w:spacing w:before="24" w:after="24"/>
                    <w:jc w:val="center"/>
                    <w:rPr>
                      <w:rFonts w:hint="eastAsia"/>
                      <w:color w:val="auto"/>
                      <w:szCs w:val="21"/>
                      <w:highlight w:val="none"/>
                      <w:lang w:val="en-US" w:eastAsia="zh-CN"/>
                    </w:rPr>
                  </w:pPr>
                  <w:r>
                    <w:rPr>
                      <w:rFonts w:hint="eastAsia"/>
                      <w:color w:val="auto"/>
                      <w:szCs w:val="21"/>
                      <w:highlight w:val="none"/>
                      <w:lang w:val="en-US" w:eastAsia="zh-CN"/>
                    </w:rPr>
                    <w:t>袋装</w:t>
                  </w:r>
                  <w:r>
                    <w:rPr>
                      <w:rFonts w:hint="eastAsia"/>
                      <w:color w:val="auto"/>
                      <w:szCs w:val="21"/>
                      <w:highlight w:val="none"/>
                      <w:lang w:val="en-US" w:eastAsia="zh-CN"/>
                    </w:rPr>
                    <w:t>，</w:t>
                  </w:r>
                  <w:r>
                    <w:rPr>
                      <w:rFonts w:hint="eastAsia"/>
                      <w:color w:val="auto"/>
                      <w:szCs w:val="21"/>
                      <w:highlight w:val="none"/>
                      <w:lang w:val="en-US" w:eastAsia="zh-CN"/>
                    </w:rPr>
                    <w:t>25kg/袋</w:t>
                  </w:r>
                  <w:r>
                    <w:rPr>
                      <w:rFonts w:hint="eastAsia"/>
                      <w:color w:val="auto"/>
                      <w:szCs w:val="21"/>
                      <w:highlight w:val="none"/>
                      <w:lang w:val="en-US" w:eastAsia="zh-CN"/>
                    </w:rPr>
                    <w:t>，</w:t>
                  </w:r>
                  <w:r>
                    <w:rPr>
                      <w:rFonts w:hint="eastAsia"/>
                      <w:color w:val="auto"/>
                      <w:szCs w:val="21"/>
                      <w:highlight w:val="none"/>
                      <w:lang w:val="en-US" w:eastAsia="zh-CN"/>
                    </w:rPr>
                    <w:t>外购</w:t>
                  </w:r>
                </w:p>
              </w:tc>
            </w:tr>
            <w:tr w14:paraId="78A8CD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6"/>
                  <w:noWrap w:val="0"/>
                  <w:vAlign w:val="center"/>
                </w:tcPr>
                <w:p w14:paraId="00684BC1">
                  <w:pPr>
                    <w:spacing w:before="24" w:after="24"/>
                    <w:jc w:val="both"/>
                    <w:rPr>
                      <w:rFonts w:hint="eastAsia" w:eastAsia="宋体"/>
                      <w:color w:val="auto"/>
                      <w:szCs w:val="21"/>
                      <w:highlight w:val="none"/>
                      <w:lang w:val="en-US" w:eastAsia="zh-CN"/>
                    </w:rPr>
                  </w:pPr>
                  <w:r>
                    <w:rPr>
                      <w:rFonts w:hint="eastAsia"/>
                      <w:b/>
                      <w:bCs/>
                      <w:color w:val="auto"/>
                      <w:szCs w:val="21"/>
                      <w:highlight w:val="none"/>
                      <w:lang w:val="en-US" w:eastAsia="zh-CN"/>
                    </w:rPr>
                    <w:t>辅料</w:t>
                  </w:r>
                </w:p>
              </w:tc>
            </w:tr>
            <w:tr w14:paraId="3B254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320" w:type="pct"/>
                  <w:noWrap w:val="0"/>
                  <w:vAlign w:val="center"/>
                </w:tcPr>
                <w:p w14:paraId="71CB666F">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548" w:type="pct"/>
                  <w:noWrap w:val="0"/>
                  <w:vAlign w:val="center"/>
                </w:tcPr>
                <w:p w14:paraId="0143BD58">
                  <w:pPr>
                    <w:spacing w:before="24" w:after="24"/>
                    <w:jc w:val="center"/>
                    <w:rPr>
                      <w:rFonts w:hint="eastAsia" w:eastAsia="宋体"/>
                      <w:color w:val="auto"/>
                      <w:szCs w:val="21"/>
                      <w:highlight w:val="none"/>
                      <w:lang w:eastAsia="zh-CN"/>
                    </w:rPr>
                  </w:pPr>
                  <w:r>
                    <w:rPr>
                      <w:rFonts w:hint="eastAsia"/>
                      <w:color w:val="auto"/>
                      <w:szCs w:val="21"/>
                      <w:highlight w:val="none"/>
                      <w:lang w:val="en-US" w:eastAsia="zh-CN"/>
                    </w:rPr>
                    <w:t>水玻璃（液态）</w:t>
                  </w:r>
                </w:p>
              </w:tc>
              <w:tc>
                <w:tcPr>
                  <w:tcW w:w="623" w:type="pct"/>
                  <w:noWrap w:val="0"/>
                  <w:vAlign w:val="center"/>
                </w:tcPr>
                <w:p w14:paraId="0F6D0B61">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kg</w:t>
                  </w:r>
                </w:p>
              </w:tc>
              <w:tc>
                <w:tcPr>
                  <w:tcW w:w="591" w:type="pct"/>
                  <w:noWrap w:val="0"/>
                  <w:vAlign w:val="center"/>
                </w:tcPr>
                <w:p w14:paraId="1316B518">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596" w:type="pct"/>
                  <w:noWrap w:val="0"/>
                  <w:vAlign w:val="center"/>
                </w:tcPr>
                <w:p w14:paraId="5FDC68AE">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320" w:type="pct"/>
                  <w:noWrap w:val="0"/>
                  <w:vAlign w:val="center"/>
                </w:tcPr>
                <w:p w14:paraId="78F949E1">
                  <w:pPr>
                    <w:spacing w:before="24" w:after="24"/>
                    <w:jc w:val="center"/>
                    <w:rPr>
                      <w:rFonts w:hint="default"/>
                      <w:color w:val="auto"/>
                      <w:szCs w:val="21"/>
                      <w:highlight w:val="none"/>
                      <w:lang w:val="en-US" w:eastAsia="zh-CN"/>
                    </w:rPr>
                  </w:pPr>
                  <w:r>
                    <w:rPr>
                      <w:rFonts w:hint="eastAsia"/>
                      <w:color w:val="auto"/>
                      <w:szCs w:val="21"/>
                      <w:highlight w:val="none"/>
                      <w:lang w:val="en-US" w:eastAsia="zh-CN"/>
                    </w:rPr>
                    <w:t>桶装，</w:t>
                  </w:r>
                  <w:r>
                    <w:rPr>
                      <w:rFonts w:hint="eastAsia"/>
                      <w:color w:val="auto"/>
                      <w:szCs w:val="21"/>
                      <w:highlight w:val="none"/>
                      <w:lang w:val="en-US" w:eastAsia="zh-CN"/>
                    </w:rPr>
                    <w:t>25kg/桶</w:t>
                  </w:r>
                  <w:r>
                    <w:rPr>
                      <w:rFonts w:hint="eastAsia"/>
                      <w:color w:val="auto"/>
                      <w:szCs w:val="21"/>
                      <w:highlight w:val="none"/>
                      <w:lang w:val="en-US" w:eastAsia="zh-CN"/>
                    </w:rPr>
                    <w:t>，外购</w:t>
                  </w:r>
                </w:p>
              </w:tc>
            </w:tr>
            <w:tr w14:paraId="2A792D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320" w:type="pct"/>
                  <w:noWrap w:val="0"/>
                  <w:vAlign w:val="center"/>
                </w:tcPr>
                <w:p w14:paraId="0F09A38F">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1548" w:type="pct"/>
                  <w:noWrap w:val="0"/>
                  <w:vAlign w:val="center"/>
                </w:tcPr>
                <w:p w14:paraId="41DBA71E">
                  <w:pPr>
                    <w:spacing w:before="24" w:after="24"/>
                    <w:jc w:val="center"/>
                    <w:rPr>
                      <w:rFonts w:hint="eastAsia" w:eastAsia="宋体"/>
                      <w:color w:val="auto"/>
                      <w:szCs w:val="21"/>
                      <w:highlight w:val="none"/>
                      <w:lang w:val="en-US" w:eastAsia="zh-CN"/>
                    </w:rPr>
                  </w:pPr>
                  <w:r>
                    <w:rPr>
                      <w:rFonts w:hint="eastAsia"/>
                      <w:color w:val="auto"/>
                      <w:szCs w:val="21"/>
                      <w:highlight w:val="none"/>
                    </w:rPr>
                    <w:t>聚乙烯醇</w:t>
                  </w:r>
                  <w:r>
                    <w:rPr>
                      <w:rFonts w:hint="eastAsia"/>
                      <w:color w:val="auto"/>
                      <w:szCs w:val="21"/>
                      <w:highlight w:val="none"/>
                      <w:lang w:val="en-US" w:eastAsia="zh-CN"/>
                    </w:rPr>
                    <w:t>粉末</w:t>
                  </w:r>
                </w:p>
              </w:tc>
              <w:tc>
                <w:tcPr>
                  <w:tcW w:w="623" w:type="pct"/>
                  <w:noWrap w:val="0"/>
                  <w:vAlign w:val="center"/>
                </w:tcPr>
                <w:p w14:paraId="4E4C9F9E">
                  <w:pPr>
                    <w:spacing w:before="24" w:after="24"/>
                    <w:jc w:val="center"/>
                    <w:rPr>
                      <w:color w:val="auto"/>
                      <w:szCs w:val="21"/>
                      <w:highlight w:val="none"/>
                    </w:rPr>
                  </w:pPr>
                  <w:r>
                    <w:rPr>
                      <w:rFonts w:hint="eastAsia"/>
                      <w:color w:val="auto"/>
                      <w:szCs w:val="21"/>
                      <w:highlight w:val="none"/>
                      <w:lang w:val="en-US" w:eastAsia="zh-CN"/>
                    </w:rPr>
                    <w:t>kg</w:t>
                  </w:r>
                </w:p>
              </w:tc>
              <w:tc>
                <w:tcPr>
                  <w:tcW w:w="591" w:type="pct"/>
                  <w:noWrap w:val="0"/>
                  <w:vAlign w:val="center"/>
                </w:tcPr>
                <w:p w14:paraId="38109179">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596" w:type="pct"/>
                  <w:noWrap w:val="0"/>
                  <w:vAlign w:val="center"/>
                </w:tcPr>
                <w:p w14:paraId="3141A8F5">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1320" w:type="pct"/>
                  <w:noWrap w:val="0"/>
                  <w:vAlign w:val="center"/>
                </w:tcPr>
                <w:p w14:paraId="380FEEE2">
                  <w:pPr>
                    <w:spacing w:before="24" w:after="24"/>
                    <w:jc w:val="center"/>
                    <w:rPr>
                      <w:color w:val="auto"/>
                      <w:szCs w:val="21"/>
                      <w:highlight w:val="none"/>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4E16B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314A82E9">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548" w:type="pct"/>
                  <w:noWrap w:val="0"/>
                  <w:vAlign w:val="center"/>
                </w:tcPr>
                <w:p w14:paraId="270CF02B">
                  <w:pPr>
                    <w:spacing w:before="24" w:after="24"/>
                    <w:jc w:val="center"/>
                    <w:rPr>
                      <w:rFonts w:hint="eastAsia" w:eastAsia="宋体"/>
                      <w:color w:val="auto"/>
                      <w:szCs w:val="21"/>
                      <w:highlight w:val="none"/>
                      <w:lang w:eastAsia="zh-CN"/>
                    </w:rPr>
                  </w:pPr>
                  <w:r>
                    <w:rPr>
                      <w:rFonts w:hint="eastAsia"/>
                      <w:color w:val="auto"/>
                      <w:szCs w:val="21"/>
                      <w:highlight w:val="none"/>
                    </w:rPr>
                    <w:t>乳蜡</w:t>
                  </w:r>
                  <w:r>
                    <w:rPr>
                      <w:rFonts w:hint="eastAsia"/>
                      <w:color w:val="auto"/>
                      <w:szCs w:val="21"/>
                      <w:highlight w:val="none"/>
                      <w:lang w:eastAsia="zh-CN"/>
                    </w:rPr>
                    <w:t>（</w:t>
                  </w:r>
                  <w:r>
                    <w:rPr>
                      <w:rFonts w:hint="eastAsia"/>
                      <w:color w:val="auto"/>
                      <w:szCs w:val="21"/>
                      <w:highlight w:val="none"/>
                      <w:lang w:val="en-US" w:eastAsia="zh-CN"/>
                    </w:rPr>
                    <w:t>液态</w:t>
                  </w:r>
                  <w:r>
                    <w:rPr>
                      <w:rFonts w:hint="eastAsia"/>
                      <w:color w:val="auto"/>
                      <w:szCs w:val="21"/>
                      <w:highlight w:val="none"/>
                      <w:lang w:eastAsia="zh-CN"/>
                    </w:rPr>
                    <w:t>）</w:t>
                  </w:r>
                </w:p>
              </w:tc>
              <w:tc>
                <w:tcPr>
                  <w:tcW w:w="623" w:type="pct"/>
                  <w:noWrap w:val="0"/>
                  <w:vAlign w:val="center"/>
                </w:tcPr>
                <w:p w14:paraId="0616AFBF">
                  <w:pPr>
                    <w:spacing w:before="24" w:after="24"/>
                    <w:jc w:val="center"/>
                    <w:rPr>
                      <w:color w:val="auto"/>
                      <w:szCs w:val="21"/>
                      <w:highlight w:val="none"/>
                    </w:rPr>
                  </w:pPr>
                  <w:r>
                    <w:rPr>
                      <w:rFonts w:hint="eastAsia"/>
                      <w:color w:val="auto"/>
                      <w:szCs w:val="21"/>
                      <w:highlight w:val="none"/>
                      <w:lang w:val="en-US" w:eastAsia="zh-CN"/>
                    </w:rPr>
                    <w:t>kg</w:t>
                  </w:r>
                </w:p>
              </w:tc>
              <w:tc>
                <w:tcPr>
                  <w:tcW w:w="591" w:type="pct"/>
                  <w:noWrap w:val="0"/>
                  <w:vAlign w:val="center"/>
                </w:tcPr>
                <w:p w14:paraId="3A763F2D">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596" w:type="pct"/>
                  <w:noWrap w:val="0"/>
                  <w:vAlign w:val="center"/>
                </w:tcPr>
                <w:p w14:paraId="3C0AF72C">
                  <w:pPr>
                    <w:spacing w:before="24" w:after="24"/>
                    <w:jc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320" w:type="pct"/>
                  <w:noWrap w:val="0"/>
                  <w:vAlign w:val="center"/>
                </w:tcPr>
                <w:p w14:paraId="4A78381A">
                  <w:pPr>
                    <w:spacing w:before="24" w:after="24"/>
                    <w:jc w:val="center"/>
                    <w:rPr>
                      <w:color w:val="auto"/>
                      <w:szCs w:val="21"/>
                      <w:highlight w:val="none"/>
                    </w:rPr>
                  </w:pPr>
                  <w:r>
                    <w:rPr>
                      <w:rFonts w:hint="eastAsia"/>
                      <w:color w:val="auto"/>
                      <w:szCs w:val="21"/>
                      <w:highlight w:val="none"/>
                      <w:lang w:val="en-US" w:eastAsia="zh-CN"/>
                    </w:rPr>
                    <w:t>桶装，</w:t>
                  </w:r>
                  <w:r>
                    <w:rPr>
                      <w:rFonts w:hint="eastAsia"/>
                      <w:color w:val="auto"/>
                      <w:szCs w:val="21"/>
                      <w:highlight w:val="none"/>
                      <w:lang w:val="en-US" w:eastAsia="zh-CN"/>
                    </w:rPr>
                    <w:t>25kg/桶</w:t>
                  </w:r>
                  <w:r>
                    <w:rPr>
                      <w:rFonts w:hint="eastAsia"/>
                      <w:color w:val="auto"/>
                      <w:szCs w:val="21"/>
                      <w:highlight w:val="none"/>
                      <w:lang w:val="en-US" w:eastAsia="zh-CN"/>
                    </w:rPr>
                    <w:t>，外购</w:t>
                  </w:r>
                </w:p>
              </w:tc>
            </w:tr>
            <w:tr w14:paraId="03A112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596BB06E">
                  <w:pPr>
                    <w:spacing w:before="24" w:after="24"/>
                    <w:jc w:val="center"/>
                    <w:rPr>
                      <w:rFonts w:hint="default"/>
                      <w:color w:val="auto"/>
                      <w:szCs w:val="21"/>
                      <w:highlight w:val="none"/>
                      <w:lang w:val="en-US" w:eastAsia="zh-CN"/>
                    </w:rPr>
                  </w:pPr>
                  <w:r>
                    <w:rPr>
                      <w:rFonts w:hint="eastAsia"/>
                      <w:color w:val="auto"/>
                      <w:szCs w:val="21"/>
                      <w:highlight w:val="none"/>
                      <w:lang w:val="en-US" w:eastAsia="zh-CN"/>
                    </w:rPr>
                    <w:t>6</w:t>
                  </w:r>
                </w:p>
              </w:tc>
              <w:tc>
                <w:tcPr>
                  <w:tcW w:w="1548" w:type="pct"/>
                  <w:noWrap w:val="0"/>
                  <w:vAlign w:val="center"/>
                </w:tcPr>
                <w:p w14:paraId="0A66D640">
                  <w:pPr>
                    <w:spacing w:before="24" w:after="24"/>
                    <w:jc w:val="center"/>
                    <w:rPr>
                      <w:rFonts w:hint="eastAsia"/>
                      <w:color w:val="auto"/>
                      <w:szCs w:val="21"/>
                      <w:highlight w:val="none"/>
                    </w:rPr>
                  </w:pPr>
                  <w:r>
                    <w:rPr>
                      <w:rFonts w:hint="eastAsia"/>
                      <w:color w:val="auto"/>
                      <w:szCs w:val="21"/>
                      <w:highlight w:val="none"/>
                    </w:rPr>
                    <w:t>氧化钇</w:t>
                  </w:r>
                  <w:r>
                    <w:rPr>
                      <w:rFonts w:hint="eastAsia"/>
                      <w:color w:val="auto"/>
                      <w:szCs w:val="21"/>
                      <w:highlight w:val="none"/>
                      <w:lang w:val="en-US" w:eastAsia="zh-CN"/>
                    </w:rPr>
                    <w:t>粉末</w:t>
                  </w:r>
                </w:p>
              </w:tc>
              <w:tc>
                <w:tcPr>
                  <w:tcW w:w="623" w:type="pct"/>
                  <w:noWrap w:val="0"/>
                  <w:vAlign w:val="center"/>
                </w:tcPr>
                <w:p w14:paraId="4236A3F8">
                  <w:pPr>
                    <w:spacing w:before="24" w:after="24"/>
                    <w:jc w:val="center"/>
                    <w:rPr>
                      <w:rFonts w:hint="eastAsia"/>
                      <w:color w:val="auto"/>
                      <w:szCs w:val="21"/>
                      <w:highlight w:val="none"/>
                      <w:lang w:val="en-US" w:eastAsia="zh-CN"/>
                    </w:rPr>
                  </w:pPr>
                  <w:r>
                    <w:rPr>
                      <w:rFonts w:hint="eastAsia"/>
                      <w:color w:val="auto"/>
                      <w:szCs w:val="21"/>
                      <w:highlight w:val="none"/>
                      <w:lang w:val="en-US" w:eastAsia="zh-CN"/>
                    </w:rPr>
                    <w:t>kg</w:t>
                  </w:r>
                </w:p>
              </w:tc>
              <w:tc>
                <w:tcPr>
                  <w:tcW w:w="591" w:type="pct"/>
                  <w:noWrap w:val="0"/>
                  <w:vAlign w:val="center"/>
                </w:tcPr>
                <w:p w14:paraId="470EF036">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50</w:t>
                  </w:r>
                </w:p>
              </w:tc>
              <w:tc>
                <w:tcPr>
                  <w:tcW w:w="596" w:type="pct"/>
                  <w:noWrap w:val="0"/>
                  <w:vAlign w:val="center"/>
                </w:tcPr>
                <w:p w14:paraId="79059776">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50</w:t>
                  </w:r>
                </w:p>
              </w:tc>
              <w:tc>
                <w:tcPr>
                  <w:tcW w:w="1320" w:type="pct"/>
                  <w:noWrap w:val="0"/>
                  <w:vAlign w:val="center"/>
                </w:tcPr>
                <w:p w14:paraId="35F91F8B">
                  <w:pPr>
                    <w:spacing w:before="24" w:after="24"/>
                    <w:jc w:val="center"/>
                    <w:rPr>
                      <w:rFonts w:hint="eastAsia"/>
                      <w:color w:val="auto"/>
                      <w:szCs w:val="21"/>
                      <w:highlight w:val="none"/>
                      <w:lang w:val="en-US" w:eastAsia="zh-CN"/>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12084F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73A187D9">
                  <w:pPr>
                    <w:spacing w:before="24" w:after="24"/>
                    <w:jc w:val="center"/>
                    <w:rPr>
                      <w:rFonts w:hint="default"/>
                      <w:color w:val="auto"/>
                      <w:szCs w:val="21"/>
                      <w:highlight w:val="none"/>
                      <w:lang w:val="en-US" w:eastAsia="zh-CN"/>
                    </w:rPr>
                  </w:pPr>
                  <w:r>
                    <w:rPr>
                      <w:rFonts w:hint="eastAsia"/>
                      <w:color w:val="auto"/>
                      <w:szCs w:val="21"/>
                      <w:highlight w:val="none"/>
                      <w:lang w:val="en-US" w:eastAsia="zh-CN"/>
                    </w:rPr>
                    <w:t>7</w:t>
                  </w:r>
                </w:p>
              </w:tc>
              <w:tc>
                <w:tcPr>
                  <w:tcW w:w="1548" w:type="pct"/>
                  <w:noWrap w:val="0"/>
                  <w:vAlign w:val="center"/>
                </w:tcPr>
                <w:p w14:paraId="3C595A96">
                  <w:pPr>
                    <w:spacing w:line="240" w:lineRule="auto"/>
                    <w:jc w:val="center"/>
                    <w:rPr>
                      <w:rFonts w:hint="eastAsia"/>
                      <w:color w:val="auto"/>
                      <w:szCs w:val="21"/>
                      <w:highlight w:val="none"/>
                    </w:rPr>
                  </w:pPr>
                  <w:r>
                    <w:rPr>
                      <w:rFonts w:hint="eastAsia"/>
                      <w:color w:val="auto"/>
                      <w:szCs w:val="21"/>
                      <w:highlight w:val="none"/>
                      <w:lang w:val="en-US" w:eastAsia="zh-CN"/>
                    </w:rPr>
                    <w:t>氧化铝</w:t>
                  </w:r>
                  <w:r>
                    <w:rPr>
                      <w:rFonts w:hint="eastAsia"/>
                      <w:color w:val="auto"/>
                      <w:szCs w:val="21"/>
                      <w:highlight w:val="none"/>
                      <w:lang w:val="en-US" w:eastAsia="zh-CN"/>
                    </w:rPr>
                    <w:t>粉末</w:t>
                  </w:r>
                </w:p>
              </w:tc>
              <w:tc>
                <w:tcPr>
                  <w:tcW w:w="623" w:type="pct"/>
                  <w:noWrap w:val="0"/>
                  <w:vAlign w:val="center"/>
                </w:tcPr>
                <w:p w14:paraId="0646B0A8">
                  <w:pPr>
                    <w:spacing w:before="24" w:after="24"/>
                    <w:jc w:val="center"/>
                    <w:rPr>
                      <w:rFonts w:hint="eastAsia"/>
                      <w:color w:val="auto"/>
                      <w:szCs w:val="21"/>
                      <w:highlight w:val="none"/>
                      <w:lang w:val="en-US" w:eastAsia="zh-CN"/>
                    </w:rPr>
                  </w:pPr>
                  <w:r>
                    <w:rPr>
                      <w:rFonts w:hint="eastAsia"/>
                      <w:color w:val="auto"/>
                      <w:szCs w:val="21"/>
                      <w:highlight w:val="none"/>
                      <w:lang w:val="en-US" w:eastAsia="zh-CN"/>
                    </w:rPr>
                    <w:t>kg</w:t>
                  </w:r>
                </w:p>
              </w:tc>
              <w:tc>
                <w:tcPr>
                  <w:tcW w:w="591" w:type="pct"/>
                  <w:noWrap w:val="0"/>
                  <w:vAlign w:val="center"/>
                </w:tcPr>
                <w:p w14:paraId="0E87389B">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200</w:t>
                  </w:r>
                </w:p>
              </w:tc>
              <w:tc>
                <w:tcPr>
                  <w:tcW w:w="596" w:type="pct"/>
                  <w:noWrap w:val="0"/>
                  <w:vAlign w:val="center"/>
                </w:tcPr>
                <w:p w14:paraId="76281BD2">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200</w:t>
                  </w:r>
                </w:p>
              </w:tc>
              <w:tc>
                <w:tcPr>
                  <w:tcW w:w="1320" w:type="pct"/>
                  <w:noWrap w:val="0"/>
                  <w:vAlign w:val="center"/>
                </w:tcPr>
                <w:p w14:paraId="62858DDF">
                  <w:pPr>
                    <w:spacing w:before="24" w:after="24"/>
                    <w:jc w:val="center"/>
                    <w:rPr>
                      <w:rFonts w:hint="eastAsia"/>
                      <w:color w:val="auto"/>
                      <w:szCs w:val="21"/>
                      <w:highlight w:val="none"/>
                      <w:lang w:val="en-US" w:eastAsia="zh-CN"/>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7CE35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2316B140">
                  <w:pPr>
                    <w:spacing w:before="24" w:after="24"/>
                    <w:jc w:val="center"/>
                    <w:rPr>
                      <w:rFonts w:hint="default"/>
                      <w:color w:val="auto"/>
                      <w:szCs w:val="21"/>
                      <w:highlight w:val="none"/>
                      <w:lang w:val="en-US" w:eastAsia="zh-CN"/>
                    </w:rPr>
                  </w:pPr>
                  <w:r>
                    <w:rPr>
                      <w:rFonts w:hint="eastAsia"/>
                      <w:color w:val="auto"/>
                      <w:szCs w:val="21"/>
                      <w:highlight w:val="none"/>
                      <w:lang w:val="en-US" w:eastAsia="zh-CN"/>
                    </w:rPr>
                    <w:t>8</w:t>
                  </w:r>
                </w:p>
              </w:tc>
              <w:tc>
                <w:tcPr>
                  <w:tcW w:w="1548" w:type="pct"/>
                  <w:noWrap w:val="0"/>
                  <w:vAlign w:val="center"/>
                </w:tcPr>
                <w:p w14:paraId="43A49EB0">
                  <w:pPr>
                    <w:spacing w:line="240" w:lineRule="auto"/>
                    <w:jc w:val="center"/>
                    <w:rPr>
                      <w:rFonts w:hint="eastAsia"/>
                      <w:color w:val="auto"/>
                      <w:szCs w:val="21"/>
                      <w:highlight w:val="none"/>
                    </w:rPr>
                  </w:pPr>
                  <w:r>
                    <w:rPr>
                      <w:rFonts w:hint="eastAsia"/>
                      <w:color w:val="auto"/>
                      <w:szCs w:val="21"/>
                      <w:highlight w:val="none"/>
                      <w:lang w:val="en-US" w:eastAsia="zh-CN"/>
                    </w:rPr>
                    <w:t>氧化锆</w:t>
                  </w:r>
                  <w:r>
                    <w:rPr>
                      <w:rFonts w:hint="eastAsia"/>
                      <w:color w:val="auto"/>
                      <w:szCs w:val="21"/>
                      <w:highlight w:val="none"/>
                      <w:lang w:val="en-US" w:eastAsia="zh-CN"/>
                    </w:rPr>
                    <w:t>粉末</w:t>
                  </w:r>
                </w:p>
              </w:tc>
              <w:tc>
                <w:tcPr>
                  <w:tcW w:w="623" w:type="pct"/>
                  <w:noWrap w:val="0"/>
                  <w:vAlign w:val="center"/>
                </w:tcPr>
                <w:p w14:paraId="465D897E">
                  <w:pPr>
                    <w:spacing w:before="24" w:after="24"/>
                    <w:jc w:val="center"/>
                    <w:rPr>
                      <w:rFonts w:hint="eastAsia"/>
                      <w:color w:val="auto"/>
                      <w:szCs w:val="21"/>
                      <w:highlight w:val="none"/>
                      <w:lang w:val="en-US" w:eastAsia="zh-CN"/>
                    </w:rPr>
                  </w:pPr>
                  <w:r>
                    <w:rPr>
                      <w:rFonts w:hint="eastAsia"/>
                      <w:color w:val="auto"/>
                      <w:szCs w:val="21"/>
                      <w:highlight w:val="none"/>
                      <w:lang w:val="en-US" w:eastAsia="zh-CN"/>
                    </w:rPr>
                    <w:t>kg</w:t>
                  </w:r>
                </w:p>
              </w:tc>
              <w:tc>
                <w:tcPr>
                  <w:tcW w:w="591" w:type="pct"/>
                  <w:noWrap w:val="0"/>
                  <w:vAlign w:val="center"/>
                </w:tcPr>
                <w:p w14:paraId="6D39D885">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200</w:t>
                  </w:r>
                </w:p>
              </w:tc>
              <w:tc>
                <w:tcPr>
                  <w:tcW w:w="596" w:type="pct"/>
                  <w:noWrap w:val="0"/>
                  <w:vAlign w:val="center"/>
                </w:tcPr>
                <w:p w14:paraId="5D8DE8ED">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200</w:t>
                  </w:r>
                </w:p>
              </w:tc>
              <w:tc>
                <w:tcPr>
                  <w:tcW w:w="1320" w:type="pct"/>
                  <w:noWrap w:val="0"/>
                  <w:vAlign w:val="center"/>
                </w:tcPr>
                <w:p w14:paraId="27F45D5C">
                  <w:pPr>
                    <w:spacing w:before="24" w:after="24"/>
                    <w:jc w:val="center"/>
                    <w:rPr>
                      <w:rFonts w:hint="eastAsia"/>
                      <w:color w:val="auto"/>
                      <w:szCs w:val="21"/>
                      <w:highlight w:val="none"/>
                      <w:lang w:val="en-US" w:eastAsia="zh-CN"/>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6B97A1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1AFB6B9A">
                  <w:pPr>
                    <w:spacing w:before="24" w:after="24"/>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1548" w:type="pct"/>
                  <w:noWrap w:val="0"/>
                  <w:vAlign w:val="center"/>
                </w:tcPr>
                <w:p w14:paraId="11D9082C">
                  <w:pPr>
                    <w:spacing w:line="240" w:lineRule="auto"/>
                    <w:jc w:val="center"/>
                    <w:rPr>
                      <w:color w:val="auto"/>
                      <w:szCs w:val="21"/>
                      <w:highlight w:val="none"/>
                    </w:rPr>
                  </w:pPr>
                  <w:r>
                    <w:rPr>
                      <w:rFonts w:hint="eastAsia"/>
                      <w:color w:val="auto"/>
                      <w:szCs w:val="21"/>
                      <w:highlight w:val="none"/>
                      <w:lang w:val="en-US" w:eastAsia="zh-CN"/>
                    </w:rPr>
                    <w:t>氧化锌</w:t>
                  </w:r>
                  <w:r>
                    <w:rPr>
                      <w:rFonts w:hint="eastAsia"/>
                      <w:color w:val="auto"/>
                      <w:szCs w:val="21"/>
                      <w:highlight w:val="none"/>
                      <w:lang w:val="en-US" w:eastAsia="zh-CN"/>
                    </w:rPr>
                    <w:t>粉末</w:t>
                  </w:r>
                </w:p>
              </w:tc>
              <w:tc>
                <w:tcPr>
                  <w:tcW w:w="623" w:type="pct"/>
                  <w:noWrap w:val="0"/>
                  <w:vAlign w:val="center"/>
                </w:tcPr>
                <w:p w14:paraId="198AFD28">
                  <w:pPr>
                    <w:spacing w:before="24" w:after="24"/>
                    <w:jc w:val="center"/>
                    <w:rPr>
                      <w:color w:val="auto"/>
                      <w:szCs w:val="21"/>
                      <w:highlight w:val="none"/>
                    </w:rPr>
                  </w:pPr>
                  <w:r>
                    <w:rPr>
                      <w:rFonts w:hint="eastAsia"/>
                      <w:color w:val="auto"/>
                      <w:szCs w:val="21"/>
                      <w:highlight w:val="none"/>
                      <w:lang w:val="en-US" w:eastAsia="zh-CN"/>
                    </w:rPr>
                    <w:t>kg</w:t>
                  </w:r>
                </w:p>
              </w:tc>
              <w:tc>
                <w:tcPr>
                  <w:tcW w:w="591" w:type="pct"/>
                  <w:noWrap w:val="0"/>
                  <w:vAlign w:val="center"/>
                </w:tcPr>
                <w:p w14:paraId="2888251A">
                  <w:pPr>
                    <w:spacing w:line="240" w:lineRule="auto"/>
                    <w:jc w:val="center"/>
                    <w:rPr>
                      <w:color w:val="auto"/>
                      <w:szCs w:val="21"/>
                      <w:highlight w:val="none"/>
                    </w:rPr>
                  </w:pPr>
                  <w:r>
                    <w:rPr>
                      <w:rFonts w:hint="eastAsia"/>
                      <w:color w:val="auto"/>
                      <w:szCs w:val="21"/>
                      <w:highlight w:val="none"/>
                      <w:lang w:val="en-US" w:eastAsia="zh-CN"/>
                    </w:rPr>
                    <w:t>50</w:t>
                  </w:r>
                </w:p>
              </w:tc>
              <w:tc>
                <w:tcPr>
                  <w:tcW w:w="596" w:type="pct"/>
                  <w:noWrap w:val="0"/>
                  <w:vAlign w:val="center"/>
                </w:tcPr>
                <w:p w14:paraId="18C720A1">
                  <w:pPr>
                    <w:spacing w:line="240" w:lineRule="auto"/>
                    <w:jc w:val="center"/>
                    <w:rPr>
                      <w:color w:val="auto"/>
                      <w:szCs w:val="21"/>
                      <w:highlight w:val="none"/>
                    </w:rPr>
                  </w:pPr>
                  <w:r>
                    <w:rPr>
                      <w:rFonts w:hint="eastAsia"/>
                      <w:color w:val="auto"/>
                      <w:szCs w:val="21"/>
                      <w:highlight w:val="none"/>
                      <w:lang w:val="en-US" w:eastAsia="zh-CN"/>
                    </w:rPr>
                    <w:t>50</w:t>
                  </w:r>
                </w:p>
              </w:tc>
              <w:tc>
                <w:tcPr>
                  <w:tcW w:w="1320" w:type="pct"/>
                  <w:noWrap w:val="0"/>
                  <w:vAlign w:val="center"/>
                </w:tcPr>
                <w:p w14:paraId="44A528BD">
                  <w:pPr>
                    <w:spacing w:before="24" w:after="24"/>
                    <w:jc w:val="center"/>
                    <w:rPr>
                      <w:color w:val="auto"/>
                      <w:szCs w:val="21"/>
                      <w:highlight w:val="none"/>
                    </w:rPr>
                  </w:pPr>
                  <w:r>
                    <w:rPr>
                      <w:rFonts w:hint="eastAsia"/>
                      <w:color w:val="auto"/>
                      <w:szCs w:val="21"/>
                      <w:highlight w:val="none"/>
                      <w:lang w:val="en-US" w:eastAsia="zh-CN"/>
                    </w:rPr>
                    <w:t>袋装，</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6185AE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shd w:val="clear" w:color="auto" w:fill="auto"/>
                  <w:noWrap w:val="0"/>
                  <w:vAlign w:val="center"/>
                </w:tcPr>
                <w:p w14:paraId="2B247E6C">
                  <w:pPr>
                    <w:spacing w:before="24" w:after="24"/>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w:t>
                  </w:r>
                </w:p>
              </w:tc>
              <w:tc>
                <w:tcPr>
                  <w:tcW w:w="1548" w:type="pct"/>
                  <w:shd w:val="clear" w:color="auto" w:fill="auto"/>
                  <w:noWrap w:val="0"/>
                  <w:vAlign w:val="center"/>
                </w:tcPr>
                <w:p w14:paraId="7FF1D50C">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模具</w:t>
                  </w:r>
                </w:p>
              </w:tc>
              <w:tc>
                <w:tcPr>
                  <w:tcW w:w="623" w:type="pct"/>
                  <w:shd w:val="clear" w:color="auto" w:fill="auto"/>
                  <w:noWrap w:val="0"/>
                  <w:vAlign w:val="center"/>
                </w:tcPr>
                <w:p w14:paraId="60DFE2F9">
                  <w:pPr>
                    <w:spacing w:before="24" w:after="24"/>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kg</w:t>
                  </w:r>
                </w:p>
              </w:tc>
              <w:tc>
                <w:tcPr>
                  <w:tcW w:w="591" w:type="pct"/>
                  <w:shd w:val="clear" w:color="auto" w:fill="auto"/>
                  <w:noWrap w:val="0"/>
                  <w:vAlign w:val="center"/>
                </w:tcPr>
                <w:p w14:paraId="6E1DF07F">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300</w:t>
                  </w:r>
                </w:p>
              </w:tc>
              <w:tc>
                <w:tcPr>
                  <w:tcW w:w="596" w:type="pct"/>
                  <w:shd w:val="clear" w:color="auto" w:fill="auto"/>
                  <w:noWrap w:val="0"/>
                  <w:vAlign w:val="center"/>
                </w:tcPr>
                <w:p w14:paraId="2ED798B6">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100</w:t>
                  </w:r>
                </w:p>
              </w:tc>
              <w:tc>
                <w:tcPr>
                  <w:tcW w:w="1320" w:type="pct"/>
                  <w:shd w:val="clear" w:color="auto" w:fill="auto"/>
                  <w:noWrap w:val="0"/>
                  <w:vAlign w:val="center"/>
                </w:tcPr>
                <w:p w14:paraId="58F2ECC9">
                  <w:pPr>
                    <w:spacing w:before="24" w:after="24"/>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定制，</w:t>
                  </w:r>
                  <w:r>
                    <w:rPr>
                      <w:rFonts w:hint="eastAsia"/>
                      <w:color w:val="auto"/>
                      <w:szCs w:val="21"/>
                      <w:highlight w:val="none"/>
                      <w:lang w:val="en-US" w:eastAsia="zh-CN"/>
                    </w:rPr>
                    <w:t>25kg/袋</w:t>
                  </w:r>
                  <w:r>
                    <w:rPr>
                      <w:rFonts w:hint="eastAsia"/>
                      <w:color w:val="auto"/>
                      <w:szCs w:val="21"/>
                      <w:highlight w:val="none"/>
                      <w:lang w:val="en-US" w:eastAsia="zh-CN"/>
                    </w:rPr>
                    <w:t>，外购</w:t>
                  </w:r>
                </w:p>
              </w:tc>
            </w:tr>
            <w:tr w14:paraId="7F191B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shd w:val="clear" w:color="auto" w:fill="auto"/>
                  <w:noWrap w:val="0"/>
                  <w:vAlign w:val="center"/>
                </w:tcPr>
                <w:p w14:paraId="30ACC1C7">
                  <w:pPr>
                    <w:spacing w:before="24" w:after="24"/>
                    <w:jc w:val="center"/>
                    <w:rPr>
                      <w:rFonts w:hint="default"/>
                      <w:color w:val="auto"/>
                      <w:szCs w:val="21"/>
                      <w:highlight w:val="none"/>
                      <w:lang w:val="en-US" w:eastAsia="zh-CN"/>
                    </w:rPr>
                  </w:pPr>
                  <w:r>
                    <w:rPr>
                      <w:rFonts w:hint="eastAsia"/>
                      <w:color w:val="auto"/>
                      <w:szCs w:val="21"/>
                      <w:highlight w:val="none"/>
                      <w:lang w:val="en-US" w:eastAsia="zh-CN"/>
                    </w:rPr>
                    <w:t>11</w:t>
                  </w:r>
                </w:p>
              </w:tc>
              <w:tc>
                <w:tcPr>
                  <w:tcW w:w="1548" w:type="pct"/>
                  <w:shd w:val="clear" w:color="auto" w:fill="auto"/>
                  <w:noWrap w:val="0"/>
                  <w:vAlign w:val="center"/>
                </w:tcPr>
                <w:p w14:paraId="598F4527">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机油</w:t>
                  </w:r>
                </w:p>
              </w:tc>
              <w:tc>
                <w:tcPr>
                  <w:tcW w:w="623" w:type="pct"/>
                  <w:shd w:val="clear" w:color="auto" w:fill="auto"/>
                  <w:noWrap w:val="0"/>
                  <w:vAlign w:val="center"/>
                </w:tcPr>
                <w:p w14:paraId="4C7E7A33">
                  <w:pPr>
                    <w:spacing w:before="24" w:after="24"/>
                    <w:jc w:val="center"/>
                    <w:rPr>
                      <w:rFonts w:hint="default"/>
                      <w:color w:val="auto"/>
                      <w:szCs w:val="21"/>
                      <w:highlight w:val="none"/>
                      <w:lang w:val="en-US" w:eastAsia="zh-CN"/>
                    </w:rPr>
                  </w:pPr>
                  <w:r>
                    <w:rPr>
                      <w:rFonts w:hint="eastAsia"/>
                      <w:color w:val="auto"/>
                      <w:szCs w:val="21"/>
                      <w:highlight w:val="none"/>
                      <w:lang w:val="en-US" w:eastAsia="zh-CN"/>
                    </w:rPr>
                    <w:t>mL</w:t>
                  </w:r>
                </w:p>
              </w:tc>
              <w:tc>
                <w:tcPr>
                  <w:tcW w:w="591" w:type="pct"/>
                  <w:shd w:val="clear" w:color="auto" w:fill="auto"/>
                  <w:noWrap w:val="0"/>
                  <w:vAlign w:val="center"/>
                </w:tcPr>
                <w:p w14:paraId="2A437511">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500</w:t>
                  </w:r>
                </w:p>
              </w:tc>
              <w:tc>
                <w:tcPr>
                  <w:tcW w:w="596" w:type="pct"/>
                  <w:shd w:val="clear" w:color="auto" w:fill="auto"/>
                  <w:noWrap w:val="0"/>
                  <w:vAlign w:val="center"/>
                </w:tcPr>
                <w:p w14:paraId="3C9260B5">
                  <w:pPr>
                    <w:spacing w:line="240" w:lineRule="auto"/>
                    <w:jc w:val="center"/>
                    <w:rPr>
                      <w:rFonts w:hint="default"/>
                      <w:color w:val="auto"/>
                      <w:szCs w:val="21"/>
                      <w:highlight w:val="none"/>
                      <w:lang w:val="en-US" w:eastAsia="zh-CN"/>
                    </w:rPr>
                  </w:pPr>
                  <w:r>
                    <w:rPr>
                      <w:rFonts w:hint="eastAsia"/>
                      <w:color w:val="auto"/>
                      <w:szCs w:val="21"/>
                      <w:highlight w:val="none"/>
                      <w:lang w:val="en-US" w:eastAsia="zh-CN"/>
                    </w:rPr>
                    <w:t>500</w:t>
                  </w:r>
                </w:p>
              </w:tc>
              <w:tc>
                <w:tcPr>
                  <w:tcW w:w="1320" w:type="pct"/>
                  <w:shd w:val="clear" w:color="auto" w:fill="auto"/>
                  <w:noWrap w:val="0"/>
                  <w:vAlign w:val="center"/>
                </w:tcPr>
                <w:p w14:paraId="3A362976">
                  <w:pPr>
                    <w:spacing w:before="24" w:after="24"/>
                    <w:jc w:val="center"/>
                    <w:rPr>
                      <w:rFonts w:hint="eastAsia"/>
                      <w:color w:val="auto"/>
                      <w:szCs w:val="21"/>
                      <w:highlight w:val="none"/>
                      <w:lang w:val="en-US" w:eastAsia="zh-CN"/>
                    </w:rPr>
                  </w:pPr>
                  <w:r>
                    <w:rPr>
                      <w:rFonts w:hint="eastAsia"/>
                      <w:color w:val="auto"/>
                      <w:szCs w:val="21"/>
                      <w:highlight w:val="none"/>
                      <w:lang w:val="en-US" w:eastAsia="zh-CN"/>
                    </w:rPr>
                    <w:t>桶装，</w:t>
                  </w:r>
                  <w:r>
                    <w:rPr>
                      <w:rFonts w:hint="eastAsia"/>
                      <w:color w:val="auto"/>
                      <w:szCs w:val="21"/>
                      <w:highlight w:val="none"/>
                      <w:lang w:val="en-US" w:eastAsia="zh-CN"/>
                    </w:rPr>
                    <w:t>500mL/桶</w:t>
                  </w:r>
                  <w:r>
                    <w:rPr>
                      <w:rFonts w:hint="eastAsia"/>
                      <w:color w:val="auto"/>
                      <w:szCs w:val="21"/>
                      <w:highlight w:val="none"/>
                      <w:lang w:val="en-US" w:eastAsia="zh-CN"/>
                    </w:rPr>
                    <w:t>，外购</w:t>
                  </w:r>
                </w:p>
              </w:tc>
            </w:tr>
            <w:tr w14:paraId="782DFC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6"/>
                  <w:noWrap w:val="0"/>
                  <w:vAlign w:val="center"/>
                </w:tcPr>
                <w:p w14:paraId="3B1455DB">
                  <w:pPr>
                    <w:spacing w:before="24" w:after="24"/>
                    <w:jc w:val="both"/>
                    <w:rPr>
                      <w:rFonts w:hint="default"/>
                      <w:color w:val="auto"/>
                      <w:szCs w:val="21"/>
                      <w:highlight w:val="none"/>
                      <w:lang w:val="en-US" w:eastAsia="zh-CN"/>
                    </w:rPr>
                  </w:pPr>
                  <w:r>
                    <w:rPr>
                      <w:rFonts w:hint="eastAsia"/>
                      <w:b/>
                      <w:bCs/>
                      <w:color w:val="auto"/>
                      <w:szCs w:val="21"/>
                      <w:highlight w:val="none"/>
                      <w:lang w:val="en-US" w:eastAsia="zh-CN"/>
                    </w:rPr>
                    <w:t>能源</w:t>
                  </w:r>
                </w:p>
              </w:tc>
            </w:tr>
            <w:tr w14:paraId="254D6A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732C0553">
                  <w:pPr>
                    <w:snapToGrid w:val="0"/>
                    <w:jc w:val="center"/>
                    <w:rPr>
                      <w:rFonts w:hint="eastAsia"/>
                      <w:color w:val="auto"/>
                      <w:szCs w:val="21"/>
                      <w:highlight w:val="none"/>
                      <w:lang w:val="en-US" w:eastAsia="zh-CN"/>
                    </w:rPr>
                  </w:pPr>
                  <w:r>
                    <w:rPr>
                      <w:snapToGrid w:val="0"/>
                      <w:color w:val="auto"/>
                      <w:szCs w:val="21"/>
                      <w:highlight w:val="none"/>
                    </w:rPr>
                    <w:t>1</w:t>
                  </w:r>
                </w:p>
              </w:tc>
              <w:tc>
                <w:tcPr>
                  <w:tcW w:w="1548" w:type="pct"/>
                  <w:noWrap w:val="0"/>
                  <w:vAlign w:val="center"/>
                </w:tcPr>
                <w:p w14:paraId="1C32385B">
                  <w:pPr>
                    <w:snapToGrid w:val="0"/>
                    <w:jc w:val="center"/>
                    <w:rPr>
                      <w:rFonts w:hint="eastAsia"/>
                      <w:color w:val="auto"/>
                      <w:szCs w:val="21"/>
                      <w:highlight w:val="none"/>
                      <w:lang w:val="en-US" w:eastAsia="zh-CN"/>
                    </w:rPr>
                  </w:pPr>
                  <w:r>
                    <w:rPr>
                      <w:bCs/>
                      <w:color w:val="auto"/>
                      <w:szCs w:val="21"/>
                      <w:highlight w:val="none"/>
                    </w:rPr>
                    <w:t>水</w:t>
                  </w:r>
                </w:p>
              </w:tc>
              <w:tc>
                <w:tcPr>
                  <w:tcW w:w="623" w:type="pct"/>
                  <w:noWrap w:val="0"/>
                  <w:vAlign w:val="center"/>
                </w:tcPr>
                <w:p w14:paraId="3B561DE3">
                  <w:pPr>
                    <w:snapToGrid w:val="0"/>
                    <w:jc w:val="center"/>
                    <w:outlineLvl w:val="0"/>
                    <w:rPr>
                      <w:rFonts w:hint="eastAsia"/>
                      <w:color w:val="auto"/>
                      <w:szCs w:val="21"/>
                      <w:highlight w:val="none"/>
                      <w:lang w:val="en-US" w:eastAsia="zh-CN"/>
                    </w:rPr>
                  </w:pPr>
                  <w:r>
                    <w:rPr>
                      <w:rFonts w:hint="eastAsia"/>
                      <w:color w:val="auto"/>
                      <w:szCs w:val="21"/>
                      <w:highlight w:val="none"/>
                      <w:lang w:val="en-US" w:eastAsia="zh-CN"/>
                    </w:rPr>
                    <w:t>t/a</w:t>
                  </w:r>
                </w:p>
              </w:tc>
              <w:tc>
                <w:tcPr>
                  <w:tcW w:w="1187" w:type="pct"/>
                  <w:gridSpan w:val="2"/>
                  <w:noWrap w:val="0"/>
                  <w:vAlign w:val="center"/>
                </w:tcPr>
                <w:p w14:paraId="272C7198">
                  <w:pPr>
                    <w:snapToGrid w:val="0"/>
                    <w:jc w:val="center"/>
                    <w:rPr>
                      <w:rFonts w:hint="default"/>
                      <w:color w:val="auto"/>
                      <w:szCs w:val="21"/>
                      <w:highlight w:val="none"/>
                      <w:lang w:val="en-US" w:eastAsia="zh-CN"/>
                    </w:rPr>
                  </w:pPr>
                  <w:r>
                    <w:rPr>
                      <w:rFonts w:hint="eastAsia"/>
                      <w:color w:val="auto"/>
                      <w:szCs w:val="21"/>
                      <w:highlight w:val="none"/>
                      <w:lang w:val="en-US" w:eastAsia="zh-CN"/>
                    </w:rPr>
                    <w:t>125</w:t>
                  </w:r>
                </w:p>
              </w:tc>
              <w:tc>
                <w:tcPr>
                  <w:tcW w:w="1320" w:type="pct"/>
                  <w:noWrap w:val="0"/>
                  <w:vAlign w:val="center"/>
                </w:tcPr>
                <w:p w14:paraId="36920870">
                  <w:pPr>
                    <w:snapToGrid w:val="0"/>
                    <w:jc w:val="center"/>
                    <w:rPr>
                      <w:rFonts w:hint="eastAsia"/>
                      <w:color w:val="auto"/>
                      <w:szCs w:val="21"/>
                      <w:highlight w:val="none"/>
                      <w:lang w:val="en-US" w:eastAsia="zh-CN"/>
                    </w:rPr>
                  </w:pPr>
                  <w:r>
                    <w:rPr>
                      <w:rFonts w:hint="eastAsia" w:hAnsi="宋体"/>
                      <w:snapToGrid w:val="0"/>
                      <w:color w:val="auto"/>
                      <w:szCs w:val="21"/>
                      <w:highlight w:val="none"/>
                    </w:rPr>
                    <w:t>自来水管道</w:t>
                  </w:r>
                </w:p>
              </w:tc>
            </w:tr>
            <w:tr w14:paraId="314A4C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20" w:type="pct"/>
                  <w:noWrap w:val="0"/>
                  <w:vAlign w:val="center"/>
                </w:tcPr>
                <w:p w14:paraId="37BC0F82">
                  <w:pPr>
                    <w:snapToGrid w:val="0"/>
                    <w:jc w:val="center"/>
                    <w:rPr>
                      <w:rFonts w:hint="default"/>
                      <w:color w:val="auto"/>
                      <w:szCs w:val="21"/>
                      <w:highlight w:val="none"/>
                      <w:lang w:val="en-US" w:eastAsia="zh-CN"/>
                    </w:rPr>
                  </w:pPr>
                  <w:r>
                    <w:rPr>
                      <w:rFonts w:hint="eastAsia"/>
                      <w:snapToGrid w:val="0"/>
                      <w:color w:val="auto"/>
                      <w:szCs w:val="21"/>
                      <w:highlight w:val="none"/>
                    </w:rPr>
                    <w:t>2</w:t>
                  </w:r>
                </w:p>
              </w:tc>
              <w:tc>
                <w:tcPr>
                  <w:tcW w:w="1548" w:type="pct"/>
                  <w:noWrap w:val="0"/>
                  <w:vAlign w:val="center"/>
                </w:tcPr>
                <w:p w14:paraId="0549FEEF">
                  <w:pPr>
                    <w:snapToGrid w:val="0"/>
                    <w:jc w:val="center"/>
                    <w:rPr>
                      <w:rFonts w:hint="default"/>
                      <w:color w:val="auto"/>
                      <w:szCs w:val="21"/>
                      <w:highlight w:val="none"/>
                      <w:lang w:val="en-US" w:eastAsia="zh-CN"/>
                    </w:rPr>
                  </w:pPr>
                  <w:r>
                    <w:rPr>
                      <w:bCs/>
                      <w:color w:val="auto"/>
                      <w:szCs w:val="21"/>
                      <w:highlight w:val="none"/>
                    </w:rPr>
                    <w:t>电</w:t>
                  </w:r>
                </w:p>
              </w:tc>
              <w:tc>
                <w:tcPr>
                  <w:tcW w:w="623" w:type="pct"/>
                  <w:noWrap w:val="0"/>
                  <w:vAlign w:val="center"/>
                </w:tcPr>
                <w:p w14:paraId="4F8A22A5">
                  <w:pPr>
                    <w:snapToGrid w:val="0"/>
                    <w:jc w:val="center"/>
                    <w:outlineLvl w:val="0"/>
                    <w:rPr>
                      <w:rFonts w:hint="default"/>
                      <w:color w:val="auto"/>
                      <w:szCs w:val="21"/>
                      <w:highlight w:val="none"/>
                      <w:lang w:val="en-US" w:eastAsia="zh-CN"/>
                    </w:rPr>
                  </w:pPr>
                  <w:r>
                    <w:rPr>
                      <w:color w:val="auto"/>
                      <w:kern w:val="0"/>
                      <w:szCs w:val="21"/>
                      <w:highlight w:val="none"/>
                    </w:rPr>
                    <w:t>kWh/a</w:t>
                  </w:r>
                </w:p>
              </w:tc>
              <w:tc>
                <w:tcPr>
                  <w:tcW w:w="1187" w:type="pct"/>
                  <w:gridSpan w:val="2"/>
                  <w:noWrap w:val="0"/>
                  <w:vAlign w:val="center"/>
                </w:tcPr>
                <w:p w14:paraId="1DC8C2A2">
                  <w:pPr>
                    <w:snapToGrid w:val="0"/>
                    <w:jc w:val="center"/>
                    <w:rPr>
                      <w:rFonts w:hint="default"/>
                      <w:color w:val="auto"/>
                      <w:szCs w:val="21"/>
                      <w:highlight w:val="none"/>
                      <w:lang w:val="en-US" w:eastAsia="zh-CN"/>
                    </w:rPr>
                  </w:pPr>
                  <w:r>
                    <w:rPr>
                      <w:rFonts w:hint="eastAsia"/>
                      <w:color w:val="auto"/>
                      <w:szCs w:val="21"/>
                      <w:highlight w:val="none"/>
                      <w:lang w:val="en-US" w:eastAsia="zh-CN"/>
                    </w:rPr>
                    <w:t>20000</w:t>
                  </w:r>
                </w:p>
              </w:tc>
              <w:tc>
                <w:tcPr>
                  <w:tcW w:w="1320" w:type="pct"/>
                  <w:noWrap w:val="0"/>
                  <w:vAlign w:val="center"/>
                </w:tcPr>
                <w:p w14:paraId="240AE342">
                  <w:pPr>
                    <w:snapToGrid w:val="0"/>
                    <w:jc w:val="center"/>
                    <w:rPr>
                      <w:rFonts w:hint="eastAsia"/>
                      <w:color w:val="auto"/>
                      <w:szCs w:val="21"/>
                      <w:highlight w:val="none"/>
                      <w:lang w:val="en-US" w:eastAsia="zh-CN"/>
                    </w:rPr>
                  </w:pPr>
                  <w:r>
                    <w:rPr>
                      <w:rFonts w:hint="eastAsia" w:hAnsi="宋体"/>
                      <w:snapToGrid w:val="0"/>
                      <w:color w:val="auto"/>
                      <w:szCs w:val="21"/>
                      <w:highlight w:val="none"/>
                    </w:rPr>
                    <w:t>/</w:t>
                  </w:r>
                </w:p>
              </w:tc>
            </w:tr>
          </w:tbl>
          <w:p w14:paraId="0E1FA4E2">
            <w:pPr>
              <w:pStyle w:val="9"/>
              <w:spacing w:before="0" w:beforeAutospacing="0" w:after="0" w:afterAutospacing="0" w:line="240" w:lineRule="auto"/>
              <w:ind w:firstLine="0" w:firstLineChars="0"/>
              <w:rPr>
                <w:b/>
                <w:bCs/>
                <w:color w:val="auto"/>
                <w:sz w:val="21"/>
                <w:szCs w:val="21"/>
                <w:highlight w:val="none"/>
              </w:rPr>
            </w:pPr>
            <w:r>
              <w:rPr>
                <w:rFonts w:hint="eastAsia"/>
                <w:b/>
                <w:bCs/>
                <w:color w:val="auto"/>
                <w:sz w:val="21"/>
                <w:szCs w:val="21"/>
                <w:highlight w:val="none"/>
              </w:rPr>
              <w:t>备注：</w:t>
            </w:r>
            <w:r>
              <w:rPr>
                <w:rFonts w:hint="eastAsia"/>
                <w:b/>
                <w:bCs/>
                <w:color w:val="auto"/>
                <w:sz w:val="21"/>
                <w:szCs w:val="21"/>
                <w:highlight w:val="none"/>
                <w:lang w:val="en-US" w:eastAsia="zh-CN"/>
              </w:rPr>
              <w:t>项目</w:t>
            </w:r>
            <w:r>
              <w:rPr>
                <w:rFonts w:hint="eastAsia"/>
                <w:b/>
                <w:bCs/>
                <w:color w:val="auto"/>
                <w:sz w:val="21"/>
                <w:szCs w:val="21"/>
                <w:highlight w:val="none"/>
              </w:rPr>
              <w:t>设备维护</w:t>
            </w:r>
            <w:r>
              <w:rPr>
                <w:rFonts w:hint="eastAsia"/>
                <w:b/>
                <w:bCs/>
                <w:color w:val="auto"/>
                <w:sz w:val="21"/>
                <w:szCs w:val="21"/>
                <w:highlight w:val="none"/>
                <w:lang w:val="en-US" w:eastAsia="zh-CN"/>
              </w:rPr>
              <w:t>所</w:t>
            </w:r>
            <w:r>
              <w:rPr>
                <w:rFonts w:hint="eastAsia"/>
                <w:b/>
                <w:bCs/>
                <w:color w:val="auto"/>
                <w:sz w:val="21"/>
                <w:szCs w:val="21"/>
                <w:highlight w:val="none"/>
              </w:rPr>
              <w:t>用</w:t>
            </w:r>
            <w:r>
              <w:rPr>
                <w:rFonts w:hint="eastAsia"/>
                <w:b/>
                <w:bCs/>
                <w:color w:val="auto"/>
                <w:sz w:val="21"/>
                <w:szCs w:val="21"/>
                <w:highlight w:val="none"/>
                <w:lang w:val="en-US" w:eastAsia="zh-CN"/>
              </w:rPr>
              <w:t>机油，仅定期补充，无废机产生；液压机所用</w:t>
            </w:r>
            <w:r>
              <w:rPr>
                <w:rFonts w:hint="eastAsia"/>
                <w:b/>
                <w:bCs/>
                <w:color w:val="auto"/>
                <w:sz w:val="21"/>
                <w:szCs w:val="21"/>
                <w:highlight w:val="none"/>
              </w:rPr>
              <w:t>液压油即采即用</w:t>
            </w:r>
            <w:r>
              <w:rPr>
                <w:rFonts w:hint="eastAsia"/>
                <w:b/>
                <w:bCs/>
                <w:color w:val="auto"/>
                <w:sz w:val="21"/>
                <w:szCs w:val="21"/>
                <w:highlight w:val="none"/>
                <w:lang w:eastAsia="zh-CN"/>
              </w:rPr>
              <w:t>，</w:t>
            </w:r>
            <w:r>
              <w:rPr>
                <w:rFonts w:hint="eastAsia"/>
                <w:b/>
                <w:bCs/>
                <w:color w:val="auto"/>
                <w:sz w:val="21"/>
                <w:szCs w:val="21"/>
                <w:highlight w:val="none"/>
                <w:lang w:val="en-US" w:eastAsia="zh-CN"/>
              </w:rPr>
              <w:t>仅定期补充，无废液压油</w:t>
            </w:r>
            <w:r>
              <w:rPr>
                <w:rFonts w:hint="eastAsia"/>
                <w:b/>
                <w:bCs/>
                <w:color w:val="auto"/>
                <w:sz w:val="21"/>
                <w:szCs w:val="21"/>
                <w:highlight w:val="none"/>
              </w:rPr>
              <w:t>，不在厂区内暂存。</w:t>
            </w:r>
          </w:p>
          <w:p w14:paraId="5038B9F2">
            <w:pPr>
              <w:pStyle w:val="9"/>
              <w:spacing w:after="0" w:afterAutospacing="0" w:line="240" w:lineRule="auto"/>
              <w:ind w:firstLine="482"/>
              <w:jc w:val="center"/>
              <w:rPr>
                <w:b/>
                <w:bCs/>
                <w:color w:val="auto"/>
                <w:highlight w:val="none"/>
              </w:rPr>
            </w:pPr>
          </w:p>
          <w:p w14:paraId="5EB6058A">
            <w:pPr>
              <w:pStyle w:val="9"/>
              <w:spacing w:after="0" w:afterAutospacing="0" w:line="240" w:lineRule="auto"/>
              <w:ind w:firstLine="482"/>
              <w:jc w:val="center"/>
              <w:rPr>
                <w:b/>
                <w:bCs/>
                <w:color w:val="auto"/>
                <w:highlight w:val="none"/>
              </w:rPr>
            </w:pPr>
            <w:r>
              <w:rPr>
                <w:b/>
                <w:bCs/>
                <w:color w:val="auto"/>
                <w:highlight w:val="none"/>
              </w:rPr>
              <w:t xml:space="preserve">表2-4 </w:t>
            </w:r>
            <w:r>
              <w:rPr>
                <w:rFonts w:hint="eastAsia"/>
                <w:b/>
                <w:bCs/>
                <w:color w:val="auto"/>
                <w:highlight w:val="none"/>
                <w:lang w:val="en-US" w:eastAsia="zh-CN"/>
              </w:rPr>
              <w:t xml:space="preserve"> </w:t>
            </w:r>
            <w:r>
              <w:rPr>
                <w:b/>
                <w:bCs/>
                <w:color w:val="auto"/>
                <w:highlight w:val="none"/>
              </w:rPr>
              <w:t>主要原辅料理化性质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9"/>
              <w:gridCol w:w="1308"/>
              <w:gridCol w:w="1618"/>
              <w:gridCol w:w="4530"/>
            </w:tblGrid>
            <w:tr w14:paraId="780F91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1" w:hRule="atLeast"/>
              </w:trPr>
              <w:tc>
                <w:tcPr>
                  <w:tcW w:w="308" w:type="pct"/>
                  <w:noWrap w:val="0"/>
                  <w:vAlign w:val="center"/>
                </w:tcPr>
                <w:p w14:paraId="17F441BF">
                  <w:pPr>
                    <w:jc w:val="center"/>
                    <w:rPr>
                      <w:b/>
                      <w:bCs/>
                      <w:color w:val="auto"/>
                      <w:szCs w:val="21"/>
                      <w:highlight w:val="none"/>
                    </w:rPr>
                  </w:pPr>
                  <w:r>
                    <w:rPr>
                      <w:b/>
                      <w:bCs/>
                      <w:color w:val="auto"/>
                      <w:szCs w:val="21"/>
                      <w:highlight w:val="none"/>
                    </w:rPr>
                    <w:t>序号</w:t>
                  </w:r>
                </w:p>
              </w:tc>
              <w:tc>
                <w:tcPr>
                  <w:tcW w:w="823" w:type="pct"/>
                  <w:noWrap w:val="0"/>
                  <w:vAlign w:val="center"/>
                </w:tcPr>
                <w:p w14:paraId="4DE59BF5">
                  <w:pPr>
                    <w:jc w:val="center"/>
                    <w:rPr>
                      <w:b/>
                      <w:bCs/>
                      <w:color w:val="auto"/>
                      <w:szCs w:val="21"/>
                      <w:highlight w:val="none"/>
                    </w:rPr>
                  </w:pPr>
                  <w:r>
                    <w:rPr>
                      <w:b/>
                      <w:bCs/>
                      <w:color w:val="auto"/>
                      <w:szCs w:val="21"/>
                      <w:highlight w:val="none"/>
                    </w:rPr>
                    <w:t>名称</w:t>
                  </w:r>
                </w:p>
              </w:tc>
              <w:tc>
                <w:tcPr>
                  <w:tcW w:w="1018" w:type="pct"/>
                  <w:noWrap w:val="0"/>
                  <w:vAlign w:val="center"/>
                </w:tcPr>
                <w:p w14:paraId="5543ED27">
                  <w:pPr>
                    <w:jc w:val="center"/>
                    <w:rPr>
                      <w:b/>
                      <w:bCs/>
                      <w:color w:val="auto"/>
                      <w:szCs w:val="21"/>
                      <w:highlight w:val="none"/>
                    </w:rPr>
                  </w:pPr>
                  <w:r>
                    <w:rPr>
                      <w:b/>
                      <w:bCs/>
                      <w:color w:val="auto"/>
                      <w:szCs w:val="21"/>
                      <w:highlight w:val="none"/>
                    </w:rPr>
                    <w:t>主要成分</w:t>
                  </w:r>
                </w:p>
              </w:tc>
              <w:tc>
                <w:tcPr>
                  <w:tcW w:w="2850" w:type="pct"/>
                  <w:noWrap w:val="0"/>
                  <w:vAlign w:val="center"/>
                </w:tcPr>
                <w:p w14:paraId="4B416CE0">
                  <w:pPr>
                    <w:jc w:val="center"/>
                    <w:rPr>
                      <w:b/>
                      <w:bCs/>
                      <w:color w:val="auto"/>
                      <w:szCs w:val="21"/>
                      <w:highlight w:val="none"/>
                    </w:rPr>
                  </w:pPr>
                  <w:r>
                    <w:rPr>
                      <w:b/>
                      <w:bCs/>
                      <w:color w:val="auto"/>
                      <w:szCs w:val="21"/>
                      <w:highlight w:val="none"/>
                    </w:rPr>
                    <w:t>理化性质</w:t>
                  </w:r>
                </w:p>
              </w:tc>
            </w:tr>
            <w:tr w14:paraId="323D50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4" w:hRule="atLeast"/>
              </w:trPr>
              <w:tc>
                <w:tcPr>
                  <w:tcW w:w="308" w:type="pct"/>
                  <w:noWrap w:val="0"/>
                  <w:vAlign w:val="center"/>
                </w:tcPr>
                <w:p w14:paraId="76339A37">
                  <w:pPr>
                    <w:jc w:val="center"/>
                    <w:rPr>
                      <w:color w:val="auto"/>
                      <w:szCs w:val="21"/>
                      <w:highlight w:val="none"/>
                    </w:rPr>
                  </w:pPr>
                  <w:r>
                    <w:rPr>
                      <w:color w:val="auto"/>
                      <w:szCs w:val="21"/>
                      <w:highlight w:val="none"/>
                    </w:rPr>
                    <w:t>1</w:t>
                  </w:r>
                </w:p>
              </w:tc>
              <w:tc>
                <w:tcPr>
                  <w:tcW w:w="823" w:type="pct"/>
                  <w:noWrap w:val="0"/>
                  <w:vAlign w:val="center"/>
                </w:tcPr>
                <w:p w14:paraId="18A36DB5">
                  <w:pPr>
                    <w:jc w:val="center"/>
                    <w:rPr>
                      <w:color w:val="auto"/>
                      <w:szCs w:val="21"/>
                      <w:highlight w:val="none"/>
                    </w:rPr>
                  </w:pPr>
                  <w:r>
                    <w:rPr>
                      <w:rFonts w:hint="eastAsia"/>
                      <w:color w:val="auto"/>
                      <w:szCs w:val="21"/>
                      <w:highlight w:val="none"/>
                    </w:rPr>
                    <w:t>碳化硅颗粒</w:t>
                  </w:r>
                </w:p>
              </w:tc>
              <w:tc>
                <w:tcPr>
                  <w:tcW w:w="1018" w:type="pct"/>
                  <w:noWrap w:val="0"/>
                  <w:vAlign w:val="center"/>
                </w:tcPr>
                <w:p w14:paraId="3554B792">
                  <w:pPr>
                    <w:jc w:val="center"/>
                    <w:rPr>
                      <w:rFonts w:hint="eastAsia"/>
                      <w:color w:val="auto"/>
                      <w:szCs w:val="21"/>
                      <w:highlight w:val="none"/>
                    </w:rPr>
                  </w:pPr>
                  <w:r>
                    <w:rPr>
                      <w:rFonts w:hint="eastAsia"/>
                      <w:color w:val="auto"/>
                      <w:szCs w:val="21"/>
                      <w:highlight w:val="none"/>
                    </w:rPr>
                    <w:t>碳化硅</w:t>
                  </w:r>
                </w:p>
                <w:p w14:paraId="39FDF62D">
                  <w:pPr>
                    <w:jc w:val="center"/>
                    <w:rPr>
                      <w:color w:val="auto"/>
                      <w:szCs w:val="21"/>
                      <w:highlight w:val="none"/>
                    </w:rPr>
                  </w:pPr>
                  <w:r>
                    <w:rPr>
                      <w:rFonts w:hint="eastAsia"/>
                      <w:color w:val="auto"/>
                      <w:szCs w:val="21"/>
                      <w:highlight w:val="none"/>
                    </w:rPr>
                    <w:t>SiC</w:t>
                  </w:r>
                </w:p>
              </w:tc>
              <w:tc>
                <w:tcPr>
                  <w:tcW w:w="2850" w:type="pct"/>
                  <w:noWrap w:val="0"/>
                  <w:vAlign w:val="center"/>
                </w:tcPr>
                <w:p w14:paraId="700D9B1F">
                  <w:pPr>
                    <w:jc w:val="both"/>
                    <w:rPr>
                      <w:color w:val="auto"/>
                      <w:szCs w:val="21"/>
                      <w:highlight w:val="none"/>
                    </w:rPr>
                  </w:pPr>
                  <w:r>
                    <w:rPr>
                      <w:rFonts w:hint="eastAsia"/>
                      <w:color w:val="auto"/>
                      <w:szCs w:val="21"/>
                      <w:highlight w:val="none"/>
                      <w:lang w:val="en-US" w:eastAsia="zh-CN"/>
                    </w:rPr>
                    <w:t>一种半导体；外观取决于其纯度，主要呈现黄色至绿色或者蓝色至黑色；密度为3.21</w:t>
                  </w:r>
                  <w:r>
                    <w:rPr>
                      <w:rFonts w:hint="eastAsia"/>
                      <w:color w:val="auto"/>
                      <w:szCs w:val="21"/>
                      <w:highlight w:val="none"/>
                    </w:rPr>
                    <w:t>g/cm</w:t>
                  </w:r>
                  <w:r>
                    <w:rPr>
                      <w:rFonts w:hint="eastAsia"/>
                      <w:color w:val="auto"/>
                      <w:szCs w:val="21"/>
                      <w:highlight w:val="none"/>
                      <w:vertAlign w:val="superscript"/>
                    </w:rPr>
                    <w:t>3</w:t>
                  </w:r>
                  <w:r>
                    <w:rPr>
                      <w:rFonts w:hint="eastAsia"/>
                      <w:color w:val="auto"/>
                      <w:szCs w:val="21"/>
                      <w:highlight w:val="none"/>
                    </w:rPr>
                    <w:t>，</w:t>
                  </w:r>
                  <w:r>
                    <w:rPr>
                      <w:rFonts w:hint="eastAsia"/>
                      <w:color w:val="auto"/>
                      <w:szCs w:val="21"/>
                      <w:highlight w:val="none"/>
                      <w:lang w:val="en-US" w:eastAsia="zh-CN"/>
                    </w:rPr>
                    <w:t>熔点（升华）2700</w:t>
                  </w:r>
                  <w:r>
                    <w:rPr>
                      <w:rFonts w:hint="default" w:ascii="Times New Roman" w:hAnsi="Times New Roman" w:cs="Times New Roman"/>
                      <w:color w:val="auto"/>
                      <w:szCs w:val="21"/>
                      <w:highlight w:val="none"/>
                      <w:lang w:val="en-US" w:eastAsia="zh-CN"/>
                    </w:rPr>
                    <w:t>℃，熔点（分解）2830℃</w:t>
                  </w:r>
                  <w:r>
                    <w:rPr>
                      <w:rFonts w:hint="eastAsia" w:ascii="Times New Roman" w:hAnsi="Times New Roman" w:cs="Times New Roman"/>
                      <w:color w:val="auto"/>
                      <w:szCs w:val="21"/>
                      <w:highlight w:val="none"/>
                      <w:lang w:val="en-US" w:eastAsia="zh-CN"/>
                    </w:rPr>
                    <w:t>；用于磨料、耐磨剂、磨具、高级耐火材料，精细陶瓷</w:t>
                  </w:r>
                </w:p>
              </w:tc>
            </w:tr>
            <w:tr w14:paraId="1DA9BB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4" w:hRule="atLeast"/>
              </w:trPr>
              <w:tc>
                <w:tcPr>
                  <w:tcW w:w="308" w:type="pct"/>
                  <w:noWrap w:val="0"/>
                  <w:vAlign w:val="center"/>
                </w:tcPr>
                <w:p w14:paraId="2E38F09E">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823" w:type="pct"/>
                  <w:noWrap w:val="0"/>
                  <w:vAlign w:val="center"/>
                </w:tcPr>
                <w:p w14:paraId="7891F4AB">
                  <w:pPr>
                    <w:jc w:val="center"/>
                    <w:rPr>
                      <w:rFonts w:hint="default" w:eastAsia="宋体"/>
                      <w:color w:val="auto"/>
                      <w:szCs w:val="21"/>
                      <w:highlight w:val="none"/>
                      <w:lang w:val="en-US" w:eastAsia="zh-CN"/>
                    </w:rPr>
                  </w:pPr>
                  <w:r>
                    <w:rPr>
                      <w:rFonts w:hint="eastAsia"/>
                      <w:color w:val="auto"/>
                      <w:szCs w:val="21"/>
                      <w:highlight w:val="none"/>
                      <w:lang w:val="en-US" w:eastAsia="zh-CN"/>
                    </w:rPr>
                    <w:t>金刚石颗粒</w:t>
                  </w:r>
                </w:p>
              </w:tc>
              <w:tc>
                <w:tcPr>
                  <w:tcW w:w="1018" w:type="pct"/>
                  <w:noWrap w:val="0"/>
                  <w:vAlign w:val="center"/>
                </w:tcPr>
                <w:p w14:paraId="44E15EC8">
                  <w:pPr>
                    <w:jc w:val="center"/>
                    <w:rPr>
                      <w:rFonts w:hint="eastAsia" w:eastAsia="宋体"/>
                      <w:color w:val="auto"/>
                      <w:szCs w:val="21"/>
                      <w:highlight w:val="none"/>
                      <w:lang w:val="en-US" w:eastAsia="zh-CN"/>
                    </w:rPr>
                  </w:pPr>
                  <w:r>
                    <w:rPr>
                      <w:rFonts w:hint="eastAsia"/>
                      <w:color w:val="auto"/>
                      <w:szCs w:val="21"/>
                      <w:highlight w:val="none"/>
                      <w:lang w:val="en-US" w:eastAsia="zh-CN"/>
                    </w:rPr>
                    <w:t>金刚石</w:t>
                  </w:r>
                </w:p>
              </w:tc>
              <w:tc>
                <w:tcPr>
                  <w:tcW w:w="2850" w:type="pct"/>
                  <w:noWrap w:val="0"/>
                  <w:vAlign w:val="center"/>
                </w:tcPr>
                <w:p w14:paraId="73917293">
                  <w:pPr>
                    <w:jc w:val="both"/>
                    <w:rPr>
                      <w:rFonts w:hint="eastAsia"/>
                      <w:color w:val="auto"/>
                      <w:szCs w:val="21"/>
                      <w:highlight w:val="none"/>
                      <w:lang w:val="en-US" w:eastAsia="zh-CN"/>
                    </w:rPr>
                  </w:pPr>
                  <w:r>
                    <w:rPr>
                      <w:rFonts w:hint="eastAsia"/>
                      <w:color w:val="auto"/>
                      <w:szCs w:val="21"/>
                      <w:highlight w:val="none"/>
                      <w:lang w:val="en-US" w:eastAsia="zh-CN"/>
                    </w:rPr>
                    <w:t>金刚石是自然界理化性质极特殊的材料，核心特点是硬度最高、导热性优异，化学稳定性强，常温常压下密度约3.51g/cm</w:t>
                  </w:r>
                  <w:r>
                    <w:rPr>
                      <w:rFonts w:hint="eastAsia"/>
                      <w:color w:val="auto"/>
                      <w:szCs w:val="21"/>
                      <w:highlight w:val="none"/>
                      <w:vertAlign w:val="superscript"/>
                      <w:lang w:val="en-US" w:eastAsia="zh-CN"/>
                    </w:rPr>
                    <w:t>3</w:t>
                  </w:r>
                  <w:r>
                    <w:rPr>
                      <w:rFonts w:hint="eastAsia"/>
                      <w:color w:val="auto"/>
                      <w:szCs w:val="21"/>
                      <w:highlight w:val="none"/>
                      <w:lang w:val="en-US" w:eastAsia="zh-CN"/>
                    </w:rPr>
                    <w:t>，略高于石墨。室温热导率达2000-2300W/（m</w:t>
                  </w:r>
                  <w:r>
                    <w:rPr>
                      <w:rFonts w:hint="default" w:ascii="Times New Roman" w:hAnsi="Times New Roman" w:cs="Times New Roman"/>
                      <w:color w:val="auto"/>
                      <w:szCs w:val="21"/>
                      <w:highlight w:val="none"/>
                      <w:lang w:val="en-US" w:eastAsia="zh-CN"/>
                    </w:rPr>
                    <w:t>·</w:t>
                  </w:r>
                  <w:r>
                    <w:rPr>
                      <w:rFonts w:hint="eastAsia"/>
                      <w:color w:val="auto"/>
                      <w:szCs w:val="21"/>
                      <w:highlight w:val="none"/>
                      <w:lang w:val="en-US" w:eastAsia="zh-CN"/>
                    </w:rPr>
                    <w:t>K），远超金属，是极佳的热导体。天然金刚石多为绝缘体，掺杂后可成为半导体。</w:t>
                  </w:r>
                </w:p>
              </w:tc>
            </w:tr>
            <w:tr w14:paraId="33FB4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6" w:hRule="atLeast"/>
              </w:trPr>
              <w:tc>
                <w:tcPr>
                  <w:tcW w:w="308" w:type="pct"/>
                  <w:noWrap w:val="0"/>
                  <w:vAlign w:val="center"/>
                </w:tcPr>
                <w:p w14:paraId="4FB3532E">
                  <w:pPr>
                    <w:jc w:val="center"/>
                    <w:rPr>
                      <w:rFonts w:hint="eastAsia" w:eastAsia="宋体"/>
                      <w:color w:val="auto"/>
                      <w:szCs w:val="21"/>
                      <w:highlight w:val="none"/>
                      <w:lang w:eastAsia="zh-CN"/>
                    </w:rPr>
                  </w:pPr>
                  <w:r>
                    <w:rPr>
                      <w:rFonts w:hint="eastAsia"/>
                      <w:color w:val="auto"/>
                      <w:szCs w:val="21"/>
                      <w:highlight w:val="none"/>
                      <w:lang w:val="en-US" w:eastAsia="zh-CN"/>
                    </w:rPr>
                    <w:t>3</w:t>
                  </w:r>
                </w:p>
              </w:tc>
              <w:tc>
                <w:tcPr>
                  <w:tcW w:w="823" w:type="pct"/>
                  <w:noWrap w:val="0"/>
                  <w:vAlign w:val="center"/>
                </w:tcPr>
                <w:p w14:paraId="7BF67A0C">
                  <w:pPr>
                    <w:jc w:val="center"/>
                    <w:rPr>
                      <w:color w:val="auto"/>
                      <w:szCs w:val="21"/>
                      <w:highlight w:val="none"/>
                    </w:rPr>
                  </w:pPr>
                  <w:r>
                    <w:rPr>
                      <w:rFonts w:hint="eastAsia"/>
                      <w:color w:val="auto"/>
                      <w:szCs w:val="21"/>
                      <w:highlight w:val="none"/>
                    </w:rPr>
                    <w:t>水玻璃</w:t>
                  </w:r>
                </w:p>
              </w:tc>
              <w:tc>
                <w:tcPr>
                  <w:tcW w:w="1018" w:type="pct"/>
                  <w:noWrap w:val="0"/>
                  <w:vAlign w:val="center"/>
                </w:tcPr>
                <w:p w14:paraId="1BB7418C">
                  <w:pPr>
                    <w:jc w:val="center"/>
                    <w:rPr>
                      <w:rFonts w:hint="eastAsia"/>
                      <w:color w:val="auto"/>
                      <w:szCs w:val="21"/>
                      <w:highlight w:val="none"/>
                    </w:rPr>
                  </w:pPr>
                  <w:r>
                    <w:rPr>
                      <w:rFonts w:hint="eastAsia"/>
                      <w:color w:val="auto"/>
                      <w:szCs w:val="21"/>
                      <w:highlight w:val="none"/>
                    </w:rPr>
                    <w:t>硅酸钠</w:t>
                  </w:r>
                </w:p>
                <w:p w14:paraId="4D535C2A">
                  <w:pPr>
                    <w:jc w:val="center"/>
                    <w:rPr>
                      <w:color w:val="auto"/>
                      <w:szCs w:val="21"/>
                      <w:highlight w:val="none"/>
                    </w:rPr>
                  </w:pPr>
                  <w:r>
                    <w:rPr>
                      <w:rFonts w:hint="eastAsia"/>
                      <w:color w:val="auto"/>
                      <w:szCs w:val="21"/>
                      <w:highlight w:val="none"/>
                    </w:rPr>
                    <w:t>Na</w:t>
                  </w:r>
                  <w:r>
                    <w:rPr>
                      <w:rFonts w:hint="eastAsia"/>
                      <w:color w:val="auto"/>
                      <w:szCs w:val="21"/>
                      <w:highlight w:val="none"/>
                      <w:vertAlign w:val="subscript"/>
                    </w:rPr>
                    <w:t>2</w:t>
                  </w:r>
                  <w:r>
                    <w:rPr>
                      <w:rFonts w:hint="eastAsia"/>
                      <w:color w:val="auto"/>
                      <w:szCs w:val="21"/>
                      <w:highlight w:val="none"/>
                    </w:rPr>
                    <w:t>O·nSiO</w:t>
                  </w:r>
                  <w:r>
                    <w:rPr>
                      <w:rFonts w:hint="eastAsia"/>
                      <w:color w:val="auto"/>
                      <w:szCs w:val="21"/>
                      <w:highlight w:val="none"/>
                      <w:vertAlign w:val="subscript"/>
                    </w:rPr>
                    <w:t>2</w:t>
                  </w:r>
                </w:p>
              </w:tc>
              <w:tc>
                <w:tcPr>
                  <w:tcW w:w="2850" w:type="pct"/>
                  <w:noWrap w:val="0"/>
                  <w:vAlign w:val="center"/>
                </w:tcPr>
                <w:p w14:paraId="34DE946C">
                  <w:pPr>
                    <w:rPr>
                      <w:rFonts w:hint="eastAsia" w:eastAsia="宋体"/>
                      <w:color w:val="auto"/>
                      <w:szCs w:val="21"/>
                      <w:highlight w:val="none"/>
                      <w:lang w:eastAsia="zh-CN"/>
                    </w:rPr>
                  </w:pPr>
                  <w:r>
                    <w:rPr>
                      <w:rFonts w:hint="eastAsia"/>
                      <w:color w:val="auto"/>
                      <w:szCs w:val="21"/>
                      <w:highlight w:val="none"/>
                    </w:rPr>
                    <w:t>一种可溶性的无机硅酸盐</w:t>
                  </w:r>
                  <w:r>
                    <w:rPr>
                      <w:rFonts w:hint="eastAsia"/>
                      <w:color w:val="auto"/>
                      <w:szCs w:val="21"/>
                      <w:highlight w:val="none"/>
                      <w:lang w:eastAsia="zh-CN"/>
                    </w:rPr>
                    <w:t>；无色、略带颜色的半透明或透明块状玻璃体；</w:t>
                  </w:r>
                  <w:r>
                    <w:rPr>
                      <w:rFonts w:hint="eastAsia"/>
                      <w:color w:val="auto"/>
                      <w:szCs w:val="21"/>
                      <w:highlight w:val="none"/>
                      <w:lang w:val="en-US" w:eastAsia="zh-CN"/>
                    </w:rPr>
                    <w:t>熔点为1089</w:t>
                  </w:r>
                  <w:r>
                    <w:rPr>
                      <w:rFonts w:hint="default" w:ascii="Times New Roman" w:hAnsi="Times New Roman" w:cs="Times New Roman"/>
                      <w:color w:val="auto"/>
                      <w:szCs w:val="21"/>
                      <w:highlight w:val="none"/>
                      <w:lang w:val="en-US" w:eastAsia="zh-CN"/>
                    </w:rPr>
                    <w:t>℃</w:t>
                  </w:r>
                  <w:r>
                    <w:rPr>
                      <w:rFonts w:hint="eastAsia"/>
                      <w:color w:val="auto"/>
                      <w:szCs w:val="21"/>
                      <w:highlight w:val="none"/>
                      <w:lang w:eastAsia="zh-CN"/>
                    </w:rPr>
                    <w:t>；用作填料、织物防火剂和粘合剂等</w:t>
                  </w:r>
                </w:p>
              </w:tc>
            </w:tr>
            <w:tr w14:paraId="2A097B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26" w:hRule="atLeast"/>
              </w:trPr>
              <w:tc>
                <w:tcPr>
                  <w:tcW w:w="308" w:type="pct"/>
                  <w:noWrap w:val="0"/>
                  <w:vAlign w:val="center"/>
                </w:tcPr>
                <w:p w14:paraId="6233601B">
                  <w:pPr>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823" w:type="pct"/>
                  <w:noWrap w:val="0"/>
                  <w:vAlign w:val="center"/>
                </w:tcPr>
                <w:p w14:paraId="09B97233">
                  <w:pPr>
                    <w:jc w:val="center"/>
                    <w:rPr>
                      <w:color w:val="auto"/>
                      <w:szCs w:val="21"/>
                      <w:highlight w:val="none"/>
                    </w:rPr>
                  </w:pPr>
                  <w:r>
                    <w:rPr>
                      <w:rFonts w:hint="eastAsia"/>
                      <w:color w:val="auto"/>
                      <w:szCs w:val="21"/>
                      <w:highlight w:val="none"/>
                    </w:rPr>
                    <w:t>聚乙烯醇粉末</w:t>
                  </w:r>
                </w:p>
              </w:tc>
              <w:tc>
                <w:tcPr>
                  <w:tcW w:w="1018" w:type="pct"/>
                  <w:noWrap w:val="0"/>
                  <w:vAlign w:val="center"/>
                </w:tcPr>
                <w:p w14:paraId="536E6123">
                  <w:pPr>
                    <w:jc w:val="center"/>
                    <w:rPr>
                      <w:rFonts w:hint="eastAsia"/>
                      <w:color w:val="auto"/>
                      <w:szCs w:val="21"/>
                      <w:highlight w:val="none"/>
                    </w:rPr>
                  </w:pPr>
                  <w:r>
                    <w:rPr>
                      <w:rFonts w:hint="eastAsia"/>
                      <w:color w:val="auto"/>
                      <w:szCs w:val="21"/>
                      <w:highlight w:val="none"/>
                    </w:rPr>
                    <w:t>聚乙烯醇</w:t>
                  </w:r>
                </w:p>
                <w:p w14:paraId="6B46314E">
                  <w:pPr>
                    <w:jc w:val="center"/>
                    <w:rPr>
                      <w:color w:val="auto"/>
                      <w:szCs w:val="21"/>
                      <w:highlight w:val="none"/>
                    </w:rPr>
                  </w:pPr>
                  <w:r>
                    <w:rPr>
                      <w:rFonts w:hint="eastAsia"/>
                      <w:color w:val="auto"/>
                      <w:szCs w:val="21"/>
                      <w:highlight w:val="none"/>
                    </w:rPr>
                    <w:t>[C</w:t>
                  </w:r>
                  <w:r>
                    <w:rPr>
                      <w:rFonts w:hint="eastAsia"/>
                      <w:color w:val="auto"/>
                      <w:szCs w:val="21"/>
                      <w:highlight w:val="none"/>
                      <w:vertAlign w:val="subscript"/>
                    </w:rPr>
                    <w:t>2</w:t>
                  </w:r>
                  <w:r>
                    <w:rPr>
                      <w:rFonts w:hint="eastAsia"/>
                      <w:color w:val="auto"/>
                      <w:szCs w:val="21"/>
                      <w:highlight w:val="none"/>
                    </w:rPr>
                    <w:t>H</w:t>
                  </w:r>
                  <w:r>
                    <w:rPr>
                      <w:rFonts w:hint="eastAsia"/>
                      <w:color w:val="auto"/>
                      <w:szCs w:val="21"/>
                      <w:highlight w:val="none"/>
                      <w:vertAlign w:val="subscript"/>
                    </w:rPr>
                    <w:t>4</w:t>
                  </w:r>
                  <w:r>
                    <w:rPr>
                      <w:rFonts w:hint="eastAsia"/>
                      <w:color w:val="auto"/>
                      <w:szCs w:val="21"/>
                      <w:highlight w:val="none"/>
                    </w:rPr>
                    <w:t>O]n</w:t>
                  </w:r>
                </w:p>
              </w:tc>
              <w:tc>
                <w:tcPr>
                  <w:tcW w:w="2850" w:type="pct"/>
                  <w:noWrap w:val="0"/>
                  <w:vAlign w:val="center"/>
                </w:tcPr>
                <w:p w14:paraId="0C1F6D6C">
                  <w:pPr>
                    <w:rPr>
                      <w:rFonts w:hint="default"/>
                      <w:color w:val="auto"/>
                      <w:highlight w:val="none"/>
                      <w:lang w:val="en-US" w:eastAsia="zh-CN"/>
                    </w:rPr>
                  </w:pPr>
                  <w:r>
                    <w:rPr>
                      <w:rFonts w:hint="eastAsia"/>
                      <w:color w:val="auto"/>
                      <w:szCs w:val="21"/>
                      <w:highlight w:val="none"/>
                    </w:rPr>
                    <w:t>一种有机化合物</w:t>
                  </w:r>
                  <w:r>
                    <w:rPr>
                      <w:rFonts w:hint="eastAsia"/>
                      <w:color w:val="auto"/>
                      <w:szCs w:val="21"/>
                      <w:highlight w:val="none"/>
                      <w:lang w:eastAsia="zh-CN"/>
                    </w:rPr>
                    <w:t>；外观是白色片状、絮状或粉末状固体，无味；</w:t>
                  </w:r>
                  <w:r>
                    <w:rPr>
                      <w:rFonts w:hint="eastAsia"/>
                      <w:color w:val="auto"/>
                      <w:szCs w:val="21"/>
                      <w:highlight w:val="none"/>
                      <w:lang w:val="en-US" w:eastAsia="zh-CN"/>
                    </w:rPr>
                    <w:t>可溶于水；熔点230-240</w:t>
                  </w:r>
                  <w:r>
                    <w:rPr>
                      <w:rFonts w:hint="default" w:ascii="Times New Roman" w:hAnsi="Times New Roman" w:cs="Times New Roman"/>
                      <w:color w:val="auto"/>
                      <w:szCs w:val="21"/>
                      <w:highlight w:val="none"/>
                      <w:lang w:val="en-US" w:eastAsia="zh-CN"/>
                    </w:rPr>
                    <w:t>℃</w:t>
                  </w:r>
                  <w:r>
                    <w:rPr>
                      <w:rFonts w:hint="eastAsia"/>
                      <w:color w:val="auto"/>
                      <w:szCs w:val="21"/>
                      <w:highlight w:val="none"/>
                      <w:lang w:eastAsia="zh-CN"/>
                    </w:rPr>
                    <w:t>；</w:t>
                  </w:r>
                  <w:r>
                    <w:rPr>
                      <w:rFonts w:hint="eastAsia"/>
                      <w:color w:val="auto"/>
                      <w:szCs w:val="21"/>
                      <w:highlight w:val="none"/>
                      <w:lang w:val="en-US" w:eastAsia="zh-CN"/>
                    </w:rPr>
                    <w:t>用于</w:t>
                  </w:r>
                  <w:r>
                    <w:rPr>
                      <w:rFonts w:hint="eastAsia"/>
                      <w:color w:val="auto"/>
                      <w:szCs w:val="21"/>
                      <w:highlight w:val="none"/>
                      <w:lang w:eastAsia="zh-CN"/>
                    </w:rPr>
                    <w:t>粘合剂等</w:t>
                  </w:r>
                  <w:r>
                    <w:rPr>
                      <w:rFonts w:hint="eastAsia"/>
                      <w:color w:val="auto"/>
                      <w:szCs w:val="21"/>
                      <w:highlight w:val="none"/>
                      <w:lang w:eastAsia="zh-CN"/>
                    </w:rPr>
                    <w:t>。</w:t>
                  </w:r>
                  <w:r>
                    <w:rPr>
                      <w:rFonts w:hint="eastAsia"/>
                      <w:color w:val="auto"/>
                      <w:szCs w:val="21"/>
                      <w:highlight w:val="none"/>
                      <w:u w:val="none"/>
                      <w:lang w:val="en-US" w:eastAsia="zh-CN"/>
                    </w:rPr>
                    <w:t>根据建设单位提供的本项目所用聚乙烯醇粉末检验报告（见附件8）：降解度为88.5Mol%，粘度为23.9Pa.s，</w:t>
                  </w:r>
                  <w:r>
                    <w:rPr>
                      <w:rFonts w:hint="eastAsia"/>
                      <w:b/>
                      <w:bCs/>
                      <w:color w:val="auto"/>
                      <w:szCs w:val="21"/>
                      <w:highlight w:val="none"/>
                      <w:u w:val="none"/>
                      <w:lang w:val="en-US" w:eastAsia="zh-CN"/>
                    </w:rPr>
                    <w:t>挥发份</w:t>
                  </w:r>
                  <w:r>
                    <w:rPr>
                      <w:rFonts w:hint="default" w:ascii="Times New Roman" w:hAnsi="Times New Roman" w:cs="Times New Roman"/>
                      <w:b/>
                      <w:bCs/>
                      <w:color w:val="auto"/>
                      <w:szCs w:val="21"/>
                      <w:highlight w:val="none"/>
                      <w:u w:val="none"/>
                      <w:lang w:val="en-US" w:eastAsia="zh-CN"/>
                    </w:rPr>
                    <w:t>≤</w:t>
                  </w:r>
                  <w:r>
                    <w:rPr>
                      <w:rFonts w:hint="eastAsia" w:ascii="Times New Roman" w:hAnsi="Times New Roman" w:cs="Times New Roman"/>
                      <w:b/>
                      <w:bCs/>
                      <w:color w:val="auto"/>
                      <w:szCs w:val="21"/>
                      <w:highlight w:val="none"/>
                      <w:u w:val="none"/>
                      <w:lang w:val="en-US" w:eastAsia="zh-CN"/>
                    </w:rPr>
                    <w:t>3.15</w:t>
                  </w:r>
                  <w:r>
                    <w:rPr>
                      <w:rFonts w:hint="default" w:ascii="Times New Roman" w:hAnsi="Times New Roman" w:cs="Times New Roman"/>
                      <w:b/>
                      <w:bCs/>
                      <w:color w:val="auto"/>
                      <w:szCs w:val="21"/>
                      <w:highlight w:val="none"/>
                      <w:u w:val="none"/>
                      <w:lang w:val="en-US" w:eastAsia="zh-CN"/>
                    </w:rPr>
                    <w:t>%</w:t>
                  </w:r>
                  <w:r>
                    <w:rPr>
                      <w:rFonts w:hint="eastAsia" w:ascii="Times New Roman" w:hAnsi="Times New Roman" w:cs="Times New Roman"/>
                      <w:color w:val="auto"/>
                      <w:szCs w:val="21"/>
                      <w:highlight w:val="none"/>
                      <w:u w:val="none"/>
                      <w:lang w:val="en-US" w:eastAsia="zh-CN"/>
                    </w:rPr>
                    <w:t>，灰分</w:t>
                  </w:r>
                  <w:r>
                    <w:rPr>
                      <w:rFonts w:hint="default" w:ascii="Times New Roman" w:hAnsi="Times New Roman" w:cs="Times New Roman"/>
                      <w:b w:val="0"/>
                      <w:bCs w:val="0"/>
                      <w:color w:val="auto"/>
                      <w:szCs w:val="21"/>
                      <w:highlight w:val="none"/>
                      <w:u w:val="none"/>
                      <w:lang w:val="en-US" w:eastAsia="zh-CN"/>
                    </w:rPr>
                    <w:t>≤0.3%</w:t>
                  </w:r>
                  <w:r>
                    <w:rPr>
                      <w:rFonts w:hint="eastAsia" w:ascii="Times New Roman" w:hAnsi="Times New Roman" w:cs="Times New Roman"/>
                      <w:b w:val="0"/>
                      <w:bCs w:val="0"/>
                      <w:color w:val="auto"/>
                      <w:szCs w:val="21"/>
                      <w:highlight w:val="none"/>
                      <w:u w:val="none"/>
                      <w:lang w:val="en-US" w:eastAsia="zh-CN"/>
                    </w:rPr>
                    <w:t>，pH为7</w:t>
                  </w:r>
                  <w:r>
                    <w:rPr>
                      <w:rFonts w:hint="eastAsia"/>
                      <w:color w:val="auto"/>
                      <w:szCs w:val="21"/>
                      <w:highlight w:val="none"/>
                      <w:lang w:eastAsia="zh-CN"/>
                    </w:rPr>
                    <w:t>。</w:t>
                  </w:r>
                  <w:r>
                    <w:rPr>
                      <w:rFonts w:hint="eastAsia"/>
                      <w:color w:val="auto"/>
                      <w:szCs w:val="21"/>
                      <w:highlight w:val="none"/>
                      <w:lang w:val="en-US" w:eastAsia="zh-CN"/>
                    </w:rPr>
                    <w:t>根据《胶粘剂挥发性有机化合物限量》（GB33372-2020），本体型胶黏剂-其他VOCs含量限值≤50g/kg，本项目所用聚乙烯醇粉末属于本体型胶黏剂，其VOCs含量为31.5g/kg，满足要求。</w:t>
                  </w:r>
                </w:p>
              </w:tc>
            </w:tr>
            <w:tr w14:paraId="212D89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3" w:hRule="atLeast"/>
              </w:trPr>
              <w:tc>
                <w:tcPr>
                  <w:tcW w:w="308" w:type="pct"/>
                  <w:noWrap w:val="0"/>
                  <w:vAlign w:val="center"/>
                </w:tcPr>
                <w:p w14:paraId="206E8DE6">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823" w:type="pct"/>
                  <w:noWrap w:val="0"/>
                  <w:vAlign w:val="center"/>
                </w:tcPr>
                <w:p w14:paraId="5491AB20">
                  <w:pPr>
                    <w:jc w:val="center"/>
                    <w:rPr>
                      <w:color w:val="auto"/>
                      <w:szCs w:val="21"/>
                      <w:highlight w:val="none"/>
                    </w:rPr>
                  </w:pPr>
                  <w:r>
                    <w:rPr>
                      <w:rFonts w:hint="eastAsia"/>
                      <w:color w:val="auto"/>
                      <w:szCs w:val="21"/>
                      <w:highlight w:val="none"/>
                    </w:rPr>
                    <w:t>乳蜡</w:t>
                  </w:r>
                </w:p>
              </w:tc>
              <w:tc>
                <w:tcPr>
                  <w:tcW w:w="1018" w:type="pct"/>
                  <w:noWrap w:val="0"/>
                  <w:vAlign w:val="center"/>
                </w:tcPr>
                <w:p w14:paraId="0C9B150B">
                  <w:pPr>
                    <w:jc w:val="center"/>
                    <w:rPr>
                      <w:color w:val="auto"/>
                      <w:szCs w:val="21"/>
                      <w:highlight w:val="none"/>
                    </w:rPr>
                  </w:pPr>
                  <w:r>
                    <w:rPr>
                      <w:rFonts w:hint="eastAsia"/>
                      <w:color w:val="auto"/>
                      <w:szCs w:val="21"/>
                      <w:highlight w:val="none"/>
                    </w:rPr>
                    <w:t>石蜡、天然蜡</w:t>
                  </w:r>
                </w:p>
              </w:tc>
              <w:tc>
                <w:tcPr>
                  <w:tcW w:w="2850" w:type="pct"/>
                  <w:noWrap w:val="0"/>
                  <w:vAlign w:val="center"/>
                </w:tcPr>
                <w:p w14:paraId="1EDE5EA9">
                  <w:pPr>
                    <w:rPr>
                      <w:rFonts w:hint="eastAsia" w:eastAsia="宋体"/>
                      <w:color w:val="auto"/>
                      <w:szCs w:val="21"/>
                      <w:highlight w:val="none"/>
                      <w:lang w:eastAsia="zh-CN"/>
                    </w:rPr>
                  </w:pPr>
                  <w:r>
                    <w:rPr>
                      <w:rFonts w:hint="eastAsia"/>
                      <w:color w:val="auto"/>
                      <w:szCs w:val="21"/>
                      <w:highlight w:val="none"/>
                    </w:rPr>
                    <w:t>以石蜡、天然蜡等为原料，在乳化剂和机械外力作用下形成的水包油型稳定乳状液，外观呈乳白色均质半透明液体，固含量30-50%，pH值7-9，具有抗酸碱、耐硬水及长期稳定性</w:t>
                  </w:r>
                  <w:r>
                    <w:rPr>
                      <w:rFonts w:hint="eastAsia"/>
                      <w:color w:val="auto"/>
                      <w:szCs w:val="21"/>
                      <w:highlight w:val="none"/>
                      <w:lang w:eastAsia="zh-CN"/>
                    </w:rPr>
                    <w:t>；</w:t>
                  </w:r>
                  <w:r>
                    <w:rPr>
                      <w:rFonts w:hint="eastAsia"/>
                      <w:color w:val="auto"/>
                      <w:szCs w:val="21"/>
                      <w:highlight w:val="none"/>
                      <w:lang w:val="en-US" w:eastAsia="zh-CN"/>
                    </w:rPr>
                    <w:t>石蜡通常为白色、无味的蜡状固体，是一种长链化合物，呈中性，化学性质稳定</w:t>
                  </w:r>
                  <w:r>
                    <w:rPr>
                      <w:rFonts w:hint="eastAsia"/>
                      <w:color w:val="auto"/>
                      <w:szCs w:val="21"/>
                      <w:highlight w:val="none"/>
                      <w:lang w:eastAsia="zh-CN"/>
                    </w:rPr>
                    <w:t>。</w:t>
                  </w:r>
                </w:p>
              </w:tc>
            </w:tr>
          </w:tbl>
          <w:p w14:paraId="4D516A42">
            <w:pPr>
              <w:spacing w:before="240"/>
              <w:jc w:val="center"/>
              <w:rPr>
                <w:color w:val="auto"/>
                <w:sz w:val="32"/>
                <w:szCs w:val="32"/>
                <w:highlight w:val="none"/>
              </w:rPr>
            </w:pPr>
            <w:r>
              <w:rPr>
                <w:b/>
                <w:bCs/>
                <w:color w:val="auto"/>
                <w:sz w:val="24"/>
                <w:szCs w:val="32"/>
                <w:highlight w:val="none"/>
              </w:rPr>
              <w:t xml:space="preserve">表2-5  </w:t>
            </w:r>
            <w:r>
              <w:rPr>
                <w:rFonts w:hint="eastAsia"/>
                <w:b/>
                <w:bCs/>
                <w:color w:val="auto"/>
                <w:sz w:val="24"/>
                <w:szCs w:val="32"/>
                <w:highlight w:val="none"/>
              </w:rPr>
              <w:t>本项目</w:t>
            </w:r>
            <w:r>
              <w:rPr>
                <w:b/>
                <w:bCs/>
                <w:color w:val="auto"/>
                <w:sz w:val="24"/>
                <w:szCs w:val="32"/>
                <w:highlight w:val="none"/>
              </w:rPr>
              <w:t>生产设备一览表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2012"/>
              <w:gridCol w:w="1754"/>
              <w:gridCol w:w="663"/>
              <w:gridCol w:w="1120"/>
              <w:gridCol w:w="1713"/>
            </w:tblGrid>
            <w:tr w14:paraId="7AC978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428" w:type="pct"/>
                  <w:noWrap w:val="0"/>
                  <w:vAlign w:val="center"/>
                </w:tcPr>
                <w:p w14:paraId="7C9D28DB">
                  <w:pPr>
                    <w:jc w:val="center"/>
                    <w:rPr>
                      <w:b/>
                      <w:bCs/>
                      <w:color w:val="auto"/>
                      <w:szCs w:val="21"/>
                      <w:highlight w:val="none"/>
                    </w:rPr>
                  </w:pPr>
                  <w:r>
                    <w:rPr>
                      <w:b/>
                      <w:bCs/>
                      <w:color w:val="auto"/>
                      <w:szCs w:val="21"/>
                      <w:highlight w:val="none"/>
                    </w:rPr>
                    <w:t>序号</w:t>
                  </w:r>
                </w:p>
              </w:tc>
              <w:tc>
                <w:tcPr>
                  <w:tcW w:w="1266" w:type="pct"/>
                  <w:noWrap w:val="0"/>
                  <w:vAlign w:val="center"/>
                </w:tcPr>
                <w:p w14:paraId="153E6219">
                  <w:pPr>
                    <w:jc w:val="center"/>
                    <w:rPr>
                      <w:b/>
                      <w:bCs/>
                      <w:color w:val="auto"/>
                      <w:szCs w:val="21"/>
                      <w:highlight w:val="none"/>
                    </w:rPr>
                  </w:pPr>
                  <w:r>
                    <w:rPr>
                      <w:b/>
                      <w:bCs/>
                      <w:color w:val="auto"/>
                      <w:szCs w:val="21"/>
                      <w:highlight w:val="none"/>
                    </w:rPr>
                    <w:t>名称</w:t>
                  </w:r>
                </w:p>
              </w:tc>
              <w:tc>
                <w:tcPr>
                  <w:tcW w:w="1104" w:type="pct"/>
                  <w:noWrap w:val="0"/>
                  <w:vAlign w:val="center"/>
                </w:tcPr>
                <w:p w14:paraId="4072DD78">
                  <w:pPr>
                    <w:jc w:val="center"/>
                    <w:rPr>
                      <w:b/>
                      <w:bCs/>
                      <w:color w:val="auto"/>
                      <w:szCs w:val="21"/>
                      <w:highlight w:val="none"/>
                    </w:rPr>
                  </w:pPr>
                  <w:r>
                    <w:rPr>
                      <w:b/>
                      <w:bCs/>
                      <w:color w:val="auto"/>
                      <w:szCs w:val="21"/>
                      <w:highlight w:val="none"/>
                    </w:rPr>
                    <w:t>规格型号</w:t>
                  </w:r>
                </w:p>
              </w:tc>
              <w:tc>
                <w:tcPr>
                  <w:tcW w:w="417" w:type="pct"/>
                  <w:noWrap w:val="0"/>
                  <w:vAlign w:val="center"/>
                </w:tcPr>
                <w:p w14:paraId="6F8F85D7">
                  <w:pPr>
                    <w:jc w:val="center"/>
                    <w:rPr>
                      <w:b/>
                      <w:bCs/>
                      <w:color w:val="auto"/>
                      <w:szCs w:val="21"/>
                      <w:highlight w:val="none"/>
                    </w:rPr>
                  </w:pPr>
                  <w:r>
                    <w:rPr>
                      <w:b/>
                      <w:bCs/>
                      <w:color w:val="auto"/>
                      <w:szCs w:val="21"/>
                      <w:highlight w:val="none"/>
                    </w:rPr>
                    <w:t>单位</w:t>
                  </w:r>
                </w:p>
              </w:tc>
              <w:tc>
                <w:tcPr>
                  <w:tcW w:w="705" w:type="pct"/>
                  <w:noWrap w:val="0"/>
                  <w:vAlign w:val="center"/>
                </w:tcPr>
                <w:p w14:paraId="26B40D8F">
                  <w:pPr>
                    <w:jc w:val="center"/>
                    <w:rPr>
                      <w:b/>
                      <w:bCs/>
                      <w:color w:val="auto"/>
                      <w:szCs w:val="21"/>
                      <w:highlight w:val="none"/>
                    </w:rPr>
                  </w:pPr>
                  <w:r>
                    <w:rPr>
                      <w:b/>
                      <w:bCs/>
                      <w:color w:val="auto"/>
                      <w:szCs w:val="21"/>
                      <w:highlight w:val="none"/>
                    </w:rPr>
                    <w:t>数量</w:t>
                  </w:r>
                </w:p>
              </w:tc>
              <w:tc>
                <w:tcPr>
                  <w:tcW w:w="1078" w:type="pct"/>
                  <w:noWrap w:val="0"/>
                  <w:vAlign w:val="center"/>
                </w:tcPr>
                <w:p w14:paraId="35BBB2B1">
                  <w:pPr>
                    <w:jc w:val="center"/>
                    <w:rPr>
                      <w:rFonts w:hint="eastAsia" w:eastAsia="宋体"/>
                      <w:b/>
                      <w:bCs/>
                      <w:color w:val="auto"/>
                      <w:szCs w:val="21"/>
                      <w:highlight w:val="none"/>
                      <w:lang w:eastAsia="zh-CN"/>
                    </w:rPr>
                  </w:pPr>
                  <w:r>
                    <w:rPr>
                      <w:rFonts w:hint="eastAsia"/>
                      <w:b/>
                      <w:bCs/>
                      <w:color w:val="auto"/>
                      <w:szCs w:val="21"/>
                      <w:highlight w:val="none"/>
                      <w:lang w:val="en-US" w:eastAsia="zh-CN"/>
                    </w:rPr>
                    <w:t>用途</w:t>
                  </w:r>
                </w:p>
              </w:tc>
            </w:tr>
            <w:tr w14:paraId="5A33E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60A7621B">
                  <w:pPr>
                    <w:jc w:val="center"/>
                    <w:rPr>
                      <w:color w:val="auto"/>
                      <w:szCs w:val="21"/>
                      <w:highlight w:val="none"/>
                    </w:rPr>
                  </w:pPr>
                  <w:r>
                    <w:rPr>
                      <w:rFonts w:hint="eastAsia"/>
                      <w:color w:val="auto"/>
                      <w:szCs w:val="21"/>
                      <w:highlight w:val="none"/>
                    </w:rPr>
                    <w:t>1</w:t>
                  </w:r>
                </w:p>
              </w:tc>
              <w:tc>
                <w:tcPr>
                  <w:tcW w:w="1266" w:type="pct"/>
                  <w:shd w:val="clear" w:color="auto" w:fill="FFFFFF"/>
                  <w:noWrap w:val="0"/>
                  <w:vAlign w:val="center"/>
                </w:tcPr>
                <w:p w14:paraId="4ABC89E5">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搅拌罐</w:t>
                  </w:r>
                </w:p>
              </w:tc>
              <w:tc>
                <w:tcPr>
                  <w:tcW w:w="1104" w:type="pct"/>
                  <w:shd w:val="clear" w:color="auto" w:fill="FFFFFF"/>
                  <w:noWrap w:val="0"/>
                  <w:vAlign w:val="center"/>
                </w:tcPr>
                <w:p w14:paraId="306B2656">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JBG-0.10</w:t>
                  </w:r>
                </w:p>
              </w:tc>
              <w:tc>
                <w:tcPr>
                  <w:tcW w:w="417" w:type="pct"/>
                  <w:shd w:val="clear" w:color="auto" w:fill="FFFFFF"/>
                  <w:noWrap w:val="0"/>
                  <w:vAlign w:val="center"/>
                </w:tcPr>
                <w:p w14:paraId="0C7A632F">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296BEDC9">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0F359E67">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湿物料混合</w:t>
                  </w:r>
                </w:p>
              </w:tc>
            </w:tr>
            <w:tr w14:paraId="2298A8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66D04D4B">
                  <w:pPr>
                    <w:jc w:val="center"/>
                    <w:rPr>
                      <w:color w:val="auto"/>
                      <w:szCs w:val="21"/>
                      <w:highlight w:val="none"/>
                    </w:rPr>
                  </w:pPr>
                  <w:r>
                    <w:rPr>
                      <w:rFonts w:hint="eastAsia"/>
                      <w:color w:val="auto"/>
                      <w:szCs w:val="21"/>
                      <w:highlight w:val="none"/>
                    </w:rPr>
                    <w:t>2</w:t>
                  </w:r>
                </w:p>
              </w:tc>
              <w:tc>
                <w:tcPr>
                  <w:tcW w:w="1266" w:type="pct"/>
                  <w:shd w:val="clear" w:color="auto" w:fill="FFFFFF"/>
                  <w:noWrap w:val="0"/>
                  <w:vAlign w:val="center"/>
                </w:tcPr>
                <w:p w14:paraId="5C0578C1">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三维运动混</w:t>
                  </w:r>
                  <w:r>
                    <w:rPr>
                      <w:rFonts w:hint="eastAsia"/>
                      <w:color w:val="auto"/>
                      <w:szCs w:val="21"/>
                      <w:highlight w:val="none"/>
                      <w:lang w:val="en-US" w:eastAsia="zh-CN"/>
                    </w:rPr>
                    <w:t>料</w:t>
                  </w:r>
                  <w:r>
                    <w:rPr>
                      <w:rFonts w:hint="eastAsia"/>
                      <w:color w:val="auto"/>
                      <w:szCs w:val="21"/>
                      <w:highlight w:val="none"/>
                      <w:lang w:val="en-US" w:eastAsia="zh-CN"/>
                    </w:rPr>
                    <w:t>机</w:t>
                  </w:r>
                </w:p>
              </w:tc>
              <w:tc>
                <w:tcPr>
                  <w:tcW w:w="1104" w:type="pct"/>
                  <w:shd w:val="clear" w:color="auto" w:fill="FFFFFF"/>
                  <w:noWrap w:val="0"/>
                  <w:vAlign w:val="center"/>
                </w:tcPr>
                <w:p w14:paraId="4CFCF9FE">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SYH-100</w:t>
                  </w:r>
                </w:p>
              </w:tc>
              <w:tc>
                <w:tcPr>
                  <w:tcW w:w="417" w:type="pct"/>
                  <w:shd w:val="clear" w:color="auto" w:fill="FFFFFF"/>
                  <w:noWrap w:val="0"/>
                  <w:vAlign w:val="center"/>
                </w:tcPr>
                <w:p w14:paraId="66F76285">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675FF7AD">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078" w:type="pct"/>
                  <w:shd w:val="clear" w:color="auto" w:fill="FFFFFF"/>
                  <w:noWrap w:val="0"/>
                  <w:vAlign w:val="center"/>
                </w:tcPr>
                <w:p w14:paraId="3301D38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湿物料混合</w:t>
                  </w:r>
                </w:p>
              </w:tc>
            </w:tr>
            <w:tr w14:paraId="5E5F1D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509B6A70">
                  <w:pPr>
                    <w:jc w:val="center"/>
                    <w:rPr>
                      <w:color w:val="auto"/>
                      <w:szCs w:val="21"/>
                      <w:highlight w:val="none"/>
                    </w:rPr>
                  </w:pPr>
                  <w:r>
                    <w:rPr>
                      <w:rFonts w:hint="eastAsia"/>
                      <w:color w:val="auto"/>
                      <w:szCs w:val="21"/>
                      <w:highlight w:val="none"/>
                    </w:rPr>
                    <w:t>3</w:t>
                  </w:r>
                </w:p>
              </w:tc>
              <w:tc>
                <w:tcPr>
                  <w:tcW w:w="1266" w:type="pct"/>
                  <w:shd w:val="clear" w:color="auto" w:fill="FFFFFF"/>
                  <w:noWrap w:val="0"/>
                  <w:vAlign w:val="center"/>
                </w:tcPr>
                <w:p w14:paraId="14552896">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热风循环烘箱</w:t>
                  </w:r>
                </w:p>
              </w:tc>
              <w:tc>
                <w:tcPr>
                  <w:tcW w:w="1104" w:type="pct"/>
                  <w:shd w:val="clear" w:color="auto" w:fill="FFFFFF"/>
                  <w:noWrap w:val="0"/>
                  <w:vAlign w:val="center"/>
                </w:tcPr>
                <w:p w14:paraId="0DCFC6C1">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CT-C-1</w:t>
                  </w:r>
                </w:p>
              </w:tc>
              <w:tc>
                <w:tcPr>
                  <w:tcW w:w="417" w:type="pct"/>
                  <w:shd w:val="clear" w:color="auto" w:fill="FFFFFF"/>
                  <w:noWrap w:val="0"/>
                  <w:vAlign w:val="center"/>
                </w:tcPr>
                <w:p w14:paraId="7315B289">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33437F70">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26CE6F5C">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湿物料表面处理</w:t>
                  </w:r>
                </w:p>
              </w:tc>
            </w:tr>
            <w:tr w14:paraId="21C907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030D2E06">
                  <w:pPr>
                    <w:jc w:val="center"/>
                    <w:rPr>
                      <w:color w:val="auto"/>
                      <w:szCs w:val="21"/>
                      <w:highlight w:val="none"/>
                    </w:rPr>
                  </w:pPr>
                  <w:r>
                    <w:rPr>
                      <w:rFonts w:hint="eastAsia"/>
                      <w:color w:val="auto"/>
                      <w:szCs w:val="21"/>
                      <w:highlight w:val="none"/>
                    </w:rPr>
                    <w:t>4</w:t>
                  </w:r>
                </w:p>
              </w:tc>
              <w:tc>
                <w:tcPr>
                  <w:tcW w:w="1266" w:type="pct"/>
                  <w:shd w:val="clear" w:color="auto" w:fill="FFFFFF"/>
                  <w:noWrap w:val="0"/>
                  <w:vAlign w:val="center"/>
                </w:tcPr>
                <w:p w14:paraId="16763E3A">
                  <w:pPr>
                    <w:widowControl/>
                    <w:spacing w:line="240" w:lineRule="auto"/>
                    <w:jc w:val="center"/>
                    <w:rPr>
                      <w:rFonts w:hint="default"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高速混合机</w:t>
                  </w:r>
                </w:p>
              </w:tc>
              <w:tc>
                <w:tcPr>
                  <w:tcW w:w="1104" w:type="pct"/>
                  <w:shd w:val="clear" w:color="auto" w:fill="FFFFFF"/>
                  <w:noWrap w:val="0"/>
                  <w:vAlign w:val="center"/>
                </w:tcPr>
                <w:p w14:paraId="1AFCA748">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ZGH-100</w:t>
                  </w:r>
                </w:p>
              </w:tc>
              <w:tc>
                <w:tcPr>
                  <w:tcW w:w="417" w:type="pct"/>
                  <w:shd w:val="clear" w:color="auto" w:fill="FFFFFF"/>
                  <w:noWrap w:val="0"/>
                  <w:vAlign w:val="center"/>
                </w:tcPr>
                <w:p w14:paraId="43888715">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6C2E16F1">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774AC878">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湿物料混合</w:t>
                  </w:r>
                </w:p>
              </w:tc>
            </w:tr>
            <w:tr w14:paraId="0E2A7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2E0FEC27">
                  <w:pPr>
                    <w:jc w:val="center"/>
                    <w:rPr>
                      <w:color w:val="auto"/>
                      <w:szCs w:val="21"/>
                      <w:highlight w:val="none"/>
                    </w:rPr>
                  </w:pPr>
                  <w:r>
                    <w:rPr>
                      <w:rFonts w:hint="eastAsia"/>
                      <w:color w:val="auto"/>
                      <w:szCs w:val="21"/>
                      <w:highlight w:val="none"/>
                    </w:rPr>
                    <w:t>5</w:t>
                  </w:r>
                </w:p>
              </w:tc>
              <w:tc>
                <w:tcPr>
                  <w:tcW w:w="1266" w:type="pct"/>
                  <w:shd w:val="clear" w:color="auto" w:fill="FFFFFF"/>
                  <w:noWrap w:val="0"/>
                  <w:vAlign w:val="center"/>
                </w:tcPr>
                <w:p w14:paraId="777ABE4B">
                  <w:pPr>
                    <w:widowControl/>
                    <w:spacing w:line="240" w:lineRule="auto"/>
                    <w:jc w:val="center"/>
                    <w:rPr>
                      <w:rFonts w:hint="default"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球磨机</w:t>
                  </w:r>
                </w:p>
              </w:tc>
              <w:tc>
                <w:tcPr>
                  <w:tcW w:w="1104" w:type="pct"/>
                  <w:shd w:val="clear" w:color="auto" w:fill="FFFFFF"/>
                  <w:noWrap w:val="0"/>
                  <w:vAlign w:val="center"/>
                </w:tcPr>
                <w:p w14:paraId="5ECA7405">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定制</w:t>
                  </w:r>
                </w:p>
              </w:tc>
              <w:tc>
                <w:tcPr>
                  <w:tcW w:w="417" w:type="pct"/>
                  <w:shd w:val="clear" w:color="auto" w:fill="FFFFFF"/>
                  <w:noWrap w:val="0"/>
                  <w:vAlign w:val="center"/>
                </w:tcPr>
                <w:p w14:paraId="340A5781">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1EDAC00E">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1E7A0827">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湿物料充分混合</w:t>
                  </w:r>
                </w:p>
              </w:tc>
            </w:tr>
            <w:tr w14:paraId="55F85B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386F9E94">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266" w:type="pct"/>
                  <w:shd w:val="clear" w:color="auto" w:fill="FFFFFF"/>
                  <w:noWrap w:val="0"/>
                  <w:vAlign w:val="center"/>
                </w:tcPr>
                <w:p w14:paraId="18E0E190">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电阻炉</w:t>
                  </w:r>
                </w:p>
              </w:tc>
              <w:tc>
                <w:tcPr>
                  <w:tcW w:w="1104" w:type="pct"/>
                  <w:shd w:val="clear" w:color="auto" w:fill="FFFFFF"/>
                  <w:noWrap w:val="0"/>
                  <w:vAlign w:val="center"/>
                </w:tcPr>
                <w:p w14:paraId="1B8A4901">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RF-40-17</w:t>
                  </w:r>
                </w:p>
              </w:tc>
              <w:tc>
                <w:tcPr>
                  <w:tcW w:w="417" w:type="pct"/>
                  <w:shd w:val="clear" w:color="auto" w:fill="FFFFFF"/>
                  <w:noWrap w:val="0"/>
                  <w:vAlign w:val="center"/>
                </w:tcPr>
                <w:p w14:paraId="0454515A">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69A435DD">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1172E9C1">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681541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2943D3E4">
                  <w:pPr>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1266" w:type="pct"/>
                  <w:shd w:val="clear" w:color="auto" w:fill="FFFFFF"/>
                  <w:noWrap w:val="0"/>
                  <w:vAlign w:val="center"/>
                </w:tcPr>
                <w:p w14:paraId="7B62524D">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电阻炉</w:t>
                  </w:r>
                </w:p>
              </w:tc>
              <w:tc>
                <w:tcPr>
                  <w:tcW w:w="1104" w:type="pct"/>
                  <w:shd w:val="clear" w:color="auto" w:fill="FFFFFF"/>
                  <w:noWrap w:val="0"/>
                  <w:vAlign w:val="center"/>
                </w:tcPr>
                <w:p w14:paraId="3174C8B3">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RF-60-14</w:t>
                  </w:r>
                </w:p>
              </w:tc>
              <w:tc>
                <w:tcPr>
                  <w:tcW w:w="417" w:type="pct"/>
                  <w:shd w:val="clear" w:color="auto" w:fill="FFFFFF"/>
                  <w:noWrap w:val="0"/>
                  <w:vAlign w:val="center"/>
                </w:tcPr>
                <w:p w14:paraId="3105415F">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6442C8B8">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645E44FE">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1FE30F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67DE48A5">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1266" w:type="pct"/>
                  <w:shd w:val="clear" w:color="auto" w:fill="FFFFFF"/>
                  <w:noWrap w:val="0"/>
                  <w:vAlign w:val="center"/>
                </w:tcPr>
                <w:p w14:paraId="0C9165BB">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电阻炉</w:t>
                  </w:r>
                </w:p>
              </w:tc>
              <w:tc>
                <w:tcPr>
                  <w:tcW w:w="1104" w:type="pct"/>
                  <w:shd w:val="clear" w:color="auto" w:fill="FFFFFF"/>
                  <w:noWrap w:val="0"/>
                  <w:vAlign w:val="center"/>
                </w:tcPr>
                <w:p w14:paraId="3C8C212D">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RF-40-12</w:t>
                  </w:r>
                </w:p>
              </w:tc>
              <w:tc>
                <w:tcPr>
                  <w:tcW w:w="417" w:type="pct"/>
                  <w:shd w:val="clear" w:color="auto" w:fill="FFFFFF"/>
                  <w:noWrap w:val="0"/>
                  <w:vAlign w:val="center"/>
                </w:tcPr>
                <w:p w14:paraId="18F9406C">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22A936E7">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110923E7">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12177A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08E613D5">
                  <w:pPr>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1266" w:type="pct"/>
                  <w:shd w:val="clear" w:color="auto" w:fill="FFFFFF"/>
                  <w:noWrap w:val="0"/>
                  <w:vAlign w:val="center"/>
                </w:tcPr>
                <w:p w14:paraId="0F0CEB5C">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井式加热炉</w:t>
                  </w:r>
                </w:p>
              </w:tc>
              <w:tc>
                <w:tcPr>
                  <w:tcW w:w="1104" w:type="pct"/>
                  <w:shd w:val="clear" w:color="auto" w:fill="FFFFFF"/>
                  <w:noWrap w:val="0"/>
                  <w:vAlign w:val="center"/>
                </w:tcPr>
                <w:p w14:paraId="75936596">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RQ3-70-10</w:t>
                  </w:r>
                </w:p>
              </w:tc>
              <w:tc>
                <w:tcPr>
                  <w:tcW w:w="417" w:type="pct"/>
                  <w:shd w:val="clear" w:color="auto" w:fill="FFFFFF"/>
                  <w:noWrap w:val="0"/>
                  <w:vAlign w:val="center"/>
                </w:tcPr>
                <w:p w14:paraId="29BF9BE2">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2138E405">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078" w:type="pct"/>
                  <w:shd w:val="clear" w:color="auto" w:fill="FFFFFF"/>
                  <w:noWrap w:val="0"/>
                  <w:vAlign w:val="center"/>
                </w:tcPr>
                <w:p w14:paraId="45094544">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11C971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4EFA5992">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1266" w:type="pct"/>
                  <w:shd w:val="clear" w:color="auto" w:fill="FFFFFF"/>
                  <w:noWrap w:val="0"/>
                  <w:vAlign w:val="center"/>
                </w:tcPr>
                <w:p w14:paraId="559DBC32">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井式加热炉</w:t>
                  </w:r>
                </w:p>
              </w:tc>
              <w:tc>
                <w:tcPr>
                  <w:tcW w:w="1104" w:type="pct"/>
                  <w:shd w:val="clear" w:color="auto" w:fill="FFFFFF"/>
                  <w:noWrap w:val="0"/>
                  <w:vAlign w:val="center"/>
                </w:tcPr>
                <w:p w14:paraId="347A9D37">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RJ2-30-10</w:t>
                  </w:r>
                </w:p>
              </w:tc>
              <w:tc>
                <w:tcPr>
                  <w:tcW w:w="417" w:type="pct"/>
                  <w:shd w:val="clear" w:color="auto" w:fill="FFFFFF"/>
                  <w:noWrap w:val="0"/>
                  <w:vAlign w:val="center"/>
                </w:tcPr>
                <w:p w14:paraId="4CAEBB1C">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615B88C4">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c>
                <w:tcPr>
                  <w:tcW w:w="1078" w:type="pct"/>
                  <w:shd w:val="clear" w:color="auto" w:fill="FFFFFF"/>
                  <w:noWrap w:val="0"/>
                  <w:vAlign w:val="center"/>
                </w:tcPr>
                <w:p w14:paraId="37478493">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64BCE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035C93BD">
                  <w:pPr>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1266" w:type="pct"/>
                  <w:shd w:val="clear" w:color="auto" w:fill="FFFFFF"/>
                  <w:noWrap w:val="0"/>
                  <w:vAlign w:val="center"/>
                </w:tcPr>
                <w:p w14:paraId="6515AC09">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储气罐</w:t>
                  </w:r>
                </w:p>
              </w:tc>
              <w:tc>
                <w:tcPr>
                  <w:tcW w:w="1104" w:type="pct"/>
                  <w:shd w:val="clear" w:color="auto" w:fill="FFFFFF"/>
                  <w:noWrap w:val="0"/>
                  <w:vAlign w:val="center"/>
                </w:tcPr>
                <w:p w14:paraId="5B3483A5">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定制</w:t>
                  </w:r>
                  <w:r>
                    <w:rPr>
                      <w:rFonts w:hint="eastAsia"/>
                      <w:color w:val="auto"/>
                      <w:highlight w:val="none"/>
                      <w:lang w:eastAsia="zh-CN"/>
                    </w:rPr>
                    <w:t>，</w:t>
                  </w:r>
                  <w:r>
                    <w:rPr>
                      <w:rFonts w:hint="eastAsia"/>
                      <w:color w:val="auto"/>
                      <w:highlight w:val="none"/>
                      <w:lang w:val="en-US" w:eastAsia="zh-CN"/>
                    </w:rPr>
                    <w:t>15m</w:t>
                  </w:r>
                  <w:r>
                    <w:rPr>
                      <w:rFonts w:hint="eastAsia"/>
                      <w:color w:val="auto"/>
                      <w:highlight w:val="none"/>
                      <w:vertAlign w:val="superscript"/>
                      <w:lang w:val="en-US" w:eastAsia="zh-CN"/>
                    </w:rPr>
                    <w:t>3</w:t>
                  </w:r>
                </w:p>
              </w:tc>
              <w:tc>
                <w:tcPr>
                  <w:tcW w:w="417" w:type="pct"/>
                  <w:shd w:val="clear" w:color="auto" w:fill="FFFFFF"/>
                  <w:noWrap w:val="0"/>
                  <w:vAlign w:val="center"/>
                </w:tcPr>
                <w:p w14:paraId="240024C1">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70E37366">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078" w:type="pct"/>
                  <w:shd w:val="clear" w:color="auto" w:fill="FFFFFF"/>
                  <w:noWrap w:val="0"/>
                  <w:vAlign w:val="center"/>
                </w:tcPr>
                <w:p w14:paraId="6B60F960">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储存压缩空气</w:t>
                  </w:r>
                </w:p>
              </w:tc>
            </w:tr>
            <w:tr w14:paraId="5D1381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6DC548ED">
                  <w:pPr>
                    <w:jc w:val="center"/>
                    <w:rPr>
                      <w:rFonts w:hint="default"/>
                      <w:color w:val="auto"/>
                      <w:szCs w:val="21"/>
                      <w:highlight w:val="none"/>
                      <w:lang w:val="en-US" w:eastAsia="zh-CN"/>
                    </w:rPr>
                  </w:pPr>
                  <w:r>
                    <w:rPr>
                      <w:rFonts w:hint="eastAsia"/>
                      <w:color w:val="auto"/>
                      <w:szCs w:val="21"/>
                      <w:highlight w:val="none"/>
                      <w:lang w:val="en-US" w:eastAsia="zh-CN"/>
                    </w:rPr>
                    <w:t>12</w:t>
                  </w:r>
                </w:p>
              </w:tc>
              <w:tc>
                <w:tcPr>
                  <w:tcW w:w="1266" w:type="pct"/>
                  <w:shd w:val="clear" w:color="auto" w:fill="FFFFFF"/>
                  <w:noWrap w:val="0"/>
                  <w:vAlign w:val="center"/>
                </w:tcPr>
                <w:p w14:paraId="40D8BCCC">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空压机</w:t>
                  </w:r>
                </w:p>
              </w:tc>
              <w:tc>
                <w:tcPr>
                  <w:tcW w:w="1104" w:type="pct"/>
                  <w:shd w:val="clear" w:color="auto" w:fill="FFFFFF"/>
                  <w:noWrap w:val="0"/>
                  <w:vAlign w:val="center"/>
                </w:tcPr>
                <w:p w14:paraId="40C81639">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DAH-55</w:t>
                  </w:r>
                </w:p>
              </w:tc>
              <w:tc>
                <w:tcPr>
                  <w:tcW w:w="417" w:type="pct"/>
                  <w:shd w:val="clear" w:color="auto" w:fill="FFFFFF"/>
                  <w:noWrap w:val="0"/>
                  <w:vAlign w:val="center"/>
                </w:tcPr>
                <w:p w14:paraId="270AC1EC">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0D10474C">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723B45B5">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提供动力</w:t>
                  </w:r>
                </w:p>
              </w:tc>
            </w:tr>
            <w:tr w14:paraId="4FC2AE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37DC2C1D">
                  <w:pPr>
                    <w:jc w:val="center"/>
                    <w:rPr>
                      <w:rFonts w:hint="default"/>
                      <w:color w:val="auto"/>
                      <w:szCs w:val="21"/>
                      <w:highlight w:val="none"/>
                      <w:lang w:val="en-US" w:eastAsia="zh-CN"/>
                    </w:rPr>
                  </w:pPr>
                  <w:r>
                    <w:rPr>
                      <w:rFonts w:hint="eastAsia"/>
                      <w:color w:val="auto"/>
                      <w:szCs w:val="21"/>
                      <w:highlight w:val="none"/>
                      <w:lang w:val="en-US" w:eastAsia="zh-CN"/>
                    </w:rPr>
                    <w:t>13</w:t>
                  </w:r>
                </w:p>
              </w:tc>
              <w:tc>
                <w:tcPr>
                  <w:tcW w:w="1266" w:type="pct"/>
                  <w:shd w:val="clear" w:color="auto" w:fill="FFFFFF"/>
                  <w:noWrap w:val="0"/>
                  <w:vAlign w:val="center"/>
                </w:tcPr>
                <w:p w14:paraId="55580514">
                  <w:pPr>
                    <w:widowControl/>
                    <w:spacing w:line="240" w:lineRule="auto"/>
                    <w:jc w:val="center"/>
                    <w:rPr>
                      <w:rFonts w:hint="eastAsia"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lang w:val="en-US" w:eastAsia="zh-CN"/>
                    </w:rPr>
                    <w:t>空压机</w:t>
                  </w:r>
                </w:p>
              </w:tc>
              <w:tc>
                <w:tcPr>
                  <w:tcW w:w="1104" w:type="pct"/>
                  <w:shd w:val="clear" w:color="auto" w:fill="FFFFFF"/>
                  <w:noWrap w:val="0"/>
                  <w:vAlign w:val="center"/>
                </w:tcPr>
                <w:p w14:paraId="5EFF7DA6">
                  <w:pPr>
                    <w:widowControl/>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DAH-90</w:t>
                  </w:r>
                </w:p>
              </w:tc>
              <w:tc>
                <w:tcPr>
                  <w:tcW w:w="417" w:type="pct"/>
                  <w:shd w:val="clear" w:color="auto" w:fill="FFFFFF"/>
                  <w:noWrap w:val="0"/>
                  <w:vAlign w:val="center"/>
                </w:tcPr>
                <w:p w14:paraId="35E53F92">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4E456F8C">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405571A8">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提供动力</w:t>
                  </w:r>
                </w:p>
              </w:tc>
            </w:tr>
            <w:tr w14:paraId="475FC7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5BBF0F2E">
                  <w:pPr>
                    <w:jc w:val="center"/>
                    <w:rPr>
                      <w:rFonts w:hint="default"/>
                      <w:color w:val="auto"/>
                      <w:szCs w:val="21"/>
                      <w:highlight w:val="none"/>
                      <w:lang w:val="en-US" w:eastAsia="zh-CN"/>
                    </w:rPr>
                  </w:pPr>
                  <w:r>
                    <w:rPr>
                      <w:rFonts w:hint="eastAsia"/>
                      <w:color w:val="auto"/>
                      <w:szCs w:val="21"/>
                      <w:highlight w:val="none"/>
                      <w:lang w:val="en-US" w:eastAsia="zh-CN"/>
                    </w:rPr>
                    <w:t>14</w:t>
                  </w:r>
                </w:p>
              </w:tc>
              <w:tc>
                <w:tcPr>
                  <w:tcW w:w="1266" w:type="pct"/>
                  <w:shd w:val="clear" w:color="auto" w:fill="FFFFFF"/>
                  <w:noWrap w:val="0"/>
                  <w:vAlign w:val="center"/>
                </w:tcPr>
                <w:p w14:paraId="35822A0B">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反应罐</w:t>
                  </w:r>
                </w:p>
              </w:tc>
              <w:tc>
                <w:tcPr>
                  <w:tcW w:w="1104" w:type="pct"/>
                  <w:shd w:val="clear" w:color="auto" w:fill="FFFFFF"/>
                  <w:noWrap w:val="0"/>
                  <w:vAlign w:val="center"/>
                </w:tcPr>
                <w:p w14:paraId="55007AC0">
                  <w:pPr>
                    <w:widowControl/>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定制</w:t>
                  </w:r>
                </w:p>
              </w:tc>
              <w:tc>
                <w:tcPr>
                  <w:tcW w:w="417" w:type="pct"/>
                  <w:shd w:val="clear" w:color="auto" w:fill="FFFFFF"/>
                  <w:noWrap w:val="0"/>
                  <w:vAlign w:val="center"/>
                </w:tcPr>
                <w:p w14:paraId="536CCA5C">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4BEDDFFD">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078" w:type="pct"/>
                  <w:shd w:val="clear" w:color="auto" w:fill="FFFFFF"/>
                  <w:noWrap w:val="0"/>
                  <w:vAlign w:val="center"/>
                </w:tcPr>
                <w:p w14:paraId="63C9F931">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物料反应复合</w:t>
                  </w:r>
                </w:p>
              </w:tc>
            </w:tr>
            <w:tr w14:paraId="19EC0C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5B350CD2">
                  <w:pPr>
                    <w:jc w:val="center"/>
                    <w:rPr>
                      <w:rFonts w:hint="default"/>
                      <w:color w:val="auto"/>
                      <w:szCs w:val="21"/>
                      <w:highlight w:val="none"/>
                      <w:lang w:val="en-US" w:eastAsia="zh-CN"/>
                    </w:rPr>
                  </w:pPr>
                  <w:r>
                    <w:rPr>
                      <w:rFonts w:hint="eastAsia"/>
                      <w:color w:val="auto"/>
                      <w:szCs w:val="21"/>
                      <w:highlight w:val="none"/>
                      <w:lang w:val="en-US" w:eastAsia="zh-CN"/>
                    </w:rPr>
                    <w:t>15</w:t>
                  </w:r>
                </w:p>
              </w:tc>
              <w:tc>
                <w:tcPr>
                  <w:tcW w:w="1266" w:type="pct"/>
                  <w:shd w:val="clear" w:color="auto" w:fill="FFFFFF"/>
                  <w:noWrap w:val="0"/>
                  <w:vAlign w:val="center"/>
                </w:tcPr>
                <w:p w14:paraId="53E4F0BD">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箱式电阻炉</w:t>
                  </w:r>
                </w:p>
              </w:tc>
              <w:tc>
                <w:tcPr>
                  <w:tcW w:w="1104" w:type="pct"/>
                  <w:shd w:val="clear" w:color="auto" w:fill="FFFFFF"/>
                  <w:noWrap w:val="0"/>
                  <w:vAlign w:val="center"/>
                </w:tcPr>
                <w:p w14:paraId="3F10778A">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SX2-10-12</w:t>
                  </w:r>
                </w:p>
              </w:tc>
              <w:tc>
                <w:tcPr>
                  <w:tcW w:w="417" w:type="pct"/>
                  <w:shd w:val="clear" w:color="auto" w:fill="FFFFFF"/>
                  <w:noWrap w:val="0"/>
                  <w:vAlign w:val="center"/>
                </w:tcPr>
                <w:p w14:paraId="6020EA27">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2C9BD292">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078" w:type="pct"/>
                  <w:shd w:val="clear" w:color="auto" w:fill="FFFFFF"/>
                  <w:noWrap w:val="0"/>
                  <w:vAlign w:val="center"/>
                </w:tcPr>
                <w:p w14:paraId="20768D54">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加热</w:t>
                  </w:r>
                </w:p>
              </w:tc>
            </w:tr>
            <w:tr w14:paraId="5C6569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1D03D034">
                  <w:pPr>
                    <w:jc w:val="center"/>
                    <w:rPr>
                      <w:rFonts w:hint="default"/>
                      <w:color w:val="auto"/>
                      <w:szCs w:val="21"/>
                      <w:highlight w:val="none"/>
                      <w:lang w:val="en-US" w:eastAsia="zh-CN"/>
                    </w:rPr>
                  </w:pPr>
                  <w:r>
                    <w:rPr>
                      <w:rFonts w:hint="eastAsia"/>
                      <w:color w:val="auto"/>
                      <w:szCs w:val="21"/>
                      <w:highlight w:val="none"/>
                      <w:lang w:val="en-US" w:eastAsia="zh-CN"/>
                    </w:rPr>
                    <w:t>16</w:t>
                  </w:r>
                </w:p>
              </w:tc>
              <w:tc>
                <w:tcPr>
                  <w:tcW w:w="1266" w:type="pct"/>
                  <w:shd w:val="clear" w:color="auto" w:fill="FFFFFF"/>
                  <w:noWrap w:val="0"/>
                  <w:vAlign w:val="center"/>
                </w:tcPr>
                <w:p w14:paraId="681BD63F">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液压机</w:t>
                  </w:r>
                </w:p>
              </w:tc>
              <w:tc>
                <w:tcPr>
                  <w:tcW w:w="1104" w:type="pct"/>
                  <w:shd w:val="clear" w:color="auto" w:fill="FFFFFF"/>
                  <w:noWrap w:val="0"/>
                  <w:vAlign w:val="center"/>
                </w:tcPr>
                <w:p w14:paraId="19CE3B52">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WH100</w:t>
                  </w:r>
                </w:p>
              </w:tc>
              <w:tc>
                <w:tcPr>
                  <w:tcW w:w="417" w:type="pct"/>
                  <w:shd w:val="clear" w:color="auto" w:fill="FFFFFF"/>
                  <w:noWrap w:val="0"/>
                  <w:vAlign w:val="center"/>
                </w:tcPr>
                <w:p w14:paraId="12464F88">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台</w:t>
                  </w:r>
                </w:p>
              </w:tc>
              <w:tc>
                <w:tcPr>
                  <w:tcW w:w="705" w:type="pct"/>
                  <w:shd w:val="clear" w:color="auto" w:fill="FFFFFF"/>
                  <w:noWrap w:val="0"/>
                  <w:vAlign w:val="center"/>
                </w:tcPr>
                <w:p w14:paraId="3B7A13F1">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078" w:type="pct"/>
                  <w:shd w:val="clear" w:color="auto" w:fill="FFFFFF"/>
                  <w:noWrap w:val="0"/>
                  <w:vAlign w:val="center"/>
                </w:tcPr>
                <w:p w14:paraId="60F8E0C0">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湿物料压制</w:t>
                  </w:r>
                </w:p>
              </w:tc>
            </w:tr>
            <w:tr w14:paraId="2F8325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shd w:val="clear" w:color="auto" w:fill="auto"/>
                  <w:noWrap w:val="0"/>
                  <w:vAlign w:val="center"/>
                </w:tcPr>
                <w:p w14:paraId="455926F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17</w:t>
                  </w:r>
                </w:p>
              </w:tc>
              <w:tc>
                <w:tcPr>
                  <w:tcW w:w="1266" w:type="pct"/>
                  <w:shd w:val="clear" w:color="auto" w:fill="FFFFFF"/>
                  <w:noWrap w:val="0"/>
                  <w:vAlign w:val="center"/>
                </w:tcPr>
                <w:p w14:paraId="7380EE00">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烘箱</w:t>
                  </w:r>
                </w:p>
              </w:tc>
              <w:tc>
                <w:tcPr>
                  <w:tcW w:w="1104" w:type="pct"/>
                  <w:shd w:val="clear" w:color="auto" w:fill="FFFFFF"/>
                  <w:noWrap w:val="0"/>
                  <w:vAlign w:val="center"/>
                </w:tcPr>
                <w:p w14:paraId="0FCD3ACF">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定制</w:t>
                  </w:r>
                </w:p>
              </w:tc>
              <w:tc>
                <w:tcPr>
                  <w:tcW w:w="417" w:type="pct"/>
                  <w:shd w:val="clear" w:color="auto" w:fill="FFFFFF"/>
                  <w:noWrap w:val="0"/>
                  <w:vAlign w:val="center"/>
                </w:tcPr>
                <w:p w14:paraId="295DE5A9">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台</w:t>
                  </w:r>
                </w:p>
              </w:tc>
              <w:tc>
                <w:tcPr>
                  <w:tcW w:w="705" w:type="pct"/>
                  <w:shd w:val="clear" w:color="auto" w:fill="FFFFFF"/>
                  <w:noWrap w:val="0"/>
                  <w:vAlign w:val="center"/>
                </w:tcPr>
                <w:p w14:paraId="0485AEE0">
                  <w:pPr>
                    <w:widowControl/>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78" w:type="pct"/>
                  <w:shd w:val="clear" w:color="auto" w:fill="FFFFFF"/>
                  <w:noWrap w:val="0"/>
                  <w:vAlign w:val="center"/>
                </w:tcPr>
                <w:p w14:paraId="43B29AAB">
                  <w:pPr>
                    <w:autoSpaceDN w:val="0"/>
                    <w:spacing w:line="240" w:lineRule="auto"/>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湿物料烘干</w:t>
                  </w:r>
                </w:p>
              </w:tc>
            </w:tr>
            <w:tr w14:paraId="0117B5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shd w:val="clear" w:color="auto" w:fill="auto"/>
                  <w:noWrap w:val="0"/>
                  <w:vAlign w:val="center"/>
                </w:tcPr>
                <w:p w14:paraId="3BA38741">
                  <w:pPr>
                    <w:jc w:val="center"/>
                    <w:rPr>
                      <w:rFonts w:hint="default"/>
                      <w:color w:val="auto"/>
                      <w:szCs w:val="21"/>
                      <w:highlight w:val="none"/>
                      <w:lang w:val="en-US" w:eastAsia="zh-CN"/>
                    </w:rPr>
                  </w:pPr>
                  <w:r>
                    <w:rPr>
                      <w:rFonts w:hint="eastAsia"/>
                      <w:color w:val="auto"/>
                      <w:szCs w:val="21"/>
                      <w:highlight w:val="none"/>
                      <w:lang w:val="en-US" w:eastAsia="zh-CN"/>
                    </w:rPr>
                    <w:t>18</w:t>
                  </w:r>
                </w:p>
              </w:tc>
              <w:tc>
                <w:tcPr>
                  <w:tcW w:w="1266" w:type="pct"/>
                  <w:shd w:val="clear" w:color="auto" w:fill="FFFFFF"/>
                  <w:noWrap w:val="0"/>
                  <w:vAlign w:val="center"/>
                </w:tcPr>
                <w:p w14:paraId="16AA96F2">
                  <w:pPr>
                    <w:widowControl/>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上料粉尘处理装置</w:t>
                  </w:r>
                </w:p>
              </w:tc>
              <w:tc>
                <w:tcPr>
                  <w:tcW w:w="1104" w:type="pct"/>
                  <w:shd w:val="clear" w:color="auto" w:fill="FFFFFF"/>
                  <w:noWrap w:val="0"/>
                  <w:vAlign w:val="center"/>
                </w:tcPr>
                <w:p w14:paraId="624839AF">
                  <w:pPr>
                    <w:widowControl/>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脉冲净化器/MC-2</w:t>
                  </w:r>
                </w:p>
              </w:tc>
              <w:tc>
                <w:tcPr>
                  <w:tcW w:w="417" w:type="pct"/>
                  <w:shd w:val="clear" w:color="auto" w:fill="FFFFFF"/>
                  <w:noWrap w:val="0"/>
                  <w:vAlign w:val="center"/>
                </w:tcPr>
                <w:p w14:paraId="6983AA3D">
                  <w:pPr>
                    <w:autoSpaceDN w:val="0"/>
                    <w:spacing w:line="240" w:lineRule="auto"/>
                    <w:jc w:val="center"/>
                    <w:textAlignment w:val="bottom"/>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台</w:t>
                  </w:r>
                </w:p>
              </w:tc>
              <w:tc>
                <w:tcPr>
                  <w:tcW w:w="705" w:type="pct"/>
                  <w:shd w:val="clear" w:color="auto" w:fill="FFFFFF"/>
                  <w:noWrap w:val="0"/>
                  <w:vAlign w:val="center"/>
                </w:tcPr>
                <w:p w14:paraId="5C524590">
                  <w:pPr>
                    <w:widowControl/>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78" w:type="pct"/>
                  <w:shd w:val="clear" w:color="auto" w:fill="FFFFFF"/>
                  <w:noWrap w:val="0"/>
                  <w:vAlign w:val="center"/>
                </w:tcPr>
                <w:p w14:paraId="72E0B80E">
                  <w:pPr>
                    <w:autoSpaceDN w:val="0"/>
                    <w:spacing w:line="240" w:lineRule="auto"/>
                    <w:jc w:val="center"/>
                    <w:textAlignment w:val="bottom"/>
                    <w:rPr>
                      <w:rFonts w:hint="default"/>
                      <w:color w:val="auto"/>
                      <w:szCs w:val="21"/>
                      <w:highlight w:val="none"/>
                      <w:lang w:val="en-US" w:eastAsia="zh-CN"/>
                    </w:rPr>
                  </w:pPr>
                  <w:r>
                    <w:rPr>
                      <w:rFonts w:hint="eastAsia"/>
                      <w:color w:val="auto"/>
                      <w:szCs w:val="21"/>
                      <w:highlight w:val="none"/>
                      <w:lang w:val="en-US" w:eastAsia="zh-CN"/>
                    </w:rPr>
                    <w:t>/</w:t>
                  </w:r>
                </w:p>
              </w:tc>
            </w:tr>
            <w:tr w14:paraId="41BA58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8" w:type="pct"/>
                  <w:noWrap w:val="0"/>
                  <w:vAlign w:val="center"/>
                </w:tcPr>
                <w:p w14:paraId="5C6D2A12">
                  <w:pPr>
                    <w:jc w:val="center"/>
                    <w:rPr>
                      <w:rFonts w:hint="default" w:eastAsia="宋体"/>
                      <w:color w:val="auto"/>
                      <w:szCs w:val="21"/>
                      <w:highlight w:val="none"/>
                      <w:lang w:val="en-US" w:eastAsia="zh-CN"/>
                    </w:rPr>
                  </w:pPr>
                  <w:r>
                    <w:rPr>
                      <w:rFonts w:hint="eastAsia"/>
                      <w:color w:val="auto"/>
                      <w:szCs w:val="21"/>
                      <w:highlight w:val="none"/>
                      <w:lang w:val="en-US" w:eastAsia="zh-CN"/>
                    </w:rPr>
                    <w:t>19</w:t>
                  </w:r>
                </w:p>
              </w:tc>
              <w:tc>
                <w:tcPr>
                  <w:tcW w:w="1266" w:type="pct"/>
                  <w:shd w:val="clear" w:color="auto" w:fill="FFFFFF"/>
                  <w:noWrap w:val="0"/>
                  <w:vAlign w:val="center"/>
                </w:tcPr>
                <w:p w14:paraId="30B999AF">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有机废气处理装置</w:t>
                  </w:r>
                </w:p>
              </w:tc>
              <w:tc>
                <w:tcPr>
                  <w:tcW w:w="1104" w:type="pct"/>
                  <w:shd w:val="clear" w:color="auto" w:fill="FFFFFF"/>
                  <w:noWrap w:val="0"/>
                  <w:vAlign w:val="center"/>
                </w:tcPr>
                <w:p w14:paraId="4EBC4E14">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10个集气罩+二级</w:t>
                  </w:r>
                  <w:r>
                    <w:rPr>
                      <w:rFonts w:hint="eastAsia" w:cs="Times New Roman"/>
                      <w:color w:val="auto"/>
                      <w:kern w:val="2"/>
                      <w:sz w:val="21"/>
                      <w:szCs w:val="21"/>
                      <w:highlight w:val="none"/>
                      <w:lang w:val="en-US" w:eastAsia="zh-CN" w:bidi="ar-SA"/>
                    </w:rPr>
                    <w:t>活性炭装置+</w:t>
                  </w:r>
                  <w:r>
                    <w:rPr>
                      <w:rFonts w:hint="eastAsia" w:cs="Times New Roman"/>
                      <w:color w:val="auto"/>
                      <w:kern w:val="2"/>
                      <w:sz w:val="21"/>
                      <w:szCs w:val="21"/>
                      <w:highlight w:val="none"/>
                      <w:lang w:val="en-US" w:eastAsia="zh-CN" w:bidi="ar-SA"/>
                    </w:rPr>
                    <w:t>1根</w:t>
                  </w:r>
                  <w:r>
                    <w:rPr>
                      <w:rFonts w:hint="eastAsia" w:cs="Times New Roman"/>
                      <w:color w:val="auto"/>
                      <w:kern w:val="2"/>
                      <w:sz w:val="21"/>
                      <w:szCs w:val="21"/>
                      <w:highlight w:val="none"/>
                      <w:lang w:val="en-US" w:eastAsia="zh-CN" w:bidi="ar-SA"/>
                    </w:rPr>
                    <w:t>18.5m排气筒</w:t>
                  </w:r>
                </w:p>
              </w:tc>
              <w:tc>
                <w:tcPr>
                  <w:tcW w:w="417" w:type="pct"/>
                  <w:shd w:val="clear" w:color="auto" w:fill="FFFFFF"/>
                  <w:noWrap w:val="0"/>
                  <w:vAlign w:val="center"/>
                </w:tcPr>
                <w:p w14:paraId="3243275A">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套</w:t>
                  </w:r>
                </w:p>
              </w:tc>
              <w:tc>
                <w:tcPr>
                  <w:tcW w:w="705" w:type="pct"/>
                  <w:shd w:val="clear" w:color="auto" w:fill="FFFFFF"/>
                  <w:noWrap w:val="0"/>
                  <w:vAlign w:val="center"/>
                </w:tcPr>
                <w:p w14:paraId="5800ACE2">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78" w:type="pct"/>
                  <w:shd w:val="clear" w:color="auto" w:fill="FFFFFF"/>
                  <w:noWrap w:val="0"/>
                  <w:vAlign w:val="center"/>
                </w:tcPr>
                <w:p w14:paraId="69B9FCA0">
                  <w:pPr>
                    <w:autoSpaceDN w:val="0"/>
                    <w:spacing w:line="240" w:lineRule="auto"/>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14:paraId="103F79D1">
            <w:pPr>
              <w:pStyle w:val="7"/>
              <w:spacing w:before="120" w:beforeLines="50"/>
              <w:ind w:firstLine="482"/>
              <w:rPr>
                <w:b/>
                <w:bCs/>
                <w:color w:val="auto"/>
                <w:highlight w:val="none"/>
              </w:rPr>
            </w:pPr>
            <w:r>
              <w:rPr>
                <w:b/>
                <w:bCs/>
                <w:color w:val="auto"/>
                <w:highlight w:val="none"/>
              </w:rPr>
              <w:t>6、公用工程</w:t>
            </w:r>
          </w:p>
          <w:p w14:paraId="09F22D70">
            <w:pPr>
              <w:pStyle w:val="7"/>
              <w:ind w:firstLine="480"/>
              <w:rPr>
                <w:rFonts w:hint="eastAsia"/>
                <w:color w:val="auto"/>
                <w:highlight w:val="none"/>
              </w:rPr>
            </w:pPr>
            <w:r>
              <w:rPr>
                <w:color w:val="auto"/>
                <w:highlight w:val="none"/>
              </w:rPr>
              <w:t>（1）</w:t>
            </w:r>
            <w:r>
              <w:rPr>
                <w:rFonts w:hint="eastAsia"/>
                <w:color w:val="auto"/>
                <w:highlight w:val="none"/>
              </w:rPr>
              <w:t>给、排水</w:t>
            </w:r>
          </w:p>
          <w:p w14:paraId="28646797">
            <w:pPr>
              <w:pStyle w:val="7"/>
              <w:ind w:firstLine="480"/>
              <w:rPr>
                <w:rFonts w:hint="eastAsia"/>
                <w:bCs/>
                <w:color w:val="auto"/>
                <w:highlight w:val="none"/>
              </w:rPr>
            </w:pPr>
            <w:r>
              <w:rPr>
                <w:color w:val="auto"/>
                <w:sz w:val="24"/>
                <w:highlight w:val="none"/>
              </w:rPr>
              <w:t>本项目劳动定员为</w:t>
            </w:r>
            <w:r>
              <w:rPr>
                <w:rFonts w:hint="eastAsia"/>
                <w:color w:val="auto"/>
                <w:sz w:val="24"/>
                <w:highlight w:val="none"/>
                <w:lang w:val="en-US" w:eastAsia="zh-CN"/>
              </w:rPr>
              <w:t>5</w:t>
            </w:r>
            <w:r>
              <w:rPr>
                <w:color w:val="auto"/>
                <w:sz w:val="24"/>
                <w:highlight w:val="none"/>
              </w:rPr>
              <w:t>人</w:t>
            </w:r>
            <w:r>
              <w:rPr>
                <w:rFonts w:hint="eastAsia"/>
                <w:bCs/>
                <w:color w:val="auto"/>
                <w:highlight w:val="none"/>
              </w:rPr>
              <w:t>，厂区不提供食宿，项目用水主要为员工生活用水</w:t>
            </w:r>
            <w:r>
              <w:rPr>
                <w:rFonts w:hint="eastAsia"/>
                <w:bCs/>
                <w:color w:val="auto"/>
                <w:highlight w:val="none"/>
                <w:lang w:eastAsia="zh-CN"/>
              </w:rPr>
              <w:t>，</w:t>
            </w:r>
            <w:r>
              <w:rPr>
                <w:rFonts w:hint="eastAsia"/>
                <w:bCs/>
                <w:color w:val="auto"/>
                <w:highlight w:val="none"/>
                <w:lang w:val="en-US" w:eastAsia="zh-CN"/>
              </w:rPr>
              <w:t>无生产用水</w:t>
            </w:r>
            <w:r>
              <w:rPr>
                <w:rFonts w:hint="eastAsia"/>
                <w:bCs/>
                <w:color w:val="auto"/>
                <w:highlight w:val="none"/>
              </w:rPr>
              <w:t>。</w:t>
            </w:r>
          </w:p>
          <w:p w14:paraId="4A15B793">
            <w:pPr>
              <w:pStyle w:val="7"/>
              <w:ind w:firstLine="480"/>
              <w:rPr>
                <w:rFonts w:hint="eastAsia"/>
                <w:bCs/>
                <w:color w:val="auto"/>
                <w:highlight w:val="none"/>
              </w:rPr>
            </w:pPr>
            <w:r>
              <w:rPr>
                <w:rFonts w:hint="eastAsia"/>
                <w:bCs/>
                <w:color w:val="auto"/>
                <w:highlight w:val="none"/>
              </w:rPr>
              <w:t>根据《行业用水定额》（BD61/943-2020）中行政办公用水定额，办公生活用水取25m</w:t>
            </w:r>
            <w:r>
              <w:rPr>
                <w:rFonts w:hint="eastAsia"/>
                <w:bCs/>
                <w:color w:val="auto"/>
                <w:highlight w:val="none"/>
                <w:vertAlign w:val="superscript"/>
              </w:rPr>
              <w:t>3</w:t>
            </w:r>
            <w:r>
              <w:rPr>
                <w:rFonts w:hint="eastAsia"/>
                <w:bCs/>
                <w:color w:val="auto"/>
                <w:highlight w:val="none"/>
              </w:rPr>
              <w:t>/人·a，项目员工</w:t>
            </w:r>
            <w:r>
              <w:rPr>
                <w:rFonts w:hint="eastAsia"/>
                <w:bCs/>
                <w:color w:val="auto"/>
                <w:highlight w:val="none"/>
                <w:lang w:val="en-US" w:eastAsia="zh-CN"/>
              </w:rPr>
              <w:t>5</w:t>
            </w:r>
            <w:r>
              <w:rPr>
                <w:rFonts w:hint="eastAsia"/>
                <w:bCs/>
                <w:color w:val="auto"/>
                <w:highlight w:val="none"/>
              </w:rPr>
              <w:t>人，年工作300天，则本项目</w:t>
            </w:r>
            <w:r>
              <w:rPr>
                <w:rFonts w:hint="eastAsia"/>
                <w:bCs/>
                <w:color w:val="auto"/>
                <w:highlight w:val="none"/>
                <w:lang w:val="en-US" w:eastAsia="zh-CN"/>
              </w:rPr>
              <w:t>员工</w:t>
            </w:r>
            <w:r>
              <w:rPr>
                <w:rFonts w:hint="eastAsia"/>
                <w:bCs/>
                <w:color w:val="auto"/>
                <w:highlight w:val="none"/>
              </w:rPr>
              <w:t>生活用水量</w:t>
            </w:r>
            <w:r>
              <w:rPr>
                <w:rFonts w:hint="eastAsia"/>
                <w:bCs/>
                <w:color w:val="auto"/>
                <w:highlight w:val="none"/>
                <w:lang w:val="en-US" w:eastAsia="zh-CN"/>
              </w:rPr>
              <w:t>125</w:t>
            </w:r>
            <w:r>
              <w:rPr>
                <w:rFonts w:hint="eastAsia"/>
                <w:bCs/>
                <w:color w:val="auto"/>
                <w:highlight w:val="none"/>
              </w:rPr>
              <w:t>t/a（</w:t>
            </w:r>
            <w:r>
              <w:rPr>
                <w:rFonts w:hint="eastAsia"/>
                <w:bCs/>
                <w:color w:val="auto"/>
                <w:highlight w:val="none"/>
                <w:lang w:val="en-US" w:eastAsia="zh-CN"/>
              </w:rPr>
              <w:t>0.42</w:t>
            </w:r>
            <w:r>
              <w:rPr>
                <w:rFonts w:hint="eastAsia"/>
                <w:bCs/>
                <w:color w:val="auto"/>
                <w:highlight w:val="none"/>
              </w:rPr>
              <w:t>t/d）。</w:t>
            </w:r>
          </w:p>
          <w:p w14:paraId="648E8A42">
            <w:pPr>
              <w:pStyle w:val="7"/>
              <w:ind w:firstLine="480"/>
              <w:rPr>
                <w:rFonts w:hint="eastAsia"/>
                <w:color w:val="auto"/>
                <w:sz w:val="24"/>
                <w:szCs w:val="32"/>
                <w:highlight w:val="none"/>
              </w:rPr>
            </w:pPr>
            <w:r>
              <w:rPr>
                <w:rFonts w:hint="eastAsia"/>
                <w:bCs/>
                <w:color w:val="auto"/>
                <w:highlight w:val="none"/>
              </w:rPr>
              <w:t>产污系数按0.8计，则</w:t>
            </w:r>
            <w:r>
              <w:rPr>
                <w:rFonts w:hint="eastAsia"/>
                <w:bCs/>
                <w:color w:val="auto"/>
                <w:highlight w:val="none"/>
                <w:lang w:val="en-US" w:eastAsia="zh-CN"/>
              </w:rPr>
              <w:t>员工</w:t>
            </w:r>
            <w:r>
              <w:rPr>
                <w:rFonts w:hint="eastAsia"/>
                <w:bCs/>
                <w:color w:val="auto"/>
                <w:highlight w:val="none"/>
              </w:rPr>
              <w:t>生活污水排放量为</w:t>
            </w:r>
            <w:r>
              <w:rPr>
                <w:rFonts w:hint="eastAsia"/>
                <w:bCs/>
                <w:color w:val="auto"/>
                <w:highlight w:val="none"/>
                <w:lang w:val="en-US" w:eastAsia="zh-CN"/>
              </w:rPr>
              <w:t>100</w:t>
            </w:r>
            <w:r>
              <w:rPr>
                <w:rFonts w:hint="eastAsia"/>
                <w:bCs/>
                <w:color w:val="auto"/>
                <w:highlight w:val="none"/>
              </w:rPr>
              <w:t>t/a（</w:t>
            </w:r>
            <w:r>
              <w:rPr>
                <w:rFonts w:hint="eastAsia"/>
                <w:bCs/>
                <w:color w:val="auto"/>
                <w:highlight w:val="none"/>
                <w:lang w:val="en-US" w:eastAsia="zh-CN"/>
              </w:rPr>
              <w:t>0.33</w:t>
            </w:r>
            <w:r>
              <w:rPr>
                <w:rFonts w:hint="eastAsia"/>
                <w:bCs/>
                <w:color w:val="auto"/>
                <w:highlight w:val="none"/>
              </w:rPr>
              <w:t>t/d），经化粪池（50m</w:t>
            </w:r>
            <w:r>
              <w:rPr>
                <w:rFonts w:hint="eastAsia"/>
                <w:bCs/>
                <w:color w:val="auto"/>
                <w:highlight w:val="none"/>
                <w:vertAlign w:val="superscript"/>
              </w:rPr>
              <w:t>3</w:t>
            </w:r>
            <w:r>
              <w:rPr>
                <w:rFonts w:hint="eastAsia"/>
                <w:bCs/>
                <w:color w:val="auto"/>
                <w:highlight w:val="none"/>
              </w:rPr>
              <w:t>，位于车间西北侧）处理后通过市政污水管网排入泾河新城第二污水处理厂集中处理。</w:t>
            </w:r>
          </w:p>
          <w:p w14:paraId="54CA6492">
            <w:pPr>
              <w:spacing w:line="360" w:lineRule="auto"/>
              <w:ind w:firstLine="480" w:firstLineChars="200"/>
              <w:rPr>
                <w:rFonts w:hint="eastAsia"/>
                <w:color w:val="auto"/>
                <w:sz w:val="24"/>
                <w:szCs w:val="32"/>
                <w:highlight w:val="none"/>
              </w:rPr>
            </w:pPr>
            <w:r>
              <w:rPr>
                <w:color w:val="auto"/>
                <w:sz w:val="24"/>
                <w:szCs w:val="32"/>
                <w:highlight w:val="none"/>
              </w:rPr>
              <w:t>项目水平衡图如下</w:t>
            </w:r>
            <w:r>
              <w:rPr>
                <w:rFonts w:hint="eastAsia"/>
                <w:color w:val="auto"/>
                <w:sz w:val="24"/>
                <w:szCs w:val="32"/>
                <w:highlight w:val="none"/>
              </w:rPr>
              <w:t>：</w:t>
            </w:r>
          </w:p>
          <w:p w14:paraId="6DCB4CAA">
            <w:pPr>
              <w:spacing w:line="360" w:lineRule="auto"/>
              <w:jc w:val="center"/>
              <w:rPr>
                <w:b/>
                <w:bCs/>
                <w:color w:val="auto"/>
                <w:sz w:val="24"/>
                <w:szCs w:val="32"/>
                <w:highlight w:val="none"/>
              </w:rPr>
            </w:pPr>
            <w:r>
              <w:rPr>
                <w:color w:val="auto"/>
                <w:highlight w:val="none"/>
              </w:rPr>
              <w:drawing>
                <wp:inline distT="0" distB="0" distL="114300" distR="114300">
                  <wp:extent cx="3940810" cy="828675"/>
                  <wp:effectExtent l="0" t="0" r="2540" b="952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3940810" cy="828675"/>
                          </a:xfrm>
                          <a:prstGeom prst="rect">
                            <a:avLst/>
                          </a:prstGeom>
                          <a:noFill/>
                          <a:ln>
                            <a:noFill/>
                          </a:ln>
                        </pic:spPr>
                      </pic:pic>
                    </a:graphicData>
                  </a:graphic>
                </wp:inline>
              </w:drawing>
            </w:r>
          </w:p>
          <w:p w14:paraId="69F4AD6D">
            <w:pPr>
              <w:spacing w:line="360" w:lineRule="auto"/>
              <w:jc w:val="center"/>
              <w:rPr>
                <w:rFonts w:hint="eastAsia"/>
                <w:b/>
                <w:bCs/>
                <w:color w:val="auto"/>
                <w:sz w:val="24"/>
                <w:szCs w:val="32"/>
                <w:highlight w:val="none"/>
              </w:rPr>
            </w:pPr>
            <w:r>
              <w:rPr>
                <w:b/>
                <w:bCs/>
                <w:color w:val="auto"/>
                <w:sz w:val="24"/>
                <w:szCs w:val="32"/>
                <w:highlight w:val="none"/>
              </w:rPr>
              <w:t>图2-1 本项目水平衡图</w:t>
            </w:r>
            <w:r>
              <w:rPr>
                <w:rFonts w:hint="eastAsia"/>
                <w:b/>
                <w:bCs/>
                <w:color w:val="auto"/>
                <w:sz w:val="24"/>
                <w:szCs w:val="32"/>
                <w:highlight w:val="none"/>
              </w:rPr>
              <w:t>（单位：t/a）</w:t>
            </w:r>
          </w:p>
          <w:p w14:paraId="12BE879C">
            <w:pPr>
              <w:jc w:val="center"/>
              <w:rPr>
                <w:color w:val="auto"/>
                <w:sz w:val="32"/>
                <w:szCs w:val="32"/>
                <w:highlight w:val="none"/>
              </w:rPr>
            </w:pPr>
            <w:r>
              <w:rPr>
                <w:b/>
                <w:bCs/>
                <w:color w:val="auto"/>
                <w:sz w:val="24"/>
                <w:szCs w:val="32"/>
                <w:highlight w:val="none"/>
              </w:rPr>
              <w:t>表2-</w:t>
            </w:r>
            <w:r>
              <w:rPr>
                <w:rFonts w:hint="eastAsia"/>
                <w:b/>
                <w:bCs/>
                <w:color w:val="auto"/>
                <w:sz w:val="24"/>
                <w:szCs w:val="32"/>
                <w:highlight w:val="none"/>
              </w:rPr>
              <w:t>6</w:t>
            </w:r>
            <w:r>
              <w:rPr>
                <w:b/>
                <w:bCs/>
                <w:color w:val="auto"/>
                <w:sz w:val="24"/>
                <w:szCs w:val="32"/>
                <w:highlight w:val="none"/>
              </w:rPr>
              <w:t xml:space="preserve">  </w:t>
            </w:r>
            <w:r>
              <w:rPr>
                <w:rFonts w:hint="eastAsia"/>
                <w:b/>
                <w:bCs/>
                <w:color w:val="auto"/>
                <w:sz w:val="24"/>
                <w:szCs w:val="32"/>
                <w:highlight w:val="none"/>
              </w:rPr>
              <w:t>本项目水平衡表</w:t>
            </w:r>
          </w:p>
          <w:tbl>
            <w:tblPr>
              <w:tblStyle w:val="24"/>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6"/>
              <w:gridCol w:w="1253"/>
              <w:gridCol w:w="1151"/>
              <w:gridCol w:w="1629"/>
              <w:gridCol w:w="2669"/>
            </w:tblGrid>
            <w:tr w14:paraId="26FA18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751" w:type="pct"/>
                  <w:noWrap w:val="0"/>
                  <w:vAlign w:val="center"/>
                </w:tcPr>
                <w:p w14:paraId="566C28ED">
                  <w:pPr>
                    <w:jc w:val="center"/>
                    <w:rPr>
                      <w:rFonts w:hint="eastAsia"/>
                      <w:b/>
                      <w:bCs/>
                      <w:color w:val="auto"/>
                      <w:szCs w:val="21"/>
                      <w:highlight w:val="none"/>
                    </w:rPr>
                  </w:pPr>
                  <w:r>
                    <w:rPr>
                      <w:rFonts w:hint="eastAsia"/>
                      <w:b/>
                      <w:bCs/>
                      <w:color w:val="auto"/>
                      <w:szCs w:val="21"/>
                      <w:highlight w:val="none"/>
                    </w:rPr>
                    <w:t>项目</w:t>
                  </w:r>
                </w:p>
              </w:tc>
              <w:tc>
                <w:tcPr>
                  <w:tcW w:w="794" w:type="pct"/>
                  <w:noWrap w:val="0"/>
                  <w:vAlign w:val="center"/>
                </w:tcPr>
                <w:p w14:paraId="54662B5C">
                  <w:pPr>
                    <w:jc w:val="center"/>
                    <w:rPr>
                      <w:b/>
                      <w:bCs/>
                      <w:color w:val="auto"/>
                      <w:szCs w:val="21"/>
                      <w:highlight w:val="none"/>
                    </w:rPr>
                  </w:pPr>
                  <w:r>
                    <w:rPr>
                      <w:rFonts w:hint="eastAsia"/>
                      <w:b/>
                      <w:bCs/>
                      <w:color w:val="auto"/>
                      <w:szCs w:val="21"/>
                      <w:highlight w:val="none"/>
                    </w:rPr>
                    <w:t>用水量t/a</w:t>
                  </w:r>
                </w:p>
              </w:tc>
              <w:tc>
                <w:tcPr>
                  <w:tcW w:w="729" w:type="pct"/>
                  <w:noWrap w:val="0"/>
                  <w:vAlign w:val="center"/>
                </w:tcPr>
                <w:p w14:paraId="50D411FC">
                  <w:pPr>
                    <w:jc w:val="center"/>
                    <w:rPr>
                      <w:b/>
                      <w:bCs/>
                      <w:color w:val="auto"/>
                      <w:szCs w:val="21"/>
                      <w:highlight w:val="none"/>
                    </w:rPr>
                  </w:pPr>
                  <w:r>
                    <w:rPr>
                      <w:rFonts w:hint="eastAsia"/>
                      <w:b/>
                      <w:bCs/>
                      <w:color w:val="auto"/>
                      <w:szCs w:val="21"/>
                      <w:highlight w:val="none"/>
                    </w:rPr>
                    <w:t>损耗量t/a</w:t>
                  </w:r>
                </w:p>
              </w:tc>
              <w:tc>
                <w:tcPr>
                  <w:tcW w:w="1032" w:type="pct"/>
                  <w:noWrap w:val="0"/>
                  <w:vAlign w:val="center"/>
                </w:tcPr>
                <w:p w14:paraId="365AE2B6">
                  <w:pPr>
                    <w:jc w:val="center"/>
                    <w:rPr>
                      <w:b/>
                      <w:bCs/>
                      <w:color w:val="auto"/>
                      <w:szCs w:val="21"/>
                      <w:highlight w:val="none"/>
                    </w:rPr>
                  </w:pPr>
                  <w:r>
                    <w:rPr>
                      <w:rFonts w:hint="eastAsia"/>
                      <w:b/>
                      <w:bCs/>
                      <w:color w:val="auto"/>
                      <w:szCs w:val="21"/>
                      <w:highlight w:val="none"/>
                    </w:rPr>
                    <w:t>废水产生量t/a</w:t>
                  </w:r>
                </w:p>
              </w:tc>
              <w:tc>
                <w:tcPr>
                  <w:tcW w:w="1691" w:type="pct"/>
                  <w:noWrap w:val="0"/>
                  <w:vAlign w:val="center"/>
                </w:tcPr>
                <w:p w14:paraId="2A9ABB81">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去向</w:t>
                  </w:r>
                </w:p>
              </w:tc>
            </w:tr>
            <w:tr w14:paraId="3E5C93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noWrap w:val="0"/>
                  <w:vAlign w:val="center"/>
                </w:tcPr>
                <w:p w14:paraId="6F4DAC27">
                  <w:pPr>
                    <w:jc w:val="center"/>
                    <w:rPr>
                      <w:color w:val="auto"/>
                      <w:szCs w:val="21"/>
                      <w:highlight w:val="none"/>
                    </w:rPr>
                  </w:pPr>
                  <w:r>
                    <w:rPr>
                      <w:rFonts w:hint="eastAsia"/>
                      <w:color w:val="auto"/>
                      <w:szCs w:val="21"/>
                      <w:highlight w:val="none"/>
                      <w:lang w:val="en-US" w:eastAsia="zh-CN"/>
                    </w:rPr>
                    <w:t>员工</w:t>
                  </w:r>
                  <w:r>
                    <w:rPr>
                      <w:rFonts w:hint="eastAsia"/>
                      <w:color w:val="auto"/>
                      <w:szCs w:val="21"/>
                      <w:highlight w:val="none"/>
                    </w:rPr>
                    <w:t>生活用水</w:t>
                  </w:r>
                </w:p>
              </w:tc>
              <w:tc>
                <w:tcPr>
                  <w:tcW w:w="794" w:type="pct"/>
                  <w:noWrap w:val="0"/>
                  <w:vAlign w:val="center"/>
                </w:tcPr>
                <w:p w14:paraId="6D1049EE">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125</w:t>
                  </w:r>
                </w:p>
              </w:tc>
              <w:tc>
                <w:tcPr>
                  <w:tcW w:w="729" w:type="pct"/>
                  <w:noWrap w:val="0"/>
                  <w:vAlign w:val="center"/>
                </w:tcPr>
                <w:p w14:paraId="0D22A666">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1032" w:type="pct"/>
                  <w:noWrap w:val="0"/>
                  <w:vAlign w:val="center"/>
                </w:tcPr>
                <w:p w14:paraId="33FCF4AB">
                  <w:pPr>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1691" w:type="pct"/>
                  <w:noWrap w:val="0"/>
                  <w:vAlign w:val="center"/>
                </w:tcPr>
                <w:p w14:paraId="3D53F102">
                  <w:pPr>
                    <w:jc w:val="center"/>
                    <w:rPr>
                      <w:color w:val="auto"/>
                      <w:szCs w:val="21"/>
                      <w:highlight w:val="none"/>
                    </w:rPr>
                  </w:pPr>
                  <w:r>
                    <w:rPr>
                      <w:rFonts w:hint="eastAsia"/>
                      <w:color w:val="auto"/>
                      <w:szCs w:val="21"/>
                      <w:highlight w:val="none"/>
                    </w:rPr>
                    <w:t>经化粪池（50m</w:t>
                  </w:r>
                  <w:r>
                    <w:rPr>
                      <w:rFonts w:hint="eastAsia"/>
                      <w:color w:val="auto"/>
                      <w:szCs w:val="21"/>
                      <w:highlight w:val="none"/>
                      <w:vertAlign w:val="superscript"/>
                    </w:rPr>
                    <w:t>3</w:t>
                  </w:r>
                  <w:r>
                    <w:rPr>
                      <w:rFonts w:hint="eastAsia"/>
                      <w:color w:val="auto"/>
                      <w:szCs w:val="21"/>
                      <w:highlight w:val="none"/>
                    </w:rPr>
                    <w:t>，位于车间西北侧）处理后通过市政污水管网排入泾河新城第二污水处理厂集中处理。</w:t>
                  </w:r>
                </w:p>
              </w:tc>
            </w:tr>
            <w:tr w14:paraId="3C8CD9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noWrap w:val="0"/>
                  <w:vAlign w:val="center"/>
                </w:tcPr>
                <w:p w14:paraId="3115A526">
                  <w:pPr>
                    <w:jc w:val="center"/>
                    <w:rPr>
                      <w:color w:val="auto"/>
                      <w:szCs w:val="21"/>
                      <w:highlight w:val="none"/>
                    </w:rPr>
                  </w:pPr>
                  <w:r>
                    <w:rPr>
                      <w:rFonts w:hint="eastAsia"/>
                      <w:color w:val="auto"/>
                      <w:szCs w:val="21"/>
                      <w:highlight w:val="none"/>
                    </w:rPr>
                    <w:t>合计</w:t>
                  </w:r>
                </w:p>
              </w:tc>
              <w:tc>
                <w:tcPr>
                  <w:tcW w:w="794" w:type="pct"/>
                  <w:noWrap w:val="0"/>
                  <w:vAlign w:val="center"/>
                </w:tcPr>
                <w:p w14:paraId="280CEB40">
                  <w:pPr>
                    <w:pStyle w:val="7"/>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125</w:t>
                  </w:r>
                </w:p>
              </w:tc>
              <w:tc>
                <w:tcPr>
                  <w:tcW w:w="729" w:type="pct"/>
                  <w:noWrap w:val="0"/>
                  <w:vAlign w:val="center"/>
                </w:tcPr>
                <w:p w14:paraId="4B5C81DA">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1032" w:type="pct"/>
                  <w:noWrap w:val="0"/>
                  <w:vAlign w:val="center"/>
                </w:tcPr>
                <w:p w14:paraId="2EB9320D">
                  <w:pPr>
                    <w:jc w:val="center"/>
                    <w:rPr>
                      <w:rFonts w:hint="default" w:eastAsia="宋体"/>
                      <w:color w:val="auto"/>
                      <w:szCs w:val="21"/>
                      <w:highlight w:val="none"/>
                      <w:lang w:val="en-US" w:eastAsia="zh-CN"/>
                    </w:rPr>
                  </w:pPr>
                  <w:r>
                    <w:rPr>
                      <w:rFonts w:hint="eastAsia"/>
                      <w:color w:val="auto"/>
                      <w:szCs w:val="21"/>
                      <w:highlight w:val="none"/>
                      <w:lang w:val="en-US" w:eastAsia="zh-CN"/>
                    </w:rPr>
                    <w:t>100</w:t>
                  </w:r>
                </w:p>
              </w:tc>
              <w:tc>
                <w:tcPr>
                  <w:tcW w:w="1691" w:type="pct"/>
                  <w:noWrap w:val="0"/>
                  <w:vAlign w:val="center"/>
                </w:tcPr>
                <w:p w14:paraId="64858F64">
                  <w:pPr>
                    <w:jc w:val="center"/>
                    <w:rPr>
                      <w:color w:val="auto"/>
                      <w:szCs w:val="21"/>
                      <w:highlight w:val="none"/>
                    </w:rPr>
                  </w:pPr>
                  <w:r>
                    <w:rPr>
                      <w:rFonts w:hint="eastAsia"/>
                      <w:color w:val="auto"/>
                      <w:szCs w:val="21"/>
                      <w:highlight w:val="none"/>
                    </w:rPr>
                    <w:t>/</w:t>
                  </w:r>
                </w:p>
              </w:tc>
            </w:tr>
          </w:tbl>
          <w:p w14:paraId="3515A5A7">
            <w:pPr>
              <w:spacing w:line="360" w:lineRule="auto"/>
              <w:ind w:firstLine="480" w:firstLineChars="200"/>
              <w:jc w:val="left"/>
              <w:rPr>
                <w:color w:val="auto"/>
                <w:sz w:val="24"/>
                <w:szCs w:val="32"/>
                <w:highlight w:val="none"/>
              </w:rPr>
            </w:pPr>
            <w:r>
              <w:rPr>
                <w:color w:val="auto"/>
                <w:sz w:val="24"/>
                <w:szCs w:val="32"/>
                <w:highlight w:val="none"/>
              </w:rPr>
              <w:t>（2）供暖制冷</w:t>
            </w:r>
          </w:p>
          <w:p w14:paraId="14B9EE6D">
            <w:pPr>
              <w:spacing w:line="360" w:lineRule="auto"/>
              <w:ind w:firstLine="480" w:firstLineChars="200"/>
              <w:jc w:val="left"/>
              <w:rPr>
                <w:rFonts w:hint="eastAsia"/>
                <w:color w:val="auto"/>
                <w:sz w:val="24"/>
                <w:szCs w:val="32"/>
                <w:highlight w:val="none"/>
              </w:rPr>
            </w:pPr>
            <w:r>
              <w:rPr>
                <w:rFonts w:hint="eastAsia"/>
                <w:color w:val="auto"/>
                <w:sz w:val="24"/>
                <w:szCs w:val="32"/>
                <w:highlight w:val="none"/>
              </w:rPr>
              <w:t>项目办公区供暖制冷采用分体式空调。</w:t>
            </w:r>
          </w:p>
          <w:p w14:paraId="4B735552">
            <w:pPr>
              <w:pStyle w:val="7"/>
              <w:ind w:firstLine="480"/>
              <w:rPr>
                <w:rFonts w:hint="eastAsia"/>
                <w:color w:val="auto"/>
                <w:highlight w:val="none"/>
              </w:rPr>
            </w:pPr>
            <w:r>
              <w:rPr>
                <w:color w:val="auto"/>
                <w:highlight w:val="none"/>
              </w:rPr>
              <w:t>（3）供</w:t>
            </w:r>
            <w:r>
              <w:rPr>
                <w:rFonts w:hint="eastAsia"/>
                <w:color w:val="auto"/>
                <w:highlight w:val="none"/>
              </w:rPr>
              <w:t>电</w:t>
            </w:r>
          </w:p>
          <w:p w14:paraId="5D0A7449">
            <w:pPr>
              <w:pStyle w:val="7"/>
              <w:ind w:firstLine="480"/>
              <w:rPr>
                <w:rFonts w:hint="eastAsia"/>
                <w:color w:val="auto"/>
                <w:highlight w:val="none"/>
              </w:rPr>
            </w:pPr>
            <w:r>
              <w:rPr>
                <w:color w:val="auto"/>
                <w:highlight w:val="none"/>
              </w:rPr>
              <w:t>本项目</w:t>
            </w:r>
            <w:r>
              <w:rPr>
                <w:rFonts w:hint="eastAsia"/>
                <w:color w:val="auto"/>
                <w:highlight w:val="none"/>
              </w:rPr>
              <w:t>用电来自市政电网，可满足项目用电要求，不设置备用发电机。</w:t>
            </w:r>
          </w:p>
          <w:p w14:paraId="7492F154">
            <w:pPr>
              <w:pStyle w:val="7"/>
              <w:ind w:firstLine="480"/>
              <w:rPr>
                <w:rFonts w:hint="eastAsia" w:eastAsia="宋体"/>
                <w:b/>
                <w:bCs/>
                <w:color w:val="auto"/>
                <w:highlight w:val="none"/>
                <w:lang w:eastAsia="zh-CN"/>
              </w:rPr>
            </w:pPr>
            <w:r>
              <w:rPr>
                <w:rFonts w:hint="eastAsia"/>
                <w:b/>
                <w:bCs/>
                <w:color w:val="auto"/>
                <w:highlight w:val="none"/>
                <w:lang w:val="en-US" w:eastAsia="zh-CN"/>
              </w:rPr>
              <w:t>7</w:t>
            </w:r>
            <w:r>
              <w:rPr>
                <w:rFonts w:hint="eastAsia"/>
                <w:b/>
                <w:bCs/>
                <w:color w:val="auto"/>
                <w:highlight w:val="none"/>
                <w:lang w:eastAsia="zh-CN"/>
              </w:rPr>
              <w:t>、劳动定员及工作制度</w:t>
            </w:r>
          </w:p>
          <w:p w14:paraId="36556BDB">
            <w:pPr>
              <w:spacing w:line="360" w:lineRule="auto"/>
              <w:ind w:firstLine="480" w:firstLineChars="200"/>
              <w:rPr>
                <w:rFonts w:hint="eastAsia"/>
                <w:color w:val="auto"/>
                <w:highlight w:val="none"/>
                <w:lang w:eastAsia="zh-CN"/>
              </w:rPr>
            </w:pPr>
            <w:r>
              <w:rPr>
                <w:rFonts w:hint="eastAsia"/>
                <w:bCs/>
                <w:color w:val="auto"/>
                <w:sz w:val="24"/>
                <w:highlight w:val="none"/>
              </w:rPr>
              <w:t>本项目劳动定员为5人</w:t>
            </w:r>
            <w:r>
              <w:rPr>
                <w:bCs/>
                <w:color w:val="auto"/>
                <w:sz w:val="24"/>
                <w:highlight w:val="none"/>
              </w:rPr>
              <w:t>，</w:t>
            </w:r>
            <w:r>
              <w:rPr>
                <w:rFonts w:hint="eastAsia"/>
                <w:bCs/>
                <w:color w:val="auto"/>
                <w:sz w:val="24"/>
                <w:highlight w:val="none"/>
                <w:lang w:val="en-US" w:eastAsia="zh-CN"/>
              </w:rPr>
              <w:t>不设食宿</w:t>
            </w:r>
            <w:r>
              <w:rPr>
                <w:rFonts w:hint="eastAsia"/>
                <w:bCs/>
                <w:color w:val="auto"/>
                <w:sz w:val="24"/>
                <w:highlight w:val="none"/>
                <w:lang w:eastAsia="zh-CN"/>
              </w:rPr>
              <w:t>，</w:t>
            </w:r>
            <w:r>
              <w:rPr>
                <w:rFonts w:hint="eastAsia"/>
                <w:bCs/>
                <w:color w:val="auto"/>
                <w:sz w:val="24"/>
                <w:highlight w:val="none"/>
                <w:lang w:val="en-US" w:eastAsia="zh-CN"/>
              </w:rPr>
              <w:t>实行1</w:t>
            </w:r>
            <w:r>
              <w:rPr>
                <w:bCs/>
                <w:color w:val="auto"/>
                <w:sz w:val="24"/>
                <w:highlight w:val="none"/>
              </w:rPr>
              <w:t>班制，</w:t>
            </w:r>
            <w:r>
              <w:rPr>
                <w:rFonts w:hint="eastAsia"/>
                <w:bCs/>
                <w:color w:val="auto"/>
                <w:sz w:val="24"/>
                <w:highlight w:val="none"/>
                <w:lang w:val="en-US" w:eastAsia="zh-CN"/>
              </w:rPr>
              <w:t>每班工作</w:t>
            </w:r>
            <w:r>
              <w:rPr>
                <w:rFonts w:hint="eastAsia"/>
                <w:bCs/>
                <w:color w:val="auto"/>
                <w:sz w:val="24"/>
                <w:highlight w:val="none"/>
              </w:rPr>
              <w:t>8</w:t>
            </w:r>
            <w:r>
              <w:rPr>
                <w:bCs/>
                <w:color w:val="auto"/>
                <w:sz w:val="24"/>
                <w:highlight w:val="none"/>
              </w:rPr>
              <w:t>h</w:t>
            </w:r>
            <w:r>
              <w:rPr>
                <w:rFonts w:hint="eastAsia"/>
                <w:bCs/>
                <w:color w:val="auto"/>
                <w:sz w:val="24"/>
                <w:highlight w:val="none"/>
                <w:lang w:eastAsia="zh-CN"/>
              </w:rPr>
              <w:t>，</w:t>
            </w:r>
            <w:r>
              <w:rPr>
                <w:rFonts w:hint="eastAsia"/>
                <w:bCs/>
                <w:color w:val="auto"/>
                <w:sz w:val="24"/>
                <w:highlight w:val="none"/>
                <w:lang w:val="en-US" w:eastAsia="zh-CN"/>
              </w:rPr>
              <w:t>夜间不生产</w:t>
            </w:r>
            <w:r>
              <w:rPr>
                <w:bCs/>
                <w:color w:val="auto"/>
                <w:sz w:val="24"/>
                <w:highlight w:val="none"/>
              </w:rPr>
              <w:t>，年工作</w:t>
            </w:r>
            <w:r>
              <w:rPr>
                <w:rFonts w:hint="eastAsia"/>
                <w:bCs/>
                <w:color w:val="auto"/>
                <w:sz w:val="24"/>
                <w:highlight w:val="none"/>
              </w:rPr>
              <w:t>300</w:t>
            </w:r>
            <w:r>
              <w:rPr>
                <w:rFonts w:hint="eastAsia"/>
                <w:bCs/>
                <w:color w:val="auto"/>
                <w:sz w:val="24"/>
                <w:highlight w:val="none"/>
                <w:lang w:val="en-US" w:eastAsia="zh-CN"/>
              </w:rPr>
              <w:t>d</w:t>
            </w:r>
            <w:r>
              <w:rPr>
                <w:rFonts w:hint="eastAsia"/>
                <w:bCs/>
                <w:color w:val="auto"/>
                <w:sz w:val="24"/>
                <w:highlight w:val="none"/>
              </w:rPr>
              <w:t>，年工作</w:t>
            </w:r>
            <w:r>
              <w:rPr>
                <w:rFonts w:hint="eastAsia"/>
                <w:bCs/>
                <w:color w:val="auto"/>
                <w:sz w:val="24"/>
                <w:highlight w:val="none"/>
                <w:lang w:val="en-US" w:eastAsia="zh-CN"/>
              </w:rPr>
              <w:t>24</w:t>
            </w:r>
            <w:r>
              <w:rPr>
                <w:rFonts w:hint="eastAsia"/>
                <w:bCs/>
                <w:color w:val="auto"/>
                <w:sz w:val="24"/>
                <w:highlight w:val="none"/>
              </w:rPr>
              <w:t>00h</w:t>
            </w:r>
            <w:r>
              <w:rPr>
                <w:bCs/>
                <w:color w:val="auto"/>
                <w:sz w:val="24"/>
                <w:highlight w:val="none"/>
              </w:rPr>
              <w:t>。</w:t>
            </w:r>
          </w:p>
          <w:p w14:paraId="557A92E8">
            <w:pPr>
              <w:pStyle w:val="7"/>
              <w:ind w:firstLine="482"/>
              <w:rPr>
                <w:rFonts w:hint="eastAsia"/>
                <w:b/>
                <w:bCs/>
                <w:color w:val="auto"/>
                <w:highlight w:val="none"/>
              </w:rPr>
            </w:pPr>
            <w:r>
              <w:rPr>
                <w:rFonts w:hint="eastAsia"/>
                <w:b/>
                <w:bCs/>
                <w:color w:val="auto"/>
                <w:highlight w:val="none"/>
                <w:lang w:val="en-US" w:eastAsia="zh-CN"/>
              </w:rPr>
              <w:t>8</w:t>
            </w:r>
            <w:r>
              <w:rPr>
                <w:rFonts w:hint="eastAsia"/>
                <w:b/>
                <w:bCs/>
                <w:color w:val="auto"/>
                <w:highlight w:val="none"/>
              </w:rPr>
              <w:t>、平面布置说明</w:t>
            </w:r>
          </w:p>
          <w:p w14:paraId="0B485754">
            <w:pPr>
              <w:pStyle w:val="7"/>
              <w:ind w:firstLine="480"/>
              <w:rPr>
                <w:color w:val="auto"/>
                <w:highlight w:val="none"/>
              </w:rPr>
            </w:pPr>
            <w:r>
              <w:rPr>
                <w:rFonts w:hint="eastAsia"/>
                <w:bCs/>
                <w:color w:val="auto"/>
                <w:sz w:val="24"/>
                <w:szCs w:val="32"/>
                <w:highlight w:val="none"/>
                <w:lang w:val="en-US" w:eastAsia="zh-CN"/>
              </w:rPr>
              <w:t>本</w:t>
            </w:r>
            <w:r>
              <w:rPr>
                <w:rFonts w:hint="eastAsia"/>
                <w:bCs/>
                <w:color w:val="auto"/>
                <w:sz w:val="24"/>
                <w:szCs w:val="32"/>
                <w:highlight w:val="none"/>
              </w:rPr>
              <w:t>项目位于陕西力拓重工机械有限公司</w:t>
            </w:r>
            <w:r>
              <w:rPr>
                <w:rFonts w:hint="eastAsia"/>
                <w:bCs/>
                <w:color w:val="auto"/>
                <w:sz w:val="24"/>
                <w:szCs w:val="32"/>
                <w:highlight w:val="none"/>
              </w:rPr>
              <w:t>已建成厂房内</w:t>
            </w:r>
            <w:r>
              <w:rPr>
                <w:rFonts w:hint="eastAsia"/>
                <w:bCs/>
                <w:color w:val="auto"/>
                <w:sz w:val="24"/>
                <w:szCs w:val="32"/>
                <w:highlight w:val="none"/>
                <w:lang w:eastAsia="zh-CN"/>
              </w:rPr>
              <w:t>，</w:t>
            </w:r>
            <w:r>
              <w:rPr>
                <w:rFonts w:hint="eastAsia"/>
                <w:bCs/>
                <w:color w:val="auto"/>
                <w:sz w:val="24"/>
                <w:szCs w:val="32"/>
                <w:highlight w:val="none"/>
                <w:lang w:val="en-US" w:eastAsia="zh-CN"/>
              </w:rPr>
              <w:t>总租赁面积1500m</w:t>
            </w:r>
            <w:r>
              <w:rPr>
                <w:rFonts w:hint="eastAsia"/>
                <w:bCs/>
                <w:color w:val="auto"/>
                <w:sz w:val="24"/>
                <w:szCs w:val="32"/>
                <w:highlight w:val="none"/>
                <w:vertAlign w:val="superscript"/>
                <w:lang w:val="en-US" w:eastAsia="zh-CN"/>
              </w:rPr>
              <w:t>2</w:t>
            </w:r>
            <w:r>
              <w:rPr>
                <w:rFonts w:hint="eastAsia"/>
                <w:bCs/>
                <w:color w:val="auto"/>
                <w:sz w:val="24"/>
                <w:szCs w:val="32"/>
                <w:highlight w:val="none"/>
                <w:lang w:val="en-US" w:eastAsia="zh-CN"/>
              </w:rPr>
              <w:t>，生产厂房分为生产线布置区和库房，其中生产线布置区被安全通道分隔为四大区域，西北</w:t>
            </w:r>
            <w:r>
              <w:rPr>
                <w:rFonts w:hint="eastAsia"/>
                <w:color w:val="auto"/>
                <w:highlight w:val="none"/>
                <w:lang w:val="en-US" w:eastAsia="zh-CN"/>
              </w:rPr>
              <w:t>区域</w:t>
            </w:r>
            <w:r>
              <w:rPr>
                <w:rFonts w:hint="eastAsia"/>
                <w:bCs/>
                <w:color w:val="auto"/>
                <w:sz w:val="24"/>
                <w:szCs w:val="32"/>
                <w:highlight w:val="none"/>
                <w:lang w:val="en-US" w:eastAsia="zh-CN"/>
              </w:rPr>
              <w:t>布设</w:t>
            </w:r>
            <w:r>
              <w:rPr>
                <w:rFonts w:hint="eastAsia"/>
                <w:color w:val="auto"/>
                <w:highlight w:val="none"/>
                <w:lang w:val="en-US" w:eastAsia="zh-CN"/>
              </w:rPr>
              <w:t>搅拌罐、三维运动混</w:t>
            </w:r>
            <w:r>
              <w:rPr>
                <w:rFonts w:hint="eastAsia"/>
                <w:color w:val="auto"/>
                <w:highlight w:val="none"/>
                <w:lang w:val="en-US" w:eastAsia="zh-CN"/>
              </w:rPr>
              <w:t>料</w:t>
            </w:r>
            <w:r>
              <w:rPr>
                <w:rFonts w:hint="eastAsia"/>
                <w:color w:val="auto"/>
                <w:highlight w:val="none"/>
                <w:lang w:val="en-US" w:eastAsia="zh-CN"/>
              </w:rPr>
              <w:t>机、热风循环烘箱、高速混合机、球磨机、电阻炉、箱式电阻炉、上料粉尘处理装置（脉冲净化器）等设备及相关配套设施；东北模块布设液压机、烘箱等设备及相关配套设施；东南区域布设反应罐、井式加热炉等设备及相关配套设施；西南区域布设空压机、反应罐、井式加热炉等设备及相关配套设施</w:t>
            </w:r>
            <w:r>
              <w:rPr>
                <w:rFonts w:hint="eastAsia"/>
                <w:bCs/>
                <w:color w:val="auto"/>
                <w:sz w:val="24"/>
                <w:szCs w:val="32"/>
                <w:highlight w:val="none"/>
                <w:lang w:val="en-US" w:eastAsia="zh-CN"/>
              </w:rPr>
              <w:t>。项目平面布置较为简单，生产分区功能明确，满足生产、安全、消防等要求，平面布置合理，出口位于厂房西部。</w:t>
            </w:r>
            <w:r>
              <w:rPr>
                <w:rFonts w:hint="eastAsia"/>
                <w:bCs/>
                <w:color w:val="auto"/>
                <w:sz w:val="24"/>
                <w:szCs w:val="32"/>
                <w:highlight w:val="none"/>
                <w:lang w:val="en-US" w:eastAsia="zh-CN"/>
              </w:rPr>
              <w:t>陕西力拓重工机械有限公司平面布置图见附图2。本项目所租赁车间平面布置见附图3。</w:t>
            </w:r>
          </w:p>
        </w:tc>
      </w:tr>
      <w:tr w14:paraId="50026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dxa"/>
            <w:noWrap w:val="0"/>
            <w:vAlign w:val="center"/>
          </w:tcPr>
          <w:p w14:paraId="0BD16643">
            <w:pPr>
              <w:pStyle w:val="21"/>
              <w:spacing w:before="0" w:beforeAutospacing="0" w:after="0" w:afterAutospacing="0"/>
              <w:jc w:val="center"/>
              <w:rPr>
                <w:rFonts w:hint="eastAsia" w:cs="宋体"/>
                <w:color w:val="auto"/>
                <w:sz w:val="21"/>
                <w:szCs w:val="21"/>
                <w:highlight w:val="none"/>
              </w:rPr>
            </w:pPr>
            <w:r>
              <w:rPr>
                <w:rFonts w:hint="eastAsia" w:cs="宋体"/>
                <w:color w:val="auto"/>
                <w:sz w:val="21"/>
                <w:szCs w:val="21"/>
                <w:highlight w:val="none"/>
              </w:rPr>
              <w:t>工艺流程和产排污环节</w:t>
            </w:r>
          </w:p>
        </w:tc>
        <w:tc>
          <w:tcPr>
            <w:tcW w:w="8161" w:type="dxa"/>
            <w:noWrap w:val="0"/>
            <w:vAlign w:val="top"/>
          </w:tcPr>
          <w:p w14:paraId="4A44A02E">
            <w:pPr>
              <w:pStyle w:val="7"/>
              <w:ind w:firstLine="482"/>
              <w:rPr>
                <w:rFonts w:hint="eastAsia"/>
                <w:b/>
                <w:bCs/>
                <w:color w:val="auto"/>
                <w:highlight w:val="none"/>
              </w:rPr>
            </w:pPr>
            <w:r>
              <w:rPr>
                <w:rFonts w:hint="eastAsia"/>
                <w:b/>
                <w:bCs/>
                <w:color w:val="auto"/>
                <w:highlight w:val="none"/>
              </w:rPr>
              <w:t>1、施工期工艺流程</w:t>
            </w:r>
          </w:p>
          <w:p w14:paraId="12DDBFF9">
            <w:pPr>
              <w:pStyle w:val="7"/>
              <w:ind w:firstLine="480"/>
              <w:rPr>
                <w:rFonts w:hint="eastAsia"/>
                <w:color w:val="auto"/>
                <w:highlight w:val="none"/>
              </w:rPr>
            </w:pPr>
            <w:r>
              <w:rPr>
                <w:rFonts w:hint="eastAsia"/>
                <w:bCs/>
                <w:color w:val="auto"/>
                <w:sz w:val="24"/>
                <w:highlight w:val="none"/>
              </w:rPr>
              <w:t>陕西中昊永欣科技有限公司</w:t>
            </w:r>
            <w:r>
              <w:rPr>
                <w:rFonts w:hint="eastAsia"/>
                <w:bCs/>
                <w:color w:val="auto"/>
                <w:sz w:val="24"/>
                <w:highlight w:val="none"/>
                <w:lang w:val="en-US" w:eastAsia="zh-CN"/>
              </w:rPr>
              <w:t>租赁陕西力拓重工机械有限公司现有空置三号厂房</w:t>
            </w:r>
            <w:r>
              <w:rPr>
                <w:rFonts w:hint="eastAsia"/>
                <w:color w:val="auto"/>
                <w:highlight w:val="none"/>
              </w:rPr>
              <w:t>建设</w:t>
            </w:r>
            <w:r>
              <w:rPr>
                <w:rFonts w:hint="eastAsia"/>
                <w:color w:val="auto"/>
                <w:highlight w:val="none"/>
                <w:lang w:val="en-US" w:eastAsia="zh-CN"/>
              </w:rPr>
              <w:t>本项目</w:t>
            </w:r>
            <w:r>
              <w:rPr>
                <w:rFonts w:hint="eastAsia"/>
                <w:color w:val="auto"/>
                <w:highlight w:val="none"/>
              </w:rPr>
              <w:t>，</w:t>
            </w:r>
            <w:r>
              <w:rPr>
                <w:rFonts w:hint="eastAsia"/>
                <w:color w:val="auto"/>
                <w:highlight w:val="none"/>
                <w:lang w:val="en-US" w:eastAsia="zh-CN"/>
              </w:rPr>
              <w:t>本项目施工期</w:t>
            </w:r>
            <w:r>
              <w:rPr>
                <w:rFonts w:hint="eastAsia"/>
                <w:color w:val="auto"/>
                <w:highlight w:val="none"/>
              </w:rPr>
              <w:t>不涉及土方施工，仅需进行设备安装及相关配套设施搭建。</w:t>
            </w:r>
            <w:r>
              <w:rPr>
                <w:color w:val="auto"/>
                <w:highlight w:val="none"/>
              </w:rPr>
              <w:t>产生的污染物主要为：钻孔、</w:t>
            </w:r>
            <w:r>
              <w:rPr>
                <w:rFonts w:hint="eastAsia"/>
                <w:color w:val="auto"/>
                <w:highlight w:val="none"/>
              </w:rPr>
              <w:t>切割</w:t>
            </w:r>
            <w:r>
              <w:rPr>
                <w:color w:val="auto"/>
                <w:highlight w:val="none"/>
              </w:rPr>
              <w:t>等建筑活动产生的</w:t>
            </w:r>
            <w:r>
              <w:rPr>
                <w:rFonts w:hint="eastAsia"/>
                <w:color w:val="auto"/>
                <w:highlight w:val="none"/>
              </w:rPr>
              <w:t>粉尘</w:t>
            </w:r>
            <w:r>
              <w:rPr>
                <w:color w:val="auto"/>
                <w:highlight w:val="none"/>
              </w:rPr>
              <w:t>、噪声、</w:t>
            </w:r>
            <w:r>
              <w:rPr>
                <w:rFonts w:hint="eastAsia"/>
                <w:color w:val="auto"/>
                <w:highlight w:val="none"/>
              </w:rPr>
              <w:t>施工垃圾、施工人员产生的生活垃圾及施工人员生活污水等。</w:t>
            </w:r>
          </w:p>
          <w:p w14:paraId="0C599809">
            <w:pPr>
              <w:pStyle w:val="7"/>
              <w:ind w:firstLine="482"/>
              <w:rPr>
                <w:rFonts w:hint="eastAsia"/>
                <w:b/>
                <w:bCs/>
                <w:color w:val="auto"/>
                <w:highlight w:val="none"/>
              </w:rPr>
            </w:pPr>
            <w:r>
              <w:rPr>
                <w:rFonts w:hint="eastAsia"/>
                <w:b/>
                <w:bCs/>
                <w:color w:val="auto"/>
                <w:highlight w:val="none"/>
              </w:rPr>
              <w:t>2、营运期工艺流程</w:t>
            </w:r>
          </w:p>
          <w:p w14:paraId="0677A2B1">
            <w:pPr>
              <w:pStyle w:val="7"/>
              <w:ind w:firstLine="480"/>
              <w:rPr>
                <w:rFonts w:hint="eastAsia"/>
                <w:color w:val="auto"/>
                <w:highlight w:val="none"/>
                <w:lang w:val="en-US" w:eastAsia="zh-CN"/>
              </w:rPr>
            </w:pPr>
            <w:r>
              <w:rPr>
                <w:rFonts w:hint="eastAsia"/>
                <w:color w:val="auto"/>
                <w:highlight w:val="none"/>
                <w:lang w:val="en-US" w:eastAsia="zh-CN"/>
              </w:rPr>
              <w:t>本项目铝碳化硅复合材料散热片、铝金刚石复合材料散热片生产工艺完全相同。具体如下</w:t>
            </w:r>
          </w:p>
          <w:p w14:paraId="70C8A059">
            <w:pPr>
              <w:pStyle w:val="7"/>
              <w:ind w:left="0" w:leftChars="0" w:firstLine="0" w:firstLineChars="0"/>
              <w:jc w:val="center"/>
              <w:rPr>
                <w:rFonts w:hint="eastAsia"/>
                <w:color w:val="auto"/>
                <w:highlight w:val="none"/>
                <w:lang w:val="en-US" w:eastAsia="zh-CN"/>
              </w:rPr>
            </w:pPr>
            <w:r>
              <w:rPr>
                <w:color w:val="auto"/>
                <w:highlight w:val="none"/>
              </w:rPr>
              <w:drawing>
                <wp:inline distT="0" distB="0" distL="114300" distR="114300">
                  <wp:extent cx="4175760" cy="5911215"/>
                  <wp:effectExtent l="0" t="0" r="1524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4175760" cy="5911215"/>
                          </a:xfrm>
                          <a:prstGeom prst="rect">
                            <a:avLst/>
                          </a:prstGeom>
                          <a:noFill/>
                          <a:ln>
                            <a:noFill/>
                          </a:ln>
                        </pic:spPr>
                      </pic:pic>
                    </a:graphicData>
                  </a:graphic>
                </wp:inline>
              </w:drawing>
            </w:r>
          </w:p>
          <w:p w14:paraId="13B57B50">
            <w:pPr>
              <w:pStyle w:val="7"/>
              <w:ind w:firstLine="0" w:firstLineChars="0"/>
              <w:jc w:val="center"/>
              <w:rPr>
                <w:color w:val="auto"/>
                <w:szCs w:val="24"/>
                <w:highlight w:val="none"/>
              </w:rPr>
            </w:pPr>
            <w:r>
              <w:rPr>
                <w:b/>
                <w:color w:val="auto"/>
                <w:szCs w:val="24"/>
                <w:highlight w:val="none"/>
              </w:rPr>
              <w:t>图2-</w:t>
            </w:r>
            <w:r>
              <w:rPr>
                <w:rFonts w:hint="eastAsia"/>
                <w:b/>
                <w:color w:val="auto"/>
                <w:szCs w:val="24"/>
                <w:highlight w:val="none"/>
              </w:rPr>
              <w:t>2</w:t>
            </w:r>
            <w:r>
              <w:rPr>
                <w:b/>
                <w:color w:val="auto"/>
                <w:szCs w:val="24"/>
                <w:highlight w:val="none"/>
              </w:rPr>
              <w:t xml:space="preserve"> </w:t>
            </w:r>
            <w:r>
              <w:rPr>
                <w:rFonts w:hint="eastAsia"/>
                <w:b/>
                <w:color w:val="auto"/>
                <w:szCs w:val="24"/>
                <w:highlight w:val="none"/>
                <w:lang w:val="en-US" w:eastAsia="zh-CN"/>
              </w:rPr>
              <w:t xml:space="preserve"> </w:t>
            </w:r>
            <w:r>
              <w:rPr>
                <w:rFonts w:hint="eastAsia"/>
                <w:b/>
                <w:color w:val="auto"/>
                <w:szCs w:val="24"/>
                <w:highlight w:val="none"/>
              </w:rPr>
              <w:t>工艺流程图</w:t>
            </w:r>
          </w:p>
          <w:p w14:paraId="2A0A9BAF">
            <w:pPr>
              <w:pStyle w:val="7"/>
              <w:ind w:firstLine="480"/>
              <w:rPr>
                <w:rFonts w:hint="eastAsia"/>
                <w:color w:val="auto"/>
                <w:highlight w:val="none"/>
                <w:lang w:val="en-US" w:eastAsia="zh-CN"/>
              </w:rPr>
            </w:pPr>
            <w:r>
              <w:rPr>
                <w:rFonts w:hint="eastAsia"/>
                <w:b/>
                <w:bCs/>
                <w:color w:val="auto"/>
                <w:highlight w:val="none"/>
              </w:rPr>
              <w:t>工艺简述：</w:t>
            </w:r>
          </w:p>
          <w:p w14:paraId="626C7E54">
            <w:pPr>
              <w:pStyle w:val="7"/>
              <w:ind w:firstLine="482"/>
              <w:rPr>
                <w:rFonts w:hint="eastAsia" w:eastAsia="宋体"/>
                <w:b w:val="0"/>
                <w:bCs w:val="0"/>
                <w:color w:val="auto"/>
                <w:highlight w:val="none"/>
                <w:lang w:val="en-US" w:eastAsia="zh-CN"/>
              </w:rPr>
            </w:pPr>
            <w:r>
              <w:rPr>
                <w:rFonts w:hint="eastAsia"/>
                <w:b w:val="0"/>
                <w:bCs w:val="0"/>
                <w:color w:val="auto"/>
                <w:highlight w:val="none"/>
              </w:rPr>
              <w:t>①</w:t>
            </w:r>
            <w:r>
              <w:rPr>
                <w:rFonts w:hint="eastAsia"/>
                <w:b w:val="0"/>
                <w:bCs w:val="0"/>
                <w:color w:val="auto"/>
                <w:highlight w:val="none"/>
                <w:lang w:val="en-US" w:eastAsia="zh-CN"/>
              </w:rPr>
              <w:t>混合</w:t>
            </w:r>
          </w:p>
          <w:p w14:paraId="05146E95">
            <w:pPr>
              <w:pStyle w:val="7"/>
              <w:ind w:firstLine="480"/>
              <w:rPr>
                <w:rFonts w:hint="default"/>
                <w:b/>
                <w:bCs/>
                <w:color w:val="auto"/>
                <w:highlight w:val="none"/>
                <w:lang w:val="en-US" w:eastAsia="zh-CN"/>
              </w:rPr>
            </w:pPr>
            <w:r>
              <w:rPr>
                <w:rFonts w:hint="eastAsia"/>
                <w:color w:val="auto"/>
                <w:highlight w:val="none"/>
                <w:lang w:val="en-US" w:eastAsia="zh-CN"/>
              </w:rPr>
              <w:t>将</w:t>
            </w:r>
            <w:r>
              <w:rPr>
                <w:rFonts w:hint="eastAsia"/>
                <w:color w:val="auto"/>
                <w:highlight w:val="none"/>
                <w:lang w:val="en-US" w:eastAsia="zh-CN"/>
              </w:rPr>
              <w:t>碳化硅/金刚石颗粒</w:t>
            </w:r>
            <w:r>
              <w:rPr>
                <w:rFonts w:hint="eastAsia"/>
                <w:color w:val="auto"/>
                <w:highlight w:val="none"/>
                <w:lang w:val="en-US" w:eastAsia="zh-CN"/>
              </w:rPr>
              <w:t>、辅料（水玻璃、聚乙烯醇粉末、乳蜡、氧化钇粉末、氧化铝粉末、氧化锆粉末、氧化锌粉末）人工依次加入三维运动混料机中进行预搅拌，</w:t>
            </w:r>
            <w:r>
              <w:rPr>
                <w:rFonts w:hint="eastAsia"/>
                <w:color w:val="auto"/>
                <w:highlight w:val="none"/>
                <w:lang w:val="en-US" w:eastAsia="zh-CN"/>
              </w:rPr>
              <w:t>本项目设两台三维运动混料机，人工交替上料，上料时将脉冲净化器配套喇叭口移动至进行上料工序的三维运动混料机进料口上方</w:t>
            </w:r>
            <w:r>
              <w:rPr>
                <w:rFonts w:hint="eastAsia"/>
                <w:color w:val="auto"/>
                <w:highlight w:val="none"/>
                <w:lang w:val="en-US" w:eastAsia="zh-CN"/>
              </w:rPr>
              <w:t>；预搅拌后的物料收集后，</w:t>
            </w:r>
            <w:r>
              <w:rPr>
                <w:rFonts w:hint="eastAsia"/>
                <w:color w:val="auto"/>
                <w:highlight w:val="none"/>
                <w:lang w:val="en-US" w:eastAsia="zh-CN"/>
              </w:rPr>
              <w:t>用封闭桶</w:t>
            </w:r>
            <w:r>
              <w:rPr>
                <w:rFonts w:hint="eastAsia"/>
                <w:color w:val="auto"/>
                <w:highlight w:val="none"/>
                <w:lang w:val="en-US" w:eastAsia="zh-CN"/>
              </w:rPr>
              <w:t>人工转运至搅拌罐中进行高温初步混合，搅拌温度为50-70℃，采用电加热，将初步混合后的湿物料收集后，</w:t>
            </w:r>
            <w:r>
              <w:rPr>
                <w:rFonts w:hint="eastAsia"/>
                <w:color w:val="auto"/>
                <w:highlight w:val="none"/>
                <w:lang w:val="en-US" w:eastAsia="zh-CN"/>
              </w:rPr>
              <w:t>用封闭桶</w:t>
            </w:r>
            <w:r>
              <w:rPr>
                <w:rFonts w:hint="eastAsia"/>
                <w:color w:val="auto"/>
                <w:highlight w:val="none"/>
                <w:lang w:val="en-US" w:eastAsia="zh-CN"/>
              </w:rPr>
              <w:t>人工转运至球磨机，进一步将</w:t>
            </w:r>
            <w:r>
              <w:rPr>
                <w:rFonts w:hint="eastAsia"/>
                <w:color w:val="auto"/>
                <w:highlight w:val="none"/>
                <w:lang w:val="en-US" w:eastAsia="zh-CN"/>
              </w:rPr>
              <w:t>湿物料</w:t>
            </w:r>
            <w:r>
              <w:rPr>
                <w:rFonts w:hint="eastAsia"/>
                <w:color w:val="auto"/>
                <w:highlight w:val="none"/>
                <w:lang w:val="en-US" w:eastAsia="zh-CN"/>
              </w:rPr>
              <w:t>充分混合。</w:t>
            </w:r>
            <w:r>
              <w:rPr>
                <w:rFonts w:hint="eastAsia"/>
                <w:b/>
                <w:bCs/>
                <w:color w:val="auto"/>
                <w:highlight w:val="none"/>
                <w:lang w:val="en-US" w:eastAsia="zh-CN"/>
              </w:rPr>
              <w:t>此过程有上料粉尘、</w:t>
            </w:r>
            <w:r>
              <w:rPr>
                <w:rFonts w:hint="eastAsia"/>
                <w:b/>
                <w:bCs/>
                <w:color w:val="auto"/>
                <w:highlight w:val="none"/>
                <w:lang w:val="en-US" w:eastAsia="zh-CN"/>
              </w:rPr>
              <w:t>非甲烷总烃</w:t>
            </w:r>
            <w:r>
              <w:rPr>
                <w:rFonts w:hint="eastAsia"/>
                <w:b/>
                <w:bCs/>
                <w:color w:val="auto"/>
                <w:highlight w:val="none"/>
                <w:lang w:val="en-US" w:eastAsia="zh-CN"/>
              </w:rPr>
              <w:t>、机械噪声产生。</w:t>
            </w:r>
          </w:p>
          <w:p w14:paraId="1DB435BB">
            <w:pPr>
              <w:pStyle w:val="7"/>
              <w:ind w:firstLine="482"/>
              <w:rPr>
                <w:rFonts w:hint="default" w:eastAsia="宋体"/>
                <w:b w:val="0"/>
                <w:bCs w:val="0"/>
                <w:color w:val="auto"/>
                <w:highlight w:val="none"/>
                <w:lang w:val="en-US" w:eastAsia="zh-CN"/>
              </w:rPr>
            </w:pPr>
            <w:r>
              <w:rPr>
                <w:rFonts w:hint="eastAsia"/>
                <w:b w:val="0"/>
                <w:bCs w:val="0"/>
                <w:color w:val="auto"/>
                <w:highlight w:val="none"/>
              </w:rPr>
              <w:t>②</w:t>
            </w:r>
            <w:r>
              <w:rPr>
                <w:rFonts w:hint="eastAsia"/>
                <w:b w:val="0"/>
                <w:bCs w:val="0"/>
                <w:color w:val="auto"/>
                <w:highlight w:val="none"/>
                <w:lang w:val="en-US" w:eastAsia="zh-CN"/>
              </w:rPr>
              <w:t>表面烘干</w:t>
            </w:r>
          </w:p>
          <w:p w14:paraId="7A5E1FD2">
            <w:pPr>
              <w:pStyle w:val="7"/>
              <w:ind w:firstLine="480"/>
              <w:rPr>
                <w:rFonts w:hint="default" w:eastAsia="宋体"/>
                <w:color w:val="auto"/>
                <w:highlight w:val="none"/>
                <w:lang w:val="en-US" w:eastAsia="zh-CN"/>
              </w:rPr>
            </w:pPr>
            <w:r>
              <w:rPr>
                <w:rFonts w:hint="eastAsia"/>
                <w:color w:val="auto"/>
                <w:highlight w:val="none"/>
                <w:lang w:val="en-US" w:eastAsia="zh-CN"/>
              </w:rPr>
              <w:t>将充分混合后的物料收集后先进入高速混合机处理后，再</w:t>
            </w:r>
            <w:r>
              <w:rPr>
                <w:rFonts w:hint="eastAsia"/>
                <w:color w:val="auto"/>
                <w:highlight w:val="none"/>
                <w:lang w:val="en-US" w:eastAsia="zh-CN"/>
              </w:rPr>
              <w:t>用封闭桶</w:t>
            </w:r>
            <w:r>
              <w:rPr>
                <w:rFonts w:hint="eastAsia"/>
                <w:color w:val="auto"/>
                <w:highlight w:val="none"/>
                <w:lang w:val="en-US" w:eastAsia="zh-CN"/>
              </w:rPr>
              <w:t>人工转运至热风循环烘箱中进行表面烘干，控制温度为30-40℃，控制含水率为50-70%，直至满足要求。</w:t>
            </w:r>
            <w:r>
              <w:rPr>
                <w:rFonts w:hint="eastAsia"/>
                <w:b/>
                <w:bCs/>
                <w:color w:val="auto"/>
                <w:highlight w:val="none"/>
                <w:lang w:val="en-US" w:eastAsia="zh-CN"/>
              </w:rPr>
              <w:t>此过程有</w:t>
            </w:r>
            <w:r>
              <w:rPr>
                <w:rFonts w:hint="eastAsia"/>
                <w:b/>
                <w:bCs/>
                <w:color w:val="auto"/>
                <w:highlight w:val="none"/>
                <w:lang w:val="en-US" w:eastAsia="zh-CN"/>
              </w:rPr>
              <w:t>非甲烷总烃</w:t>
            </w:r>
            <w:r>
              <w:rPr>
                <w:rFonts w:hint="eastAsia"/>
                <w:b/>
                <w:bCs/>
                <w:color w:val="auto"/>
                <w:highlight w:val="none"/>
                <w:lang w:val="en-US" w:eastAsia="zh-CN"/>
              </w:rPr>
              <w:t>、机械噪声产生。</w:t>
            </w:r>
          </w:p>
          <w:p w14:paraId="1EFEC051">
            <w:pPr>
              <w:pStyle w:val="7"/>
              <w:ind w:firstLine="482"/>
              <w:rPr>
                <w:rFonts w:hint="default" w:eastAsia="宋体"/>
                <w:b w:val="0"/>
                <w:bCs w:val="0"/>
                <w:color w:val="auto"/>
                <w:highlight w:val="none"/>
                <w:lang w:val="en-US" w:eastAsia="zh-CN"/>
              </w:rPr>
            </w:pPr>
            <w:r>
              <w:rPr>
                <w:rFonts w:hint="eastAsia"/>
                <w:b w:val="0"/>
                <w:bCs w:val="0"/>
                <w:color w:val="auto"/>
                <w:highlight w:val="none"/>
              </w:rPr>
              <w:t>③</w:t>
            </w:r>
            <w:r>
              <w:rPr>
                <w:rFonts w:hint="eastAsia"/>
                <w:b w:val="0"/>
                <w:bCs w:val="0"/>
                <w:color w:val="auto"/>
                <w:highlight w:val="none"/>
                <w:lang w:val="en-US" w:eastAsia="zh-CN"/>
              </w:rPr>
              <w:t>第一次入模压制</w:t>
            </w:r>
          </w:p>
          <w:p w14:paraId="6801FE06">
            <w:pPr>
              <w:pStyle w:val="7"/>
              <w:ind w:firstLine="480"/>
              <w:rPr>
                <w:rFonts w:hint="default" w:eastAsia="宋体"/>
                <w:color w:val="auto"/>
                <w:highlight w:val="none"/>
                <w:lang w:val="en-US" w:eastAsia="zh-CN"/>
              </w:rPr>
            </w:pPr>
            <w:r>
              <w:rPr>
                <w:rFonts w:hint="eastAsia"/>
                <w:color w:val="auto"/>
                <w:highlight w:val="none"/>
                <w:lang w:val="en-US" w:eastAsia="zh-CN"/>
              </w:rPr>
              <w:t>将表面处理后的物料收集后，</w:t>
            </w:r>
            <w:r>
              <w:rPr>
                <w:rFonts w:hint="eastAsia"/>
                <w:color w:val="auto"/>
                <w:highlight w:val="none"/>
                <w:lang w:val="en-US" w:eastAsia="zh-CN"/>
              </w:rPr>
              <w:t>用封闭桶</w:t>
            </w:r>
            <w:r>
              <w:rPr>
                <w:rFonts w:hint="eastAsia"/>
                <w:color w:val="auto"/>
                <w:highlight w:val="none"/>
                <w:lang w:val="en-US" w:eastAsia="zh-CN"/>
              </w:rPr>
              <w:t>人工转运放入模具中进行第一次入模压制，进行压机作业，</w:t>
            </w:r>
            <w:r>
              <w:rPr>
                <w:rFonts w:hint="eastAsia"/>
                <w:color w:val="auto"/>
                <w:highlight w:val="none"/>
                <w:lang w:val="en-US" w:eastAsia="zh-CN"/>
              </w:rPr>
              <w:t>真空压力浸渗，</w:t>
            </w:r>
            <w:r>
              <w:rPr>
                <w:rFonts w:hint="eastAsia"/>
                <w:color w:val="auto"/>
                <w:highlight w:val="none"/>
                <w:lang w:val="en-US" w:eastAsia="zh-CN"/>
              </w:rPr>
              <w:t>设置压力为20-24MPa，压制时间为120-240min，直至满足要求后进行拆模、修整。</w:t>
            </w:r>
            <w:r>
              <w:rPr>
                <w:rFonts w:hint="eastAsia"/>
                <w:b w:val="0"/>
                <w:bCs w:val="0"/>
                <w:color w:val="auto"/>
                <w:highlight w:val="none"/>
              </w:rPr>
              <w:t>真空压力浸渗的核心原理是借助真空脱气与压力推动的协同作用，搭配润湿、毛细现象和吸附作用，让低粘度浸渗剂渗入材料微孔，固化后完成密封或性能改良</w:t>
            </w:r>
            <w:r>
              <w:rPr>
                <w:rFonts w:hint="eastAsia"/>
                <w:color w:val="auto"/>
                <w:highlight w:val="none"/>
                <w:lang w:val="en-US" w:eastAsia="zh-CN"/>
              </w:rPr>
              <w:t>。</w:t>
            </w:r>
            <w:r>
              <w:rPr>
                <w:rFonts w:hint="eastAsia"/>
                <w:b/>
                <w:bCs/>
                <w:color w:val="auto"/>
                <w:highlight w:val="none"/>
                <w:lang w:val="en-US" w:eastAsia="zh-CN"/>
              </w:rPr>
              <w:t>此过程有机械噪声、废模具产生、废边角料。</w:t>
            </w:r>
          </w:p>
          <w:p w14:paraId="66695631">
            <w:pPr>
              <w:pStyle w:val="7"/>
              <w:ind w:firstLine="482"/>
              <w:rPr>
                <w:rFonts w:hint="eastAsia" w:eastAsia="宋体"/>
                <w:b w:val="0"/>
                <w:bCs w:val="0"/>
                <w:color w:val="auto"/>
                <w:highlight w:val="none"/>
                <w:lang w:val="en-US" w:eastAsia="zh-CN"/>
              </w:rPr>
            </w:pPr>
            <w:r>
              <w:rPr>
                <w:b w:val="0"/>
                <w:bCs w:val="0"/>
                <w:color w:val="auto"/>
                <w:highlight w:val="none"/>
              </w:rPr>
              <w:t>④</w:t>
            </w:r>
            <w:r>
              <w:rPr>
                <w:rFonts w:hint="eastAsia"/>
                <w:b w:val="0"/>
                <w:bCs w:val="0"/>
                <w:color w:val="auto"/>
                <w:highlight w:val="none"/>
                <w:lang w:val="en-US" w:eastAsia="zh-CN"/>
              </w:rPr>
              <w:t>第一次热处理</w:t>
            </w:r>
          </w:p>
          <w:p w14:paraId="7B9B1370">
            <w:pPr>
              <w:pStyle w:val="7"/>
              <w:ind w:firstLine="480"/>
              <w:rPr>
                <w:color w:val="auto"/>
                <w:highlight w:val="none"/>
              </w:rPr>
            </w:pPr>
            <w:r>
              <w:rPr>
                <w:rFonts w:hint="eastAsia"/>
                <w:color w:val="auto"/>
                <w:highlight w:val="none"/>
                <w:lang w:val="en-US" w:eastAsia="zh-CN"/>
              </w:rPr>
              <w:t>将第一次入模压制完成后的物料收集后，</w:t>
            </w:r>
            <w:r>
              <w:rPr>
                <w:rFonts w:hint="eastAsia"/>
                <w:color w:val="auto"/>
                <w:highlight w:val="none"/>
                <w:lang w:val="en-US" w:eastAsia="zh-CN"/>
              </w:rPr>
              <w:t>用封闭桶</w:t>
            </w:r>
            <w:r>
              <w:rPr>
                <w:rFonts w:hint="eastAsia"/>
                <w:color w:val="auto"/>
                <w:highlight w:val="none"/>
                <w:lang w:val="en-US" w:eastAsia="zh-CN"/>
              </w:rPr>
              <w:t>人工转运至电阻炉中进行第一次热处理，采用电加热，加热温度为100-150℃。</w:t>
            </w:r>
            <w:r>
              <w:rPr>
                <w:rFonts w:hint="eastAsia"/>
                <w:b w:val="0"/>
                <w:bCs w:val="0"/>
                <w:color w:val="auto"/>
                <w:highlight w:val="none"/>
                <w:lang w:val="en-US" w:eastAsia="zh-CN"/>
              </w:rPr>
              <w:t>第一次</w:t>
            </w:r>
            <w:r>
              <w:rPr>
                <w:rFonts w:hint="eastAsia"/>
                <w:color w:val="auto"/>
                <w:highlight w:val="none"/>
                <w:lang w:val="en-US" w:eastAsia="zh-CN"/>
              </w:rPr>
              <w:t>热处理混合物料内部结构发生物理变化确保强度等机械性能指标满足初步需求后形成坯体</w:t>
            </w:r>
            <w:r>
              <w:rPr>
                <w:rFonts w:hint="eastAsia"/>
                <w:color w:val="auto"/>
                <w:highlight w:val="none"/>
                <w:lang w:val="en-US" w:eastAsia="zh-CN"/>
              </w:rPr>
              <w:t>。</w:t>
            </w:r>
            <w:r>
              <w:rPr>
                <w:rFonts w:hint="eastAsia"/>
                <w:b/>
                <w:bCs/>
                <w:color w:val="auto"/>
                <w:highlight w:val="none"/>
                <w:lang w:val="en-US" w:eastAsia="zh-CN"/>
              </w:rPr>
              <w:t>此过程有</w:t>
            </w:r>
            <w:r>
              <w:rPr>
                <w:rFonts w:hint="eastAsia"/>
                <w:b/>
                <w:bCs/>
                <w:color w:val="auto"/>
                <w:highlight w:val="none"/>
                <w:lang w:val="en-US" w:eastAsia="zh-CN"/>
              </w:rPr>
              <w:t>非甲烷总烃</w:t>
            </w:r>
            <w:r>
              <w:rPr>
                <w:rFonts w:hint="eastAsia"/>
                <w:b/>
                <w:bCs/>
                <w:color w:val="auto"/>
                <w:highlight w:val="none"/>
                <w:lang w:val="en-US" w:eastAsia="zh-CN"/>
              </w:rPr>
              <w:t>、机械噪声产生。</w:t>
            </w:r>
          </w:p>
          <w:p w14:paraId="1957DA40">
            <w:pPr>
              <w:pStyle w:val="7"/>
              <w:ind w:firstLine="482"/>
              <w:rPr>
                <w:rFonts w:hint="default" w:eastAsia="宋体"/>
                <w:b w:val="0"/>
                <w:bCs w:val="0"/>
                <w:color w:val="auto"/>
                <w:highlight w:val="none"/>
                <w:lang w:val="en-US" w:eastAsia="zh-CN"/>
              </w:rPr>
            </w:pPr>
            <w:r>
              <w:rPr>
                <w:b w:val="0"/>
                <w:bCs w:val="0"/>
                <w:color w:val="auto"/>
                <w:highlight w:val="none"/>
              </w:rPr>
              <w:t>⑤</w:t>
            </w:r>
            <w:r>
              <w:rPr>
                <w:rFonts w:hint="eastAsia"/>
                <w:b w:val="0"/>
                <w:bCs w:val="0"/>
                <w:color w:val="auto"/>
                <w:highlight w:val="none"/>
                <w:lang w:val="en-US" w:eastAsia="zh-CN"/>
              </w:rPr>
              <w:t>反应复合</w:t>
            </w:r>
          </w:p>
          <w:p w14:paraId="7F1BC4A5">
            <w:pPr>
              <w:pStyle w:val="7"/>
              <w:ind w:firstLine="480"/>
              <w:rPr>
                <w:rFonts w:hint="default" w:eastAsia="宋体"/>
                <w:color w:val="auto"/>
                <w:highlight w:val="none"/>
                <w:lang w:val="en-US" w:eastAsia="zh-CN"/>
              </w:rPr>
            </w:pPr>
            <w:r>
              <w:rPr>
                <w:rFonts w:hint="eastAsia"/>
                <w:color w:val="auto"/>
                <w:highlight w:val="none"/>
                <w:lang w:val="en-US" w:eastAsia="zh-CN"/>
              </w:rPr>
              <w:t>将坯体收集</w:t>
            </w:r>
            <w:r>
              <w:rPr>
                <w:rFonts w:hint="eastAsia"/>
                <w:color w:val="auto"/>
                <w:highlight w:val="none"/>
                <w:lang w:val="en-US" w:eastAsia="zh-CN"/>
              </w:rPr>
              <w:t>用封闭桶</w:t>
            </w:r>
            <w:r>
              <w:rPr>
                <w:rFonts w:hint="eastAsia"/>
                <w:color w:val="auto"/>
                <w:highlight w:val="none"/>
                <w:lang w:val="en-US" w:eastAsia="zh-CN"/>
              </w:rPr>
              <w:t>人工转运至反应罐，加入合规铝合金后进行反应复合处理，设置电流为20-30A、压力为-0.1MPa，</w:t>
            </w:r>
            <w:r>
              <w:rPr>
                <w:rFonts w:hint="eastAsia"/>
                <w:color w:val="auto"/>
                <w:highlight w:val="none"/>
                <w:lang w:val="en-US" w:eastAsia="zh-CN"/>
              </w:rPr>
              <w:t>反应复合工序使坯体内部结构发生物理变化确保强度等机械性能指标满足需求形成复合材料坯体，本项目反应复合工序不涉及化学反应</w:t>
            </w:r>
            <w:r>
              <w:rPr>
                <w:rFonts w:hint="eastAsia"/>
                <w:color w:val="auto"/>
                <w:highlight w:val="none"/>
                <w:lang w:val="en-US" w:eastAsia="zh-CN"/>
              </w:rPr>
              <w:t>。</w:t>
            </w:r>
            <w:r>
              <w:rPr>
                <w:rFonts w:hint="eastAsia"/>
                <w:b/>
                <w:bCs/>
                <w:color w:val="auto"/>
                <w:highlight w:val="none"/>
                <w:lang w:val="en-US" w:eastAsia="zh-CN"/>
              </w:rPr>
              <w:t>此过程有</w:t>
            </w:r>
            <w:r>
              <w:rPr>
                <w:rFonts w:hint="eastAsia"/>
                <w:b/>
                <w:bCs/>
                <w:color w:val="auto"/>
                <w:highlight w:val="none"/>
                <w:lang w:val="en-US" w:eastAsia="zh-CN"/>
              </w:rPr>
              <w:t>非甲烷总烃</w:t>
            </w:r>
            <w:r>
              <w:rPr>
                <w:rFonts w:hint="eastAsia"/>
                <w:b/>
                <w:bCs/>
                <w:color w:val="auto"/>
                <w:highlight w:val="none"/>
                <w:lang w:val="en-US" w:eastAsia="zh-CN"/>
              </w:rPr>
              <w:t>、机械噪声、废铝合金产生。</w:t>
            </w:r>
          </w:p>
          <w:p w14:paraId="3F6D0FC4">
            <w:pPr>
              <w:pStyle w:val="7"/>
              <w:ind w:firstLine="482"/>
              <w:rPr>
                <w:rFonts w:hint="eastAsia" w:eastAsia="宋体"/>
                <w:b w:val="0"/>
                <w:bCs w:val="0"/>
                <w:color w:val="auto"/>
                <w:highlight w:val="none"/>
                <w:lang w:val="en-US" w:eastAsia="zh-CN"/>
              </w:rPr>
            </w:pPr>
            <w:r>
              <w:rPr>
                <w:rFonts w:hint="eastAsia"/>
                <w:b w:val="0"/>
                <w:bCs w:val="0"/>
                <w:color w:val="auto"/>
                <w:highlight w:val="none"/>
                <w:lang w:val="en-US" w:eastAsia="zh-CN"/>
              </w:rPr>
              <w:t>⑥第二次入模压制</w:t>
            </w:r>
          </w:p>
          <w:p w14:paraId="702FECF4">
            <w:pPr>
              <w:pStyle w:val="7"/>
              <w:ind w:firstLine="480"/>
              <w:rPr>
                <w:rFonts w:hint="eastAsia"/>
                <w:color w:val="auto"/>
                <w:highlight w:val="none"/>
              </w:rPr>
            </w:pPr>
            <w:r>
              <w:rPr>
                <w:rFonts w:hint="eastAsia"/>
                <w:color w:val="auto"/>
                <w:highlight w:val="none"/>
                <w:lang w:val="en-US" w:eastAsia="zh-CN"/>
              </w:rPr>
              <w:t>将第一次热处理完成后的物料收集后，</w:t>
            </w:r>
            <w:r>
              <w:rPr>
                <w:rFonts w:hint="eastAsia"/>
                <w:color w:val="auto"/>
                <w:highlight w:val="none"/>
                <w:lang w:val="en-US" w:eastAsia="zh-CN"/>
              </w:rPr>
              <w:t>用封闭桶</w:t>
            </w:r>
            <w:r>
              <w:rPr>
                <w:rFonts w:hint="eastAsia"/>
                <w:color w:val="auto"/>
                <w:highlight w:val="none"/>
                <w:lang w:val="en-US" w:eastAsia="zh-CN"/>
              </w:rPr>
              <w:t>人工转运放入模具中进行第二次入模压制，压机作业，设置压力为20-24MPa，压制时间为120-240min，直至满足要求后进行拆模、修整。</w:t>
            </w:r>
            <w:r>
              <w:rPr>
                <w:rFonts w:hint="eastAsia"/>
                <w:b/>
                <w:bCs/>
                <w:color w:val="auto"/>
                <w:highlight w:val="none"/>
                <w:lang w:val="en-US" w:eastAsia="zh-CN"/>
              </w:rPr>
              <w:t>此过程有机械噪声、废模具产生、废边角料。</w:t>
            </w:r>
          </w:p>
          <w:p w14:paraId="30B66F59">
            <w:pPr>
              <w:pStyle w:val="7"/>
              <w:ind w:firstLine="482"/>
              <w:rPr>
                <w:rFonts w:hint="eastAsia" w:eastAsia="宋体"/>
                <w:b w:val="0"/>
                <w:bCs w:val="0"/>
                <w:color w:val="auto"/>
                <w:highlight w:val="none"/>
                <w:lang w:val="en-US" w:eastAsia="zh-CN"/>
              </w:rPr>
            </w:pPr>
            <w:r>
              <w:rPr>
                <w:rFonts w:hint="eastAsia"/>
                <w:b w:val="0"/>
                <w:bCs w:val="0"/>
                <w:color w:val="auto"/>
                <w:highlight w:val="none"/>
                <w:lang w:val="en-US" w:eastAsia="zh-CN"/>
              </w:rPr>
              <w:t>⑦第二次热处理</w:t>
            </w:r>
          </w:p>
          <w:p w14:paraId="4D0A8C0C">
            <w:pPr>
              <w:pStyle w:val="7"/>
              <w:ind w:firstLine="480"/>
              <w:rPr>
                <w:color w:val="auto"/>
                <w:highlight w:val="none"/>
              </w:rPr>
            </w:pPr>
            <w:r>
              <w:rPr>
                <w:rFonts w:hint="eastAsia"/>
                <w:color w:val="auto"/>
                <w:highlight w:val="none"/>
                <w:lang w:val="en-US" w:eastAsia="zh-CN"/>
              </w:rPr>
              <w:t>将第二次入模压制完成后的物料收集后，</w:t>
            </w:r>
            <w:r>
              <w:rPr>
                <w:rFonts w:hint="eastAsia"/>
                <w:color w:val="auto"/>
                <w:highlight w:val="none"/>
                <w:lang w:val="en-US" w:eastAsia="zh-CN"/>
              </w:rPr>
              <w:t>用封闭桶</w:t>
            </w:r>
            <w:r>
              <w:rPr>
                <w:rFonts w:hint="eastAsia"/>
                <w:color w:val="auto"/>
                <w:highlight w:val="none"/>
                <w:lang w:val="en-US" w:eastAsia="zh-CN"/>
              </w:rPr>
              <w:t>人工转运至电阻炉（箱式或者井式）中进行第二次热处理，采用电加热，加热温度为100-150℃，</w:t>
            </w:r>
            <w:r>
              <w:rPr>
                <w:rFonts w:hint="eastAsia"/>
                <w:b w:val="0"/>
                <w:bCs w:val="0"/>
                <w:color w:val="auto"/>
                <w:highlight w:val="none"/>
                <w:lang w:val="en-US" w:eastAsia="zh-CN"/>
              </w:rPr>
              <w:t>第二次</w:t>
            </w:r>
            <w:r>
              <w:rPr>
                <w:rFonts w:hint="eastAsia"/>
                <w:color w:val="auto"/>
                <w:highlight w:val="none"/>
                <w:lang w:val="en-US" w:eastAsia="zh-CN"/>
              </w:rPr>
              <w:t>热处理坯体内部结构发生物理变化确保强度等机械性能进一步得到完善</w:t>
            </w:r>
            <w:r>
              <w:rPr>
                <w:rFonts w:hint="eastAsia"/>
                <w:color w:val="auto"/>
                <w:highlight w:val="none"/>
                <w:lang w:val="en-US" w:eastAsia="zh-CN"/>
              </w:rPr>
              <w:t>。</w:t>
            </w:r>
            <w:r>
              <w:rPr>
                <w:rFonts w:hint="eastAsia"/>
                <w:b/>
                <w:bCs/>
                <w:color w:val="auto"/>
                <w:highlight w:val="none"/>
                <w:lang w:val="en-US" w:eastAsia="zh-CN"/>
              </w:rPr>
              <w:t>此过程有</w:t>
            </w:r>
            <w:r>
              <w:rPr>
                <w:rFonts w:hint="eastAsia"/>
                <w:b/>
                <w:bCs/>
                <w:color w:val="auto"/>
                <w:highlight w:val="none"/>
                <w:lang w:val="en-US" w:eastAsia="zh-CN"/>
              </w:rPr>
              <w:t>非甲烷总烃</w:t>
            </w:r>
            <w:r>
              <w:rPr>
                <w:rFonts w:hint="eastAsia"/>
                <w:b/>
                <w:bCs/>
                <w:color w:val="auto"/>
                <w:highlight w:val="none"/>
                <w:lang w:val="en-US" w:eastAsia="zh-CN"/>
              </w:rPr>
              <w:t>、机械噪声产生。</w:t>
            </w:r>
          </w:p>
          <w:p w14:paraId="1996DD88">
            <w:pPr>
              <w:pStyle w:val="7"/>
              <w:ind w:firstLine="480"/>
              <w:rPr>
                <w:rFonts w:hint="default" w:eastAsia="宋体"/>
                <w:color w:val="auto"/>
                <w:highlight w:val="none"/>
                <w:lang w:val="en-US" w:eastAsia="zh-CN"/>
              </w:rPr>
            </w:pPr>
            <w:r>
              <w:rPr>
                <w:rFonts w:hint="eastAsia"/>
                <w:color w:val="auto"/>
                <w:highlight w:val="none"/>
                <w:lang w:val="en-US" w:eastAsia="zh-CN"/>
              </w:rPr>
              <w:t>⑧检验</w:t>
            </w:r>
          </w:p>
          <w:p w14:paraId="749B991C">
            <w:pPr>
              <w:pStyle w:val="7"/>
              <w:ind w:firstLine="480"/>
              <w:rPr>
                <w:rFonts w:hint="eastAsia"/>
                <w:color w:val="auto"/>
                <w:highlight w:val="none"/>
                <w:lang w:val="en-US" w:eastAsia="zh-CN"/>
              </w:rPr>
            </w:pPr>
            <w:r>
              <w:rPr>
                <w:rFonts w:hint="eastAsia"/>
                <w:color w:val="auto"/>
                <w:highlight w:val="none"/>
                <w:lang w:val="en-US" w:eastAsia="zh-CN"/>
              </w:rPr>
              <w:t>将外委机械加工后的成品进行检验，合格的入库待售，</w:t>
            </w:r>
            <w:r>
              <w:rPr>
                <w:rFonts w:hint="eastAsia"/>
                <w:color w:val="auto"/>
                <w:highlight w:val="none"/>
                <w:lang w:val="en-US" w:eastAsia="zh-CN"/>
              </w:rPr>
              <w:t>不合格的送往外委机械加工的单位返工</w:t>
            </w:r>
            <w:r>
              <w:rPr>
                <w:rFonts w:hint="eastAsia"/>
                <w:color w:val="auto"/>
                <w:highlight w:val="none"/>
                <w:lang w:val="en-US" w:eastAsia="zh-CN"/>
              </w:rPr>
              <w:t>。</w:t>
            </w:r>
          </w:p>
          <w:p w14:paraId="086DF888">
            <w:pPr>
              <w:pStyle w:val="7"/>
              <w:ind w:firstLine="480"/>
              <w:rPr>
                <w:color w:val="auto"/>
                <w:highlight w:val="none"/>
              </w:rPr>
            </w:pPr>
            <w:r>
              <w:rPr>
                <w:rFonts w:hint="eastAsia"/>
                <w:color w:val="auto"/>
                <w:highlight w:val="none"/>
              </w:rPr>
              <w:t>项目主要污染物产生情况见表</w:t>
            </w:r>
            <w:r>
              <w:rPr>
                <w:rFonts w:hint="eastAsia"/>
                <w:color w:val="auto"/>
                <w:highlight w:val="none"/>
                <w:lang w:val="en-US" w:eastAsia="zh-CN"/>
              </w:rPr>
              <w:t>2-7。</w:t>
            </w:r>
          </w:p>
          <w:p w14:paraId="7EB8DAE9">
            <w:pPr>
              <w:pStyle w:val="42"/>
              <w:adjustRightInd/>
              <w:snapToGrid/>
              <w:spacing w:line="240" w:lineRule="auto"/>
              <w:ind w:firstLine="482"/>
              <w:jc w:val="center"/>
              <w:rPr>
                <w:rFonts w:hAnsi="Times New Roman" w:cs="Times New Roman"/>
                <w:b/>
                <w:bCs/>
                <w:color w:val="auto"/>
                <w:kern w:val="21"/>
                <w:highlight w:val="none"/>
              </w:rPr>
            </w:pPr>
            <w:r>
              <w:rPr>
                <w:rFonts w:hAnsi="Times New Roman" w:cs="Times New Roman"/>
                <w:b/>
                <w:bCs/>
                <w:color w:val="auto"/>
                <w:kern w:val="21"/>
                <w:highlight w:val="none"/>
              </w:rPr>
              <w:t>表2-</w:t>
            </w:r>
            <w:r>
              <w:rPr>
                <w:rFonts w:hint="eastAsia" w:hAnsi="Times New Roman" w:cs="Times New Roman"/>
                <w:b/>
                <w:bCs/>
                <w:color w:val="auto"/>
                <w:kern w:val="21"/>
                <w:highlight w:val="none"/>
              </w:rPr>
              <w:t>7</w:t>
            </w:r>
            <w:r>
              <w:rPr>
                <w:rFonts w:hAnsi="Times New Roman" w:cs="Times New Roman"/>
                <w:b/>
                <w:bCs/>
                <w:color w:val="auto"/>
                <w:kern w:val="21"/>
                <w:highlight w:val="none"/>
              </w:rPr>
              <w:t xml:space="preserve"> 本项目主要污染工序一览表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1870"/>
              <w:gridCol w:w="1773"/>
              <w:gridCol w:w="3195"/>
            </w:tblGrid>
            <w:tr w14:paraId="062BA3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noWrap w:val="0"/>
                  <w:vAlign w:val="center"/>
                </w:tcPr>
                <w:p w14:paraId="49D17221">
                  <w:pPr>
                    <w:jc w:val="center"/>
                    <w:rPr>
                      <w:b/>
                      <w:bCs/>
                      <w:color w:val="auto"/>
                      <w:szCs w:val="21"/>
                      <w:highlight w:val="none"/>
                    </w:rPr>
                  </w:pPr>
                  <w:r>
                    <w:rPr>
                      <w:b/>
                      <w:bCs/>
                      <w:color w:val="auto"/>
                      <w:szCs w:val="21"/>
                      <w:highlight w:val="none"/>
                    </w:rPr>
                    <w:t>污染类别</w:t>
                  </w:r>
                </w:p>
              </w:tc>
              <w:tc>
                <w:tcPr>
                  <w:tcW w:w="1177" w:type="pct"/>
                  <w:noWrap w:val="0"/>
                  <w:vAlign w:val="center"/>
                </w:tcPr>
                <w:p w14:paraId="3E7EB943">
                  <w:pPr>
                    <w:jc w:val="center"/>
                    <w:rPr>
                      <w:b/>
                      <w:bCs/>
                      <w:color w:val="auto"/>
                      <w:szCs w:val="21"/>
                      <w:highlight w:val="none"/>
                    </w:rPr>
                  </w:pPr>
                  <w:r>
                    <w:rPr>
                      <w:rFonts w:hint="eastAsia"/>
                      <w:b/>
                      <w:bCs/>
                      <w:color w:val="auto"/>
                      <w:szCs w:val="21"/>
                      <w:highlight w:val="none"/>
                    </w:rPr>
                    <w:t>产污环节</w:t>
                  </w:r>
                </w:p>
              </w:tc>
              <w:tc>
                <w:tcPr>
                  <w:tcW w:w="1116" w:type="pct"/>
                  <w:noWrap w:val="0"/>
                  <w:vAlign w:val="center"/>
                </w:tcPr>
                <w:p w14:paraId="234BE64F">
                  <w:pPr>
                    <w:jc w:val="center"/>
                    <w:rPr>
                      <w:b/>
                      <w:bCs/>
                      <w:color w:val="auto"/>
                      <w:szCs w:val="21"/>
                      <w:highlight w:val="none"/>
                    </w:rPr>
                  </w:pPr>
                  <w:r>
                    <w:rPr>
                      <w:rFonts w:hint="eastAsia"/>
                      <w:b/>
                      <w:bCs/>
                      <w:color w:val="auto"/>
                      <w:szCs w:val="21"/>
                      <w:highlight w:val="none"/>
                    </w:rPr>
                    <w:t>污染物名称</w:t>
                  </w:r>
                </w:p>
              </w:tc>
              <w:tc>
                <w:tcPr>
                  <w:tcW w:w="2011" w:type="pct"/>
                  <w:noWrap w:val="0"/>
                  <w:vAlign w:val="center"/>
                </w:tcPr>
                <w:p w14:paraId="1962B569">
                  <w:pPr>
                    <w:jc w:val="center"/>
                    <w:rPr>
                      <w:b/>
                      <w:bCs/>
                      <w:color w:val="auto"/>
                      <w:szCs w:val="21"/>
                      <w:highlight w:val="none"/>
                    </w:rPr>
                  </w:pPr>
                  <w:r>
                    <w:rPr>
                      <w:b/>
                      <w:bCs/>
                      <w:color w:val="auto"/>
                      <w:szCs w:val="21"/>
                      <w:highlight w:val="none"/>
                    </w:rPr>
                    <w:t>处置方式</w:t>
                  </w:r>
                </w:p>
              </w:tc>
            </w:tr>
            <w:tr w14:paraId="52C9E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restart"/>
                  <w:noWrap w:val="0"/>
                  <w:vAlign w:val="center"/>
                </w:tcPr>
                <w:p w14:paraId="59670C23">
                  <w:pPr>
                    <w:jc w:val="center"/>
                    <w:rPr>
                      <w:color w:val="auto"/>
                      <w:szCs w:val="21"/>
                      <w:highlight w:val="none"/>
                    </w:rPr>
                  </w:pPr>
                  <w:r>
                    <w:rPr>
                      <w:color w:val="auto"/>
                      <w:szCs w:val="21"/>
                      <w:highlight w:val="none"/>
                    </w:rPr>
                    <w:t>废气</w:t>
                  </w:r>
                </w:p>
              </w:tc>
              <w:tc>
                <w:tcPr>
                  <w:tcW w:w="1177" w:type="pct"/>
                  <w:noWrap w:val="0"/>
                  <w:vAlign w:val="center"/>
                </w:tcPr>
                <w:p w14:paraId="0A515C48">
                  <w:pPr>
                    <w:jc w:val="center"/>
                    <w:rPr>
                      <w:rFonts w:hint="eastAsia" w:eastAsia="宋体"/>
                      <w:color w:val="auto"/>
                      <w:szCs w:val="21"/>
                      <w:highlight w:val="none"/>
                      <w:lang w:val="en-US" w:eastAsia="zh-CN"/>
                    </w:rPr>
                  </w:pPr>
                  <w:r>
                    <w:rPr>
                      <w:rFonts w:hint="eastAsia"/>
                      <w:color w:val="auto"/>
                      <w:szCs w:val="21"/>
                      <w:highlight w:val="none"/>
                      <w:lang w:val="en-US" w:eastAsia="zh-CN"/>
                    </w:rPr>
                    <w:t>上料</w:t>
                  </w:r>
                </w:p>
              </w:tc>
              <w:tc>
                <w:tcPr>
                  <w:tcW w:w="1116" w:type="pct"/>
                  <w:noWrap w:val="0"/>
                  <w:vAlign w:val="center"/>
                </w:tcPr>
                <w:p w14:paraId="01572EB6">
                  <w:pPr>
                    <w:jc w:val="center"/>
                    <w:rPr>
                      <w:rFonts w:hint="eastAsia" w:eastAsia="宋体"/>
                      <w:color w:val="auto"/>
                      <w:szCs w:val="21"/>
                      <w:highlight w:val="none"/>
                      <w:lang w:eastAsia="zh-CN"/>
                    </w:rPr>
                  </w:pPr>
                  <w:r>
                    <w:rPr>
                      <w:rFonts w:hint="eastAsia"/>
                      <w:color w:val="auto"/>
                      <w:szCs w:val="21"/>
                      <w:highlight w:val="none"/>
                      <w:lang w:val="en-US" w:eastAsia="zh-CN"/>
                    </w:rPr>
                    <w:t>粉尘</w:t>
                  </w:r>
                </w:p>
              </w:tc>
              <w:tc>
                <w:tcPr>
                  <w:tcW w:w="2011" w:type="pct"/>
                  <w:noWrap w:val="0"/>
                  <w:vAlign w:val="center"/>
                </w:tcPr>
                <w:p w14:paraId="460683D7">
                  <w:pPr>
                    <w:jc w:val="left"/>
                    <w:rPr>
                      <w:color w:val="auto"/>
                      <w:szCs w:val="21"/>
                      <w:highlight w:val="none"/>
                    </w:rPr>
                  </w:pPr>
                  <w:r>
                    <w:rPr>
                      <w:rFonts w:hint="eastAsia"/>
                      <w:color w:val="auto"/>
                      <w:sz w:val="21"/>
                      <w:szCs w:val="21"/>
                      <w:highlight w:val="none"/>
                      <w:lang w:val="en-US" w:eastAsia="zh-CN"/>
                    </w:rPr>
                    <w:t>上料粉尘经脉冲净化器配套喇叭口收集进入脉冲净化器处理后车间无组织排放</w:t>
                  </w:r>
                </w:p>
              </w:tc>
            </w:tr>
            <w:tr w14:paraId="10059F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695" w:type="pct"/>
                  <w:vMerge w:val="continue"/>
                  <w:noWrap w:val="0"/>
                  <w:vAlign w:val="center"/>
                </w:tcPr>
                <w:p w14:paraId="12AE6770">
                  <w:pPr>
                    <w:widowControl/>
                    <w:jc w:val="left"/>
                    <w:rPr>
                      <w:color w:val="auto"/>
                      <w:szCs w:val="21"/>
                      <w:highlight w:val="none"/>
                    </w:rPr>
                  </w:pPr>
                </w:p>
              </w:tc>
              <w:tc>
                <w:tcPr>
                  <w:tcW w:w="1177" w:type="pct"/>
                  <w:noWrap w:val="0"/>
                  <w:vAlign w:val="center"/>
                </w:tcPr>
                <w:p w14:paraId="14887572">
                  <w:pPr>
                    <w:jc w:val="center"/>
                    <w:rPr>
                      <w:rFonts w:hint="default" w:eastAsia="宋体"/>
                      <w:color w:val="auto"/>
                      <w:szCs w:val="21"/>
                      <w:highlight w:val="none"/>
                      <w:lang w:val="en-US" w:eastAsia="zh-CN"/>
                    </w:rPr>
                  </w:pPr>
                  <w:r>
                    <w:rPr>
                      <w:rFonts w:hint="eastAsia"/>
                      <w:color w:val="auto"/>
                      <w:szCs w:val="21"/>
                      <w:highlight w:val="none"/>
                      <w:lang w:val="en-US" w:eastAsia="zh-CN"/>
                    </w:rPr>
                    <w:t>高温混合、表面处理、反应复合、热处理</w:t>
                  </w:r>
                </w:p>
              </w:tc>
              <w:tc>
                <w:tcPr>
                  <w:tcW w:w="1116" w:type="pct"/>
                  <w:noWrap w:val="0"/>
                  <w:vAlign w:val="center"/>
                </w:tcPr>
                <w:p w14:paraId="7B17E1A4">
                  <w:pPr>
                    <w:jc w:val="center"/>
                    <w:rPr>
                      <w:color w:val="auto"/>
                      <w:szCs w:val="21"/>
                      <w:highlight w:val="none"/>
                    </w:rPr>
                  </w:pPr>
                  <w:r>
                    <w:rPr>
                      <w:rFonts w:hint="eastAsia"/>
                      <w:color w:val="auto"/>
                      <w:szCs w:val="21"/>
                      <w:highlight w:val="none"/>
                    </w:rPr>
                    <w:t>非甲烷总烃</w:t>
                  </w:r>
                </w:p>
              </w:tc>
              <w:tc>
                <w:tcPr>
                  <w:tcW w:w="2011" w:type="pct"/>
                  <w:noWrap w:val="0"/>
                  <w:vAlign w:val="center"/>
                </w:tcPr>
                <w:p w14:paraId="4ED60B27">
                  <w:pPr>
                    <w:jc w:val="left"/>
                    <w:rPr>
                      <w:color w:val="auto"/>
                      <w:szCs w:val="21"/>
                      <w:highlight w:val="none"/>
                    </w:rPr>
                  </w:pPr>
                  <w:r>
                    <w:rPr>
                      <w:rFonts w:hint="eastAsia"/>
                      <w:color w:val="auto"/>
                      <w:szCs w:val="21"/>
                      <w:highlight w:val="none"/>
                    </w:rPr>
                    <w:t>有机废气由</w:t>
                  </w:r>
                  <w:r>
                    <w:rPr>
                      <w:rFonts w:hint="eastAsia"/>
                      <w:color w:val="auto"/>
                      <w:szCs w:val="21"/>
                      <w:highlight w:val="none"/>
                      <w:lang w:val="en-US" w:eastAsia="zh-CN"/>
                    </w:rPr>
                    <w:t>10个</w:t>
                  </w:r>
                  <w:r>
                    <w:rPr>
                      <w:rFonts w:hint="eastAsia"/>
                      <w:color w:val="auto"/>
                      <w:szCs w:val="21"/>
                      <w:highlight w:val="none"/>
                    </w:rPr>
                    <w:t>集气罩收集进入</w:t>
                  </w:r>
                  <w:r>
                    <w:rPr>
                      <w:rFonts w:hint="eastAsia"/>
                      <w:color w:val="auto"/>
                      <w:szCs w:val="21"/>
                      <w:highlight w:val="none"/>
                      <w:lang w:val="en-US" w:eastAsia="zh-CN"/>
                    </w:rPr>
                    <w:t>二级</w:t>
                  </w:r>
                  <w:r>
                    <w:rPr>
                      <w:rFonts w:hint="eastAsia"/>
                      <w:color w:val="auto"/>
                      <w:szCs w:val="21"/>
                      <w:highlight w:val="none"/>
                    </w:rPr>
                    <w:t>活性炭装置处理后通过</w:t>
                  </w:r>
                  <w:r>
                    <w:rPr>
                      <w:rFonts w:hint="eastAsia"/>
                      <w:color w:val="auto"/>
                      <w:szCs w:val="21"/>
                      <w:highlight w:val="none"/>
                      <w:lang w:val="en-US" w:eastAsia="zh-CN"/>
                    </w:rPr>
                    <w:t>1根</w:t>
                  </w:r>
                  <w:r>
                    <w:rPr>
                      <w:rFonts w:hint="eastAsia"/>
                      <w:color w:val="auto"/>
                      <w:szCs w:val="21"/>
                      <w:highlight w:val="none"/>
                    </w:rPr>
                    <w:t>1</w:t>
                  </w:r>
                  <w:r>
                    <w:rPr>
                      <w:rFonts w:hint="eastAsia"/>
                      <w:color w:val="auto"/>
                      <w:szCs w:val="21"/>
                      <w:highlight w:val="none"/>
                      <w:lang w:val="en-US" w:eastAsia="zh-CN"/>
                    </w:rPr>
                    <w:t>8.5</w:t>
                  </w:r>
                  <w:r>
                    <w:rPr>
                      <w:rFonts w:hint="eastAsia"/>
                      <w:color w:val="auto"/>
                      <w:szCs w:val="21"/>
                      <w:highlight w:val="none"/>
                    </w:rPr>
                    <w:t>m高排气筒（DA001）达标排放</w:t>
                  </w:r>
                </w:p>
              </w:tc>
            </w:tr>
            <w:tr w14:paraId="53CD9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0" w:hRule="atLeast"/>
                <w:jc w:val="center"/>
              </w:trPr>
              <w:tc>
                <w:tcPr>
                  <w:tcW w:w="695" w:type="pct"/>
                  <w:noWrap w:val="0"/>
                  <w:vAlign w:val="center"/>
                </w:tcPr>
                <w:p w14:paraId="5C4713B8">
                  <w:pPr>
                    <w:widowControl/>
                    <w:jc w:val="center"/>
                    <w:rPr>
                      <w:color w:val="auto"/>
                      <w:szCs w:val="21"/>
                      <w:highlight w:val="none"/>
                    </w:rPr>
                  </w:pPr>
                  <w:r>
                    <w:rPr>
                      <w:color w:val="auto"/>
                      <w:szCs w:val="21"/>
                      <w:highlight w:val="none"/>
                    </w:rPr>
                    <w:t>废水</w:t>
                  </w:r>
                </w:p>
              </w:tc>
              <w:tc>
                <w:tcPr>
                  <w:tcW w:w="1177" w:type="pct"/>
                  <w:noWrap w:val="0"/>
                  <w:vAlign w:val="center"/>
                </w:tcPr>
                <w:p w14:paraId="30FA97F3">
                  <w:pPr>
                    <w:jc w:val="center"/>
                    <w:rPr>
                      <w:color w:val="auto"/>
                      <w:szCs w:val="21"/>
                      <w:highlight w:val="none"/>
                    </w:rPr>
                  </w:pPr>
                  <w:r>
                    <w:rPr>
                      <w:rFonts w:hint="eastAsia"/>
                      <w:color w:val="auto"/>
                      <w:szCs w:val="21"/>
                      <w:highlight w:val="none"/>
                    </w:rPr>
                    <w:t>生活污水</w:t>
                  </w:r>
                </w:p>
              </w:tc>
              <w:tc>
                <w:tcPr>
                  <w:tcW w:w="1116" w:type="pct"/>
                  <w:noWrap w:val="0"/>
                  <w:vAlign w:val="center"/>
                </w:tcPr>
                <w:p w14:paraId="401CFA24">
                  <w:pPr>
                    <w:jc w:val="center"/>
                    <w:rPr>
                      <w:color w:val="auto"/>
                      <w:szCs w:val="21"/>
                      <w:highlight w:val="none"/>
                    </w:rPr>
                  </w:pPr>
                  <w:r>
                    <w:rPr>
                      <w:rFonts w:hint="eastAsia"/>
                      <w:color w:val="auto"/>
                      <w:szCs w:val="21"/>
                      <w:highlight w:val="none"/>
                    </w:rPr>
                    <w:t>员工生活</w:t>
                  </w:r>
                </w:p>
              </w:tc>
              <w:tc>
                <w:tcPr>
                  <w:tcW w:w="2011" w:type="pct"/>
                  <w:noWrap w:val="0"/>
                  <w:vAlign w:val="center"/>
                </w:tcPr>
                <w:p w14:paraId="3BEA6852">
                  <w:pPr>
                    <w:jc w:val="left"/>
                    <w:rPr>
                      <w:color w:val="auto"/>
                      <w:szCs w:val="21"/>
                      <w:highlight w:val="none"/>
                    </w:rPr>
                  </w:pPr>
                  <w:r>
                    <w:rPr>
                      <w:rFonts w:hint="eastAsia"/>
                      <w:color w:val="auto"/>
                      <w:szCs w:val="21"/>
                      <w:highlight w:val="none"/>
                    </w:rPr>
                    <w:t>员工生活污水经化粪池（50m</w:t>
                  </w:r>
                  <w:r>
                    <w:rPr>
                      <w:rFonts w:hint="eastAsia"/>
                      <w:color w:val="auto"/>
                      <w:szCs w:val="21"/>
                      <w:highlight w:val="none"/>
                      <w:vertAlign w:val="superscript"/>
                    </w:rPr>
                    <w:t>3</w:t>
                  </w:r>
                  <w:r>
                    <w:rPr>
                      <w:rFonts w:hint="eastAsia"/>
                      <w:color w:val="auto"/>
                      <w:szCs w:val="21"/>
                      <w:highlight w:val="none"/>
                    </w:rPr>
                    <w:t>，位于车间西北侧）处理后通过市政污水管网排入泾河新城第二污水处理厂集中处理</w:t>
                  </w:r>
                </w:p>
              </w:tc>
            </w:tr>
            <w:tr w14:paraId="6D50EA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noWrap w:val="0"/>
                  <w:vAlign w:val="center"/>
                </w:tcPr>
                <w:p w14:paraId="3616C3EB">
                  <w:pPr>
                    <w:jc w:val="center"/>
                    <w:rPr>
                      <w:color w:val="auto"/>
                      <w:szCs w:val="21"/>
                      <w:highlight w:val="none"/>
                    </w:rPr>
                  </w:pPr>
                  <w:r>
                    <w:rPr>
                      <w:color w:val="auto"/>
                      <w:szCs w:val="21"/>
                      <w:highlight w:val="none"/>
                    </w:rPr>
                    <w:t>噪声</w:t>
                  </w:r>
                </w:p>
              </w:tc>
              <w:tc>
                <w:tcPr>
                  <w:tcW w:w="1177" w:type="pct"/>
                  <w:noWrap w:val="0"/>
                  <w:vAlign w:val="center"/>
                </w:tcPr>
                <w:p w14:paraId="68EF5324">
                  <w:pPr>
                    <w:jc w:val="center"/>
                    <w:rPr>
                      <w:color w:val="auto"/>
                      <w:szCs w:val="21"/>
                      <w:highlight w:val="none"/>
                    </w:rPr>
                  </w:pPr>
                  <w:r>
                    <w:rPr>
                      <w:rFonts w:hint="eastAsia"/>
                      <w:color w:val="auto"/>
                      <w:szCs w:val="21"/>
                      <w:highlight w:val="none"/>
                    </w:rPr>
                    <w:t>生产环节</w:t>
                  </w:r>
                </w:p>
              </w:tc>
              <w:tc>
                <w:tcPr>
                  <w:tcW w:w="1116" w:type="pct"/>
                  <w:noWrap w:val="0"/>
                  <w:vAlign w:val="center"/>
                </w:tcPr>
                <w:p w14:paraId="69C008AB">
                  <w:pPr>
                    <w:jc w:val="center"/>
                    <w:rPr>
                      <w:color w:val="auto"/>
                      <w:szCs w:val="21"/>
                      <w:highlight w:val="none"/>
                    </w:rPr>
                  </w:pPr>
                  <w:r>
                    <w:rPr>
                      <w:rFonts w:hint="eastAsia"/>
                      <w:color w:val="auto"/>
                      <w:szCs w:val="21"/>
                      <w:highlight w:val="none"/>
                    </w:rPr>
                    <w:t>设备噪声</w:t>
                  </w:r>
                </w:p>
              </w:tc>
              <w:tc>
                <w:tcPr>
                  <w:tcW w:w="2011" w:type="pct"/>
                  <w:noWrap w:val="0"/>
                  <w:vAlign w:val="center"/>
                </w:tcPr>
                <w:p w14:paraId="09FD8575">
                  <w:pPr>
                    <w:jc w:val="left"/>
                    <w:rPr>
                      <w:color w:val="auto"/>
                      <w:szCs w:val="21"/>
                      <w:highlight w:val="none"/>
                    </w:rPr>
                  </w:pPr>
                  <w:r>
                    <w:rPr>
                      <w:rFonts w:hint="eastAsia"/>
                      <w:color w:val="auto"/>
                      <w:szCs w:val="21"/>
                      <w:highlight w:val="none"/>
                    </w:rPr>
                    <w:t>基础减振、</w:t>
                  </w:r>
                  <w:r>
                    <w:rPr>
                      <w:rFonts w:hint="eastAsia"/>
                      <w:color w:val="auto"/>
                      <w:szCs w:val="21"/>
                      <w:highlight w:val="none"/>
                      <w:lang w:val="en-US" w:eastAsia="zh-CN"/>
                    </w:rPr>
                    <w:t>消声、</w:t>
                  </w:r>
                  <w:r>
                    <w:rPr>
                      <w:rFonts w:hint="eastAsia"/>
                      <w:color w:val="auto"/>
                      <w:szCs w:val="21"/>
                      <w:highlight w:val="none"/>
                    </w:rPr>
                    <w:t>厂房隔声</w:t>
                  </w:r>
                </w:p>
              </w:tc>
            </w:tr>
            <w:tr w14:paraId="5BD666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restart"/>
                  <w:noWrap w:val="0"/>
                  <w:vAlign w:val="center"/>
                </w:tcPr>
                <w:p w14:paraId="6C5C5BC4">
                  <w:pPr>
                    <w:jc w:val="center"/>
                    <w:rPr>
                      <w:color w:val="auto"/>
                      <w:szCs w:val="21"/>
                      <w:highlight w:val="none"/>
                    </w:rPr>
                  </w:pPr>
                  <w:r>
                    <w:rPr>
                      <w:color w:val="auto"/>
                      <w:szCs w:val="21"/>
                      <w:highlight w:val="none"/>
                    </w:rPr>
                    <w:t>固废</w:t>
                  </w:r>
                </w:p>
              </w:tc>
              <w:tc>
                <w:tcPr>
                  <w:tcW w:w="1177" w:type="pct"/>
                  <w:noWrap w:val="0"/>
                  <w:vAlign w:val="center"/>
                </w:tcPr>
                <w:p w14:paraId="2D36BE44">
                  <w:pPr>
                    <w:jc w:val="center"/>
                    <w:rPr>
                      <w:rFonts w:hint="default" w:eastAsia="宋体"/>
                      <w:color w:val="auto"/>
                      <w:szCs w:val="21"/>
                      <w:highlight w:val="none"/>
                      <w:lang w:val="en-US" w:eastAsia="zh-CN"/>
                    </w:rPr>
                  </w:pPr>
                  <w:r>
                    <w:rPr>
                      <w:rFonts w:hint="eastAsia"/>
                      <w:color w:val="auto"/>
                      <w:szCs w:val="21"/>
                      <w:highlight w:val="none"/>
                      <w:lang w:val="en-US" w:eastAsia="zh-CN"/>
                    </w:rPr>
                    <w:t>废气处理</w:t>
                  </w:r>
                </w:p>
              </w:tc>
              <w:tc>
                <w:tcPr>
                  <w:tcW w:w="1116" w:type="pct"/>
                  <w:noWrap w:val="0"/>
                  <w:vAlign w:val="center"/>
                </w:tcPr>
                <w:p w14:paraId="278CDBC8">
                  <w:pPr>
                    <w:jc w:val="center"/>
                    <w:rPr>
                      <w:rFonts w:hint="default" w:eastAsia="宋体"/>
                      <w:color w:val="auto"/>
                      <w:szCs w:val="21"/>
                      <w:highlight w:val="none"/>
                      <w:lang w:val="en-US" w:eastAsia="zh-CN"/>
                    </w:rPr>
                  </w:pPr>
                  <w:r>
                    <w:rPr>
                      <w:rFonts w:hint="eastAsia"/>
                      <w:color w:val="auto"/>
                      <w:szCs w:val="21"/>
                      <w:highlight w:val="none"/>
                      <w:lang w:val="en-US" w:eastAsia="zh-CN"/>
                    </w:rPr>
                    <w:t>除尘灰</w:t>
                  </w:r>
                </w:p>
              </w:tc>
              <w:tc>
                <w:tcPr>
                  <w:tcW w:w="2011" w:type="pct"/>
                  <w:noWrap w:val="0"/>
                  <w:vAlign w:val="center"/>
                </w:tcPr>
                <w:p w14:paraId="0CCF1875">
                  <w:pPr>
                    <w:jc w:val="left"/>
                    <w:rPr>
                      <w:rFonts w:hint="default" w:eastAsia="宋体"/>
                      <w:color w:val="auto"/>
                      <w:szCs w:val="21"/>
                      <w:highlight w:val="none"/>
                      <w:lang w:val="en-US" w:eastAsia="zh-CN"/>
                    </w:rPr>
                  </w:pPr>
                  <w:r>
                    <w:rPr>
                      <w:rFonts w:hint="default" w:eastAsia="宋体"/>
                      <w:color w:val="auto"/>
                      <w:szCs w:val="21"/>
                      <w:highlight w:val="none"/>
                      <w:lang w:val="en-US" w:eastAsia="zh-CN"/>
                    </w:rPr>
                    <w:t>定期回收综合利用</w:t>
                  </w:r>
                </w:p>
              </w:tc>
            </w:tr>
            <w:tr w14:paraId="389433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4FD9A705">
                  <w:pPr>
                    <w:jc w:val="center"/>
                    <w:rPr>
                      <w:color w:val="auto"/>
                      <w:szCs w:val="21"/>
                      <w:highlight w:val="none"/>
                    </w:rPr>
                  </w:pPr>
                </w:p>
              </w:tc>
              <w:tc>
                <w:tcPr>
                  <w:tcW w:w="1177" w:type="pct"/>
                  <w:noWrap w:val="0"/>
                  <w:vAlign w:val="center"/>
                </w:tcPr>
                <w:p w14:paraId="5851CB31">
                  <w:pPr>
                    <w:jc w:val="center"/>
                    <w:rPr>
                      <w:rFonts w:hint="default" w:eastAsia="宋体"/>
                      <w:color w:val="auto"/>
                      <w:szCs w:val="21"/>
                      <w:highlight w:val="none"/>
                      <w:lang w:val="en-US" w:eastAsia="zh-CN"/>
                    </w:rPr>
                  </w:pPr>
                  <w:r>
                    <w:rPr>
                      <w:rFonts w:hint="eastAsia"/>
                      <w:color w:val="auto"/>
                      <w:szCs w:val="21"/>
                      <w:highlight w:val="none"/>
                      <w:lang w:val="en-US" w:eastAsia="zh-CN"/>
                    </w:rPr>
                    <w:t>废气处理</w:t>
                  </w:r>
                </w:p>
              </w:tc>
              <w:tc>
                <w:tcPr>
                  <w:tcW w:w="1116" w:type="pct"/>
                  <w:noWrap w:val="0"/>
                  <w:vAlign w:val="center"/>
                </w:tcPr>
                <w:p w14:paraId="07370C05">
                  <w:pPr>
                    <w:jc w:val="center"/>
                    <w:rPr>
                      <w:rFonts w:hint="default" w:eastAsia="宋体"/>
                      <w:color w:val="auto"/>
                      <w:szCs w:val="21"/>
                      <w:highlight w:val="none"/>
                      <w:lang w:val="en-US" w:eastAsia="zh-CN"/>
                    </w:rPr>
                  </w:pPr>
                  <w:r>
                    <w:rPr>
                      <w:rFonts w:hint="eastAsia"/>
                      <w:color w:val="auto"/>
                      <w:szCs w:val="21"/>
                      <w:highlight w:val="none"/>
                      <w:lang w:val="en-US" w:eastAsia="zh-CN"/>
                    </w:rPr>
                    <w:t>废活性炭</w:t>
                  </w:r>
                </w:p>
              </w:tc>
              <w:tc>
                <w:tcPr>
                  <w:tcW w:w="2011" w:type="pct"/>
                  <w:noWrap w:val="0"/>
                  <w:vAlign w:val="center"/>
                </w:tcPr>
                <w:p w14:paraId="780A1147">
                  <w:pPr>
                    <w:jc w:val="left"/>
                    <w:rPr>
                      <w:color w:val="auto"/>
                      <w:szCs w:val="21"/>
                      <w:highlight w:val="none"/>
                    </w:rPr>
                  </w:pPr>
                  <w:r>
                    <w:rPr>
                      <w:rFonts w:hint="eastAsia"/>
                      <w:color w:val="auto"/>
                      <w:szCs w:val="21"/>
                      <w:highlight w:val="none"/>
                    </w:rPr>
                    <w:t>委托有资质单位处置</w:t>
                  </w:r>
                </w:p>
              </w:tc>
            </w:tr>
            <w:tr w14:paraId="7B2CD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1318B2C3">
                  <w:pPr>
                    <w:jc w:val="center"/>
                    <w:rPr>
                      <w:color w:val="auto"/>
                      <w:szCs w:val="21"/>
                      <w:highlight w:val="none"/>
                    </w:rPr>
                  </w:pPr>
                </w:p>
              </w:tc>
              <w:tc>
                <w:tcPr>
                  <w:tcW w:w="1177" w:type="pct"/>
                  <w:shd w:val="clear" w:color="auto" w:fill="auto"/>
                  <w:noWrap w:val="0"/>
                  <w:vAlign w:val="center"/>
                </w:tcPr>
                <w:p w14:paraId="3A56163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拆模</w:t>
                  </w:r>
                </w:p>
              </w:tc>
              <w:tc>
                <w:tcPr>
                  <w:tcW w:w="1116" w:type="pct"/>
                  <w:shd w:val="clear" w:color="auto" w:fill="auto"/>
                  <w:noWrap w:val="0"/>
                  <w:vAlign w:val="center"/>
                </w:tcPr>
                <w:p w14:paraId="3BC02D6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废模具</w:t>
                  </w:r>
                </w:p>
              </w:tc>
              <w:tc>
                <w:tcPr>
                  <w:tcW w:w="2011" w:type="pct"/>
                  <w:shd w:val="clear" w:color="auto" w:fill="auto"/>
                  <w:noWrap w:val="0"/>
                  <w:vAlign w:val="center"/>
                </w:tcPr>
                <w:p w14:paraId="1C49EEDC">
                  <w:pPr>
                    <w:jc w:val="left"/>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厂家定期回收</w:t>
                  </w:r>
                </w:p>
              </w:tc>
            </w:tr>
            <w:tr w14:paraId="1FF2E6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52116ED8">
                  <w:pPr>
                    <w:jc w:val="center"/>
                    <w:rPr>
                      <w:color w:val="auto"/>
                      <w:szCs w:val="21"/>
                      <w:highlight w:val="none"/>
                    </w:rPr>
                  </w:pPr>
                </w:p>
              </w:tc>
              <w:tc>
                <w:tcPr>
                  <w:tcW w:w="1177" w:type="pct"/>
                  <w:noWrap w:val="0"/>
                  <w:vAlign w:val="center"/>
                </w:tcPr>
                <w:p w14:paraId="10904FE0">
                  <w:pPr>
                    <w:jc w:val="center"/>
                    <w:rPr>
                      <w:rFonts w:hint="eastAsia" w:eastAsia="宋体"/>
                      <w:color w:val="auto"/>
                      <w:szCs w:val="21"/>
                      <w:highlight w:val="none"/>
                      <w:lang w:eastAsia="zh-CN"/>
                    </w:rPr>
                  </w:pPr>
                  <w:r>
                    <w:rPr>
                      <w:rFonts w:hint="eastAsia"/>
                      <w:color w:val="auto"/>
                      <w:szCs w:val="21"/>
                      <w:highlight w:val="none"/>
                      <w:lang w:val="en-US" w:eastAsia="zh-CN"/>
                    </w:rPr>
                    <w:t>修整</w:t>
                  </w:r>
                </w:p>
              </w:tc>
              <w:tc>
                <w:tcPr>
                  <w:tcW w:w="1116" w:type="pct"/>
                  <w:noWrap w:val="0"/>
                  <w:vAlign w:val="center"/>
                </w:tcPr>
                <w:p w14:paraId="08A4A108">
                  <w:pPr>
                    <w:jc w:val="center"/>
                    <w:rPr>
                      <w:color w:val="auto"/>
                      <w:szCs w:val="21"/>
                      <w:highlight w:val="none"/>
                    </w:rPr>
                  </w:pPr>
                  <w:r>
                    <w:rPr>
                      <w:rFonts w:hint="eastAsia"/>
                      <w:color w:val="auto"/>
                      <w:szCs w:val="21"/>
                      <w:highlight w:val="none"/>
                      <w:lang w:val="en-US" w:eastAsia="zh-CN"/>
                    </w:rPr>
                    <w:t>废</w:t>
                  </w:r>
                  <w:r>
                    <w:rPr>
                      <w:rFonts w:hint="eastAsia"/>
                      <w:color w:val="auto"/>
                      <w:szCs w:val="21"/>
                      <w:highlight w:val="none"/>
                    </w:rPr>
                    <w:t>边角料</w:t>
                  </w:r>
                </w:p>
              </w:tc>
              <w:tc>
                <w:tcPr>
                  <w:tcW w:w="2011" w:type="pct"/>
                  <w:noWrap w:val="0"/>
                  <w:vAlign w:val="center"/>
                </w:tcPr>
                <w:p w14:paraId="55EAA57F">
                  <w:pPr>
                    <w:jc w:val="left"/>
                    <w:rPr>
                      <w:color w:val="auto"/>
                      <w:szCs w:val="21"/>
                      <w:highlight w:val="none"/>
                    </w:rPr>
                  </w:pPr>
                  <w:r>
                    <w:rPr>
                      <w:rFonts w:hint="eastAsia"/>
                      <w:color w:val="auto"/>
                      <w:szCs w:val="21"/>
                      <w:highlight w:val="none"/>
                    </w:rPr>
                    <w:t>定期外售综合利用</w:t>
                  </w:r>
                </w:p>
              </w:tc>
            </w:tr>
            <w:tr w14:paraId="5A953D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6FC760C9">
                  <w:pPr>
                    <w:jc w:val="center"/>
                    <w:rPr>
                      <w:color w:val="auto"/>
                      <w:szCs w:val="21"/>
                      <w:highlight w:val="none"/>
                    </w:rPr>
                  </w:pPr>
                </w:p>
              </w:tc>
              <w:tc>
                <w:tcPr>
                  <w:tcW w:w="1177" w:type="pct"/>
                  <w:noWrap w:val="0"/>
                  <w:vAlign w:val="center"/>
                </w:tcPr>
                <w:p w14:paraId="2AD3ACBF">
                  <w:pPr>
                    <w:jc w:val="center"/>
                    <w:rPr>
                      <w:color w:val="auto"/>
                      <w:szCs w:val="21"/>
                      <w:highlight w:val="none"/>
                    </w:rPr>
                  </w:pPr>
                  <w:r>
                    <w:rPr>
                      <w:rFonts w:hint="eastAsia"/>
                      <w:color w:val="auto"/>
                      <w:szCs w:val="21"/>
                      <w:highlight w:val="none"/>
                    </w:rPr>
                    <w:t>拆包</w:t>
                  </w:r>
                </w:p>
              </w:tc>
              <w:tc>
                <w:tcPr>
                  <w:tcW w:w="1116" w:type="pct"/>
                  <w:noWrap w:val="0"/>
                  <w:vAlign w:val="center"/>
                </w:tcPr>
                <w:p w14:paraId="61E6186C">
                  <w:pPr>
                    <w:jc w:val="center"/>
                    <w:rPr>
                      <w:color w:val="auto"/>
                      <w:szCs w:val="21"/>
                      <w:highlight w:val="none"/>
                    </w:rPr>
                  </w:pPr>
                  <w:r>
                    <w:rPr>
                      <w:rFonts w:hint="eastAsia"/>
                      <w:color w:val="auto"/>
                      <w:szCs w:val="21"/>
                      <w:highlight w:val="none"/>
                    </w:rPr>
                    <w:t>废包装材料</w:t>
                  </w:r>
                </w:p>
              </w:tc>
              <w:tc>
                <w:tcPr>
                  <w:tcW w:w="2011" w:type="pct"/>
                  <w:noWrap w:val="0"/>
                  <w:vAlign w:val="center"/>
                </w:tcPr>
                <w:p w14:paraId="01B117DA">
                  <w:pPr>
                    <w:jc w:val="left"/>
                    <w:rPr>
                      <w:color w:val="auto"/>
                      <w:szCs w:val="21"/>
                      <w:highlight w:val="none"/>
                    </w:rPr>
                  </w:pPr>
                  <w:r>
                    <w:rPr>
                      <w:rFonts w:hint="eastAsia"/>
                      <w:color w:val="auto"/>
                      <w:szCs w:val="21"/>
                      <w:highlight w:val="none"/>
                    </w:rPr>
                    <w:t>定期外售综合利用</w:t>
                  </w:r>
                </w:p>
              </w:tc>
            </w:tr>
            <w:tr w14:paraId="3C4CA6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77183473">
                  <w:pPr>
                    <w:jc w:val="center"/>
                    <w:rPr>
                      <w:color w:val="auto"/>
                      <w:szCs w:val="21"/>
                      <w:highlight w:val="none"/>
                    </w:rPr>
                  </w:pPr>
                </w:p>
              </w:tc>
              <w:tc>
                <w:tcPr>
                  <w:tcW w:w="1177" w:type="pct"/>
                  <w:noWrap w:val="0"/>
                  <w:vAlign w:val="center"/>
                </w:tcPr>
                <w:p w14:paraId="75E60E2D">
                  <w:pPr>
                    <w:jc w:val="center"/>
                    <w:rPr>
                      <w:rFonts w:hint="default" w:eastAsia="宋体"/>
                      <w:color w:val="auto"/>
                      <w:szCs w:val="21"/>
                      <w:highlight w:val="none"/>
                      <w:lang w:val="en-US" w:eastAsia="zh-CN"/>
                    </w:rPr>
                  </w:pPr>
                  <w:r>
                    <w:rPr>
                      <w:rFonts w:hint="eastAsia"/>
                      <w:color w:val="auto"/>
                      <w:szCs w:val="21"/>
                      <w:highlight w:val="none"/>
                      <w:lang w:val="en-US" w:eastAsia="zh-CN"/>
                    </w:rPr>
                    <w:t>反应复合</w:t>
                  </w:r>
                </w:p>
              </w:tc>
              <w:tc>
                <w:tcPr>
                  <w:tcW w:w="1116" w:type="pct"/>
                  <w:noWrap w:val="0"/>
                  <w:vAlign w:val="center"/>
                </w:tcPr>
                <w:p w14:paraId="295F57EF">
                  <w:pPr>
                    <w:jc w:val="center"/>
                    <w:rPr>
                      <w:rFonts w:hint="default" w:eastAsia="宋体"/>
                      <w:color w:val="auto"/>
                      <w:szCs w:val="21"/>
                      <w:highlight w:val="none"/>
                      <w:lang w:val="en-US" w:eastAsia="zh-CN"/>
                    </w:rPr>
                  </w:pPr>
                  <w:r>
                    <w:rPr>
                      <w:rFonts w:hint="eastAsia"/>
                      <w:color w:val="auto"/>
                      <w:szCs w:val="21"/>
                      <w:highlight w:val="none"/>
                      <w:lang w:val="en-US" w:eastAsia="zh-CN"/>
                    </w:rPr>
                    <w:t>废铝合金</w:t>
                  </w:r>
                </w:p>
              </w:tc>
              <w:tc>
                <w:tcPr>
                  <w:tcW w:w="2011" w:type="pct"/>
                  <w:noWrap w:val="0"/>
                  <w:vAlign w:val="center"/>
                </w:tcPr>
                <w:p w14:paraId="665A5710">
                  <w:pPr>
                    <w:jc w:val="left"/>
                    <w:rPr>
                      <w:rFonts w:hint="eastAsia"/>
                      <w:color w:val="auto"/>
                      <w:szCs w:val="21"/>
                      <w:highlight w:val="none"/>
                    </w:rPr>
                  </w:pPr>
                  <w:r>
                    <w:rPr>
                      <w:rFonts w:hint="eastAsia"/>
                      <w:color w:val="auto"/>
                      <w:szCs w:val="21"/>
                      <w:highlight w:val="none"/>
                    </w:rPr>
                    <w:t>定期外售综合利用</w:t>
                  </w:r>
                </w:p>
              </w:tc>
            </w:tr>
            <w:tr w14:paraId="7EBE3C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65E5E7E7">
                  <w:pPr>
                    <w:jc w:val="center"/>
                    <w:rPr>
                      <w:color w:val="auto"/>
                      <w:szCs w:val="21"/>
                      <w:highlight w:val="none"/>
                    </w:rPr>
                  </w:pPr>
                </w:p>
              </w:tc>
              <w:tc>
                <w:tcPr>
                  <w:tcW w:w="1177" w:type="pct"/>
                  <w:vMerge w:val="restart"/>
                  <w:noWrap w:val="0"/>
                  <w:vAlign w:val="center"/>
                </w:tcPr>
                <w:p w14:paraId="0FC4E5F4">
                  <w:pPr>
                    <w:jc w:val="center"/>
                    <w:rPr>
                      <w:color w:val="auto"/>
                      <w:szCs w:val="21"/>
                      <w:highlight w:val="none"/>
                    </w:rPr>
                  </w:pPr>
                  <w:r>
                    <w:rPr>
                      <w:rFonts w:hint="eastAsia"/>
                      <w:color w:val="auto"/>
                      <w:szCs w:val="21"/>
                      <w:highlight w:val="none"/>
                    </w:rPr>
                    <w:t>设备维护</w:t>
                  </w:r>
                </w:p>
              </w:tc>
              <w:tc>
                <w:tcPr>
                  <w:tcW w:w="1116" w:type="pct"/>
                  <w:noWrap w:val="0"/>
                  <w:vAlign w:val="center"/>
                </w:tcPr>
                <w:p w14:paraId="091179A3">
                  <w:pPr>
                    <w:jc w:val="center"/>
                    <w:rPr>
                      <w:rFonts w:hint="default"/>
                      <w:color w:val="auto"/>
                      <w:szCs w:val="21"/>
                      <w:highlight w:val="none"/>
                      <w:lang w:val="en-US"/>
                    </w:rPr>
                  </w:pPr>
                  <w:r>
                    <w:rPr>
                      <w:rFonts w:hint="eastAsia"/>
                      <w:color w:val="auto"/>
                      <w:szCs w:val="21"/>
                      <w:highlight w:val="none"/>
                    </w:rPr>
                    <w:t>废</w:t>
                  </w:r>
                  <w:r>
                    <w:rPr>
                      <w:rFonts w:hint="eastAsia"/>
                      <w:color w:val="auto"/>
                      <w:szCs w:val="21"/>
                      <w:highlight w:val="none"/>
                      <w:lang w:val="en-US" w:eastAsia="zh-CN"/>
                    </w:rPr>
                    <w:t>油桶</w:t>
                  </w:r>
                </w:p>
              </w:tc>
              <w:tc>
                <w:tcPr>
                  <w:tcW w:w="2011" w:type="pct"/>
                  <w:noWrap w:val="0"/>
                  <w:vAlign w:val="center"/>
                </w:tcPr>
                <w:p w14:paraId="239FB3AC">
                  <w:pPr>
                    <w:jc w:val="left"/>
                    <w:rPr>
                      <w:color w:val="auto"/>
                      <w:szCs w:val="21"/>
                      <w:highlight w:val="none"/>
                    </w:rPr>
                  </w:pPr>
                  <w:r>
                    <w:rPr>
                      <w:rFonts w:hint="eastAsia"/>
                      <w:color w:val="auto"/>
                      <w:szCs w:val="21"/>
                      <w:highlight w:val="none"/>
                    </w:rPr>
                    <w:t>委托有资质单位处置</w:t>
                  </w:r>
                </w:p>
              </w:tc>
            </w:tr>
            <w:tr w14:paraId="163484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098DDEB5">
                  <w:pPr>
                    <w:jc w:val="center"/>
                    <w:rPr>
                      <w:color w:val="auto"/>
                      <w:szCs w:val="21"/>
                      <w:highlight w:val="none"/>
                    </w:rPr>
                  </w:pPr>
                </w:p>
              </w:tc>
              <w:tc>
                <w:tcPr>
                  <w:tcW w:w="1177" w:type="pct"/>
                  <w:vMerge w:val="continue"/>
                  <w:noWrap w:val="0"/>
                  <w:vAlign w:val="center"/>
                </w:tcPr>
                <w:p w14:paraId="26767ECD">
                  <w:pPr>
                    <w:jc w:val="center"/>
                    <w:rPr>
                      <w:rFonts w:hint="eastAsia"/>
                      <w:color w:val="auto"/>
                      <w:szCs w:val="21"/>
                      <w:highlight w:val="none"/>
                    </w:rPr>
                  </w:pPr>
                </w:p>
              </w:tc>
              <w:tc>
                <w:tcPr>
                  <w:tcW w:w="1116" w:type="pct"/>
                  <w:noWrap w:val="0"/>
                  <w:vAlign w:val="center"/>
                </w:tcPr>
                <w:p w14:paraId="5619F6B1">
                  <w:pPr>
                    <w:jc w:val="center"/>
                    <w:rPr>
                      <w:rFonts w:hint="default" w:eastAsia="宋体"/>
                      <w:color w:val="auto"/>
                      <w:szCs w:val="21"/>
                      <w:highlight w:val="none"/>
                      <w:lang w:val="en-US" w:eastAsia="zh-CN"/>
                    </w:rPr>
                  </w:pPr>
                  <w:r>
                    <w:rPr>
                      <w:rFonts w:hint="eastAsia"/>
                      <w:color w:val="auto"/>
                      <w:szCs w:val="21"/>
                      <w:highlight w:val="none"/>
                    </w:rPr>
                    <w:t>废</w:t>
                  </w:r>
                  <w:r>
                    <w:rPr>
                      <w:rFonts w:hint="eastAsia"/>
                      <w:color w:val="auto"/>
                      <w:szCs w:val="21"/>
                      <w:highlight w:val="none"/>
                      <w:lang w:val="en-US" w:eastAsia="zh-CN"/>
                    </w:rPr>
                    <w:t>含油抹布</w:t>
                  </w:r>
                </w:p>
              </w:tc>
              <w:tc>
                <w:tcPr>
                  <w:tcW w:w="2011" w:type="pct"/>
                  <w:noWrap w:val="0"/>
                  <w:vAlign w:val="center"/>
                </w:tcPr>
                <w:p w14:paraId="5FD06D34">
                  <w:pPr>
                    <w:jc w:val="left"/>
                    <w:rPr>
                      <w:rFonts w:hint="eastAsia"/>
                      <w:color w:val="auto"/>
                      <w:szCs w:val="21"/>
                      <w:highlight w:val="none"/>
                    </w:rPr>
                  </w:pPr>
                  <w:r>
                    <w:rPr>
                      <w:rFonts w:hint="eastAsia"/>
                      <w:color w:val="auto"/>
                      <w:szCs w:val="21"/>
                      <w:highlight w:val="none"/>
                    </w:rPr>
                    <w:t>委托有资质单位处置</w:t>
                  </w:r>
                </w:p>
              </w:tc>
            </w:tr>
            <w:tr w14:paraId="1CC131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95" w:type="pct"/>
                  <w:vMerge w:val="continue"/>
                  <w:noWrap w:val="0"/>
                  <w:vAlign w:val="center"/>
                </w:tcPr>
                <w:p w14:paraId="1AB9016C">
                  <w:pPr>
                    <w:jc w:val="center"/>
                    <w:rPr>
                      <w:color w:val="auto"/>
                      <w:szCs w:val="21"/>
                      <w:highlight w:val="none"/>
                    </w:rPr>
                  </w:pPr>
                </w:p>
              </w:tc>
              <w:tc>
                <w:tcPr>
                  <w:tcW w:w="1177" w:type="pct"/>
                  <w:noWrap w:val="0"/>
                  <w:vAlign w:val="center"/>
                </w:tcPr>
                <w:p w14:paraId="42039543">
                  <w:pPr>
                    <w:jc w:val="center"/>
                    <w:rPr>
                      <w:color w:val="auto"/>
                      <w:szCs w:val="21"/>
                      <w:highlight w:val="none"/>
                    </w:rPr>
                  </w:pPr>
                  <w:r>
                    <w:rPr>
                      <w:rFonts w:hint="eastAsia"/>
                      <w:color w:val="auto"/>
                      <w:szCs w:val="21"/>
                      <w:highlight w:val="none"/>
                    </w:rPr>
                    <w:t>员工生活</w:t>
                  </w:r>
                </w:p>
              </w:tc>
              <w:tc>
                <w:tcPr>
                  <w:tcW w:w="1116" w:type="pct"/>
                  <w:noWrap w:val="0"/>
                  <w:vAlign w:val="center"/>
                </w:tcPr>
                <w:p w14:paraId="27FBB82C">
                  <w:pPr>
                    <w:jc w:val="center"/>
                    <w:rPr>
                      <w:color w:val="auto"/>
                      <w:szCs w:val="21"/>
                      <w:highlight w:val="none"/>
                    </w:rPr>
                  </w:pPr>
                  <w:r>
                    <w:rPr>
                      <w:rFonts w:hint="eastAsia"/>
                      <w:color w:val="auto"/>
                      <w:szCs w:val="21"/>
                      <w:highlight w:val="none"/>
                    </w:rPr>
                    <w:t>生活垃圾</w:t>
                  </w:r>
                </w:p>
              </w:tc>
              <w:tc>
                <w:tcPr>
                  <w:tcW w:w="2011" w:type="pct"/>
                  <w:noWrap w:val="0"/>
                  <w:vAlign w:val="center"/>
                </w:tcPr>
                <w:p w14:paraId="0872BA82">
                  <w:pPr>
                    <w:jc w:val="left"/>
                    <w:rPr>
                      <w:color w:val="auto"/>
                      <w:szCs w:val="21"/>
                      <w:highlight w:val="none"/>
                    </w:rPr>
                  </w:pPr>
                  <w:r>
                    <w:rPr>
                      <w:rFonts w:hint="eastAsia"/>
                      <w:color w:val="auto"/>
                      <w:szCs w:val="21"/>
                      <w:highlight w:val="none"/>
                    </w:rPr>
                    <w:t>环卫部门清运</w:t>
                  </w:r>
                </w:p>
              </w:tc>
            </w:tr>
          </w:tbl>
          <w:p w14:paraId="1EF38BD8">
            <w:pPr>
              <w:spacing w:line="360" w:lineRule="auto"/>
              <w:ind w:firstLine="480" w:firstLineChars="200"/>
              <w:rPr>
                <w:color w:val="auto"/>
                <w:sz w:val="24"/>
                <w:szCs w:val="32"/>
                <w:highlight w:val="none"/>
              </w:rPr>
            </w:pPr>
          </w:p>
        </w:tc>
      </w:tr>
      <w:tr w14:paraId="3A7FC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61E484EF">
            <w:pPr>
              <w:pStyle w:val="21"/>
              <w:spacing w:before="0" w:beforeAutospacing="0" w:after="0" w:afterAutospacing="0"/>
              <w:jc w:val="center"/>
              <w:rPr>
                <w:rFonts w:hint="eastAsia" w:cs="宋体"/>
                <w:color w:val="auto"/>
                <w:sz w:val="21"/>
                <w:szCs w:val="21"/>
                <w:highlight w:val="none"/>
              </w:rPr>
            </w:pPr>
            <w:r>
              <w:rPr>
                <w:rFonts w:hint="eastAsia" w:cs="宋体"/>
                <w:bCs/>
                <w:color w:val="auto"/>
                <w:kern w:val="2"/>
                <w:sz w:val="21"/>
                <w:szCs w:val="21"/>
                <w:highlight w:val="none"/>
              </w:rPr>
              <w:t>与项目有关的原有环境污染问题</w:t>
            </w:r>
          </w:p>
        </w:tc>
        <w:tc>
          <w:tcPr>
            <w:tcW w:w="8161" w:type="dxa"/>
            <w:noWrap w:val="0"/>
            <w:vAlign w:val="center"/>
          </w:tcPr>
          <w:p w14:paraId="4DFC7EA7">
            <w:pPr>
              <w:pStyle w:val="7"/>
              <w:ind w:firstLine="480"/>
              <w:rPr>
                <w:rFonts w:hint="eastAsia"/>
                <w:color w:val="auto"/>
                <w:highlight w:val="none"/>
                <w:lang w:val="en-US" w:eastAsia="zh-CN"/>
              </w:rPr>
            </w:pPr>
          </w:p>
          <w:p w14:paraId="4594C5E2">
            <w:pPr>
              <w:pStyle w:val="7"/>
              <w:ind w:firstLine="480"/>
              <w:rPr>
                <w:rFonts w:hint="eastAsia"/>
                <w:color w:val="auto"/>
                <w:highlight w:val="none"/>
                <w:lang w:val="en-US" w:eastAsia="zh-CN"/>
              </w:rPr>
            </w:pPr>
          </w:p>
          <w:p w14:paraId="436C3DFD">
            <w:pPr>
              <w:pStyle w:val="7"/>
              <w:ind w:firstLine="480"/>
              <w:rPr>
                <w:rFonts w:hint="eastAsia"/>
                <w:color w:val="auto"/>
                <w:highlight w:val="none"/>
                <w:lang w:val="en-US" w:eastAsia="zh-CN"/>
              </w:rPr>
            </w:pPr>
          </w:p>
          <w:p w14:paraId="194EB138">
            <w:pPr>
              <w:pStyle w:val="7"/>
              <w:ind w:firstLine="480"/>
              <w:rPr>
                <w:rFonts w:hint="eastAsia"/>
                <w:color w:val="auto"/>
                <w:highlight w:val="none"/>
                <w:lang w:val="en-US" w:eastAsia="zh-CN"/>
              </w:rPr>
            </w:pPr>
          </w:p>
          <w:p w14:paraId="01AA37CD">
            <w:pPr>
              <w:pStyle w:val="7"/>
              <w:ind w:firstLine="480"/>
              <w:rPr>
                <w:rFonts w:hint="eastAsia"/>
                <w:color w:val="auto"/>
                <w:highlight w:val="none"/>
                <w:lang w:val="en-US" w:eastAsia="zh-CN"/>
              </w:rPr>
            </w:pPr>
          </w:p>
          <w:p w14:paraId="2CB5EB53">
            <w:pPr>
              <w:pStyle w:val="7"/>
              <w:ind w:firstLine="480"/>
              <w:rPr>
                <w:rFonts w:hint="eastAsia"/>
                <w:color w:val="auto"/>
                <w:highlight w:val="none"/>
                <w:lang w:val="en-US" w:eastAsia="zh-CN"/>
              </w:rPr>
            </w:pPr>
          </w:p>
          <w:p w14:paraId="75D941E8">
            <w:pPr>
              <w:pStyle w:val="7"/>
              <w:ind w:firstLine="480"/>
              <w:rPr>
                <w:rFonts w:hint="eastAsia"/>
                <w:color w:val="auto"/>
                <w:highlight w:val="none"/>
                <w:lang w:val="en-US" w:eastAsia="zh-CN"/>
              </w:rPr>
            </w:pPr>
          </w:p>
          <w:p w14:paraId="24361F39">
            <w:pPr>
              <w:pStyle w:val="7"/>
              <w:ind w:firstLine="480"/>
              <w:rPr>
                <w:rFonts w:hint="eastAsia"/>
                <w:color w:val="auto"/>
                <w:highlight w:val="none"/>
                <w:lang w:val="en-US" w:eastAsia="zh-CN"/>
              </w:rPr>
            </w:pPr>
          </w:p>
          <w:p w14:paraId="2159B3BF">
            <w:pPr>
              <w:pStyle w:val="7"/>
              <w:ind w:firstLine="480"/>
              <w:rPr>
                <w:rFonts w:hint="eastAsia"/>
                <w:color w:val="auto"/>
                <w:highlight w:val="none"/>
                <w:lang w:val="en-US" w:eastAsia="zh-CN"/>
              </w:rPr>
            </w:pPr>
          </w:p>
          <w:p w14:paraId="1BA4743A">
            <w:pPr>
              <w:pStyle w:val="7"/>
              <w:ind w:firstLine="480"/>
              <w:rPr>
                <w:rFonts w:hint="eastAsia"/>
                <w:color w:val="auto"/>
                <w:highlight w:val="none"/>
                <w:lang w:val="en-US" w:eastAsia="zh-CN"/>
              </w:rPr>
            </w:pPr>
          </w:p>
          <w:p w14:paraId="47D2EDFC">
            <w:pPr>
              <w:pStyle w:val="7"/>
              <w:ind w:firstLine="480"/>
              <w:rPr>
                <w:rFonts w:hint="eastAsia"/>
                <w:color w:val="auto"/>
                <w:highlight w:val="none"/>
                <w:lang w:val="en-US" w:eastAsia="zh-CN"/>
              </w:rPr>
            </w:pPr>
          </w:p>
          <w:p w14:paraId="63985751">
            <w:pPr>
              <w:pStyle w:val="7"/>
              <w:ind w:firstLine="480"/>
              <w:rPr>
                <w:rFonts w:hint="eastAsia"/>
                <w:color w:val="auto"/>
                <w:highlight w:val="none"/>
                <w:lang w:val="en-US" w:eastAsia="zh-CN"/>
              </w:rPr>
            </w:pPr>
          </w:p>
          <w:p w14:paraId="70DFEE10">
            <w:pPr>
              <w:pStyle w:val="7"/>
              <w:ind w:firstLine="480"/>
              <w:rPr>
                <w:rFonts w:hint="eastAsia"/>
                <w:color w:val="auto"/>
                <w:highlight w:val="none"/>
                <w:lang w:val="en-US" w:eastAsia="zh-CN"/>
              </w:rPr>
            </w:pPr>
          </w:p>
          <w:p w14:paraId="0DDF85A9">
            <w:pPr>
              <w:pStyle w:val="7"/>
              <w:ind w:firstLine="480"/>
              <w:rPr>
                <w:rFonts w:hint="eastAsia"/>
                <w:color w:val="auto"/>
                <w:highlight w:val="none"/>
                <w:lang w:val="en-US" w:eastAsia="zh-CN"/>
              </w:rPr>
            </w:pPr>
          </w:p>
          <w:p w14:paraId="5EAEA41C">
            <w:pPr>
              <w:pStyle w:val="7"/>
              <w:ind w:firstLine="480"/>
              <w:rPr>
                <w:rFonts w:hint="eastAsia" w:eastAsia="宋体"/>
                <w:color w:val="auto"/>
                <w:highlight w:val="none"/>
                <w:lang w:eastAsia="zh-CN"/>
              </w:rPr>
            </w:pPr>
            <w:r>
              <w:rPr>
                <w:rFonts w:hint="eastAsia"/>
                <w:color w:val="auto"/>
                <w:highlight w:val="none"/>
                <w:lang w:val="en-US" w:eastAsia="zh-CN"/>
              </w:rPr>
              <w:t>本项目为新建项目，</w:t>
            </w:r>
            <w:r>
              <w:rPr>
                <w:rFonts w:hint="eastAsia"/>
                <w:color w:val="auto"/>
                <w:highlight w:val="none"/>
              </w:rPr>
              <w:t>租赁陕西力拓重工机械有限公司现有空置三号厂房</w:t>
            </w:r>
            <w:r>
              <w:rPr>
                <w:rFonts w:hint="eastAsia"/>
                <w:color w:val="auto"/>
                <w:highlight w:val="none"/>
                <w:lang w:val="en-US" w:eastAsia="zh-CN"/>
              </w:rPr>
              <w:t>南部车间</w:t>
            </w:r>
            <w:r>
              <w:rPr>
                <w:rFonts w:hint="eastAsia"/>
                <w:color w:val="auto"/>
                <w:highlight w:val="none"/>
              </w:rPr>
              <w:t>进行生产</w:t>
            </w:r>
            <w:r>
              <w:rPr>
                <w:rFonts w:hint="eastAsia"/>
                <w:color w:val="auto"/>
                <w:highlight w:val="none"/>
                <w:lang w:eastAsia="zh-CN"/>
              </w:rPr>
              <w:t>，</w:t>
            </w:r>
            <w:r>
              <w:rPr>
                <w:rFonts w:hint="eastAsia"/>
                <w:color w:val="auto"/>
                <w:highlight w:val="none"/>
              </w:rPr>
              <w:t>所租赁</w:t>
            </w:r>
            <w:r>
              <w:rPr>
                <w:rFonts w:hint="eastAsia"/>
                <w:color w:val="auto"/>
                <w:highlight w:val="none"/>
                <w:lang w:val="en-US" w:eastAsia="zh-CN"/>
              </w:rPr>
              <w:t>的</w:t>
            </w:r>
            <w:r>
              <w:rPr>
                <w:rFonts w:hint="eastAsia"/>
                <w:color w:val="auto"/>
                <w:highlight w:val="none"/>
              </w:rPr>
              <w:t>厂房已</w:t>
            </w:r>
            <w:r>
              <w:rPr>
                <w:rFonts w:hint="eastAsia"/>
                <w:color w:val="auto"/>
                <w:highlight w:val="none"/>
                <w:lang w:val="en-US" w:eastAsia="zh-CN"/>
              </w:rPr>
              <w:t>办理环评</w:t>
            </w:r>
            <w:r>
              <w:rPr>
                <w:rFonts w:hint="eastAsia"/>
                <w:color w:val="auto"/>
                <w:highlight w:val="none"/>
              </w:rPr>
              <w:t>手续</w:t>
            </w:r>
            <w:r>
              <w:rPr>
                <w:rFonts w:hint="eastAsia"/>
                <w:color w:val="auto"/>
                <w:highlight w:val="none"/>
                <w:lang w:val="en-US" w:eastAsia="zh-CN"/>
              </w:rPr>
              <w:t>并完成了环保设施竣工验收</w:t>
            </w:r>
            <w:r>
              <w:rPr>
                <w:rFonts w:hint="eastAsia"/>
                <w:color w:val="auto"/>
                <w:highlight w:val="none"/>
                <w:lang w:eastAsia="zh-CN"/>
              </w:rPr>
              <w:t>（</w:t>
            </w:r>
            <w:r>
              <w:rPr>
                <w:rFonts w:hint="eastAsia"/>
                <w:color w:val="auto"/>
                <w:highlight w:val="none"/>
                <w:lang w:val="en-US" w:eastAsia="zh-CN"/>
              </w:rPr>
              <w:t>见附件4</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根据现场踏勘，</w:t>
            </w:r>
            <w:r>
              <w:rPr>
                <w:rFonts w:hint="eastAsia"/>
                <w:color w:val="auto"/>
                <w:highlight w:val="none"/>
              </w:rPr>
              <w:t>不存在</w:t>
            </w:r>
            <w:r>
              <w:rPr>
                <w:rFonts w:hint="eastAsia"/>
                <w:color w:val="auto"/>
                <w:highlight w:val="none"/>
                <w:lang w:val="en-US" w:eastAsia="zh-CN"/>
              </w:rPr>
              <w:t>与本项目有关的</w:t>
            </w:r>
            <w:r>
              <w:rPr>
                <w:rFonts w:hint="eastAsia"/>
                <w:color w:val="auto"/>
                <w:highlight w:val="none"/>
              </w:rPr>
              <w:t>原有环境问题</w:t>
            </w:r>
            <w:r>
              <w:rPr>
                <w:rFonts w:hint="eastAsia"/>
                <w:color w:val="auto"/>
                <w:highlight w:val="none"/>
                <w:lang w:eastAsia="zh-CN"/>
              </w:rPr>
              <w:t>。</w:t>
            </w:r>
          </w:p>
          <w:p w14:paraId="43F87DCF">
            <w:pPr>
              <w:pStyle w:val="7"/>
              <w:ind w:firstLine="480"/>
              <w:rPr>
                <w:rFonts w:hint="eastAsia"/>
                <w:color w:val="auto"/>
                <w:highlight w:val="none"/>
              </w:rPr>
            </w:pPr>
          </w:p>
          <w:p w14:paraId="08B08084">
            <w:pPr>
              <w:pStyle w:val="7"/>
              <w:ind w:firstLine="480"/>
              <w:rPr>
                <w:rFonts w:hint="eastAsia"/>
                <w:color w:val="auto"/>
                <w:highlight w:val="none"/>
                <w:lang w:val="en-US" w:eastAsia="zh-CN"/>
              </w:rPr>
            </w:pPr>
          </w:p>
          <w:p w14:paraId="330F8DAA">
            <w:pPr>
              <w:pStyle w:val="7"/>
              <w:ind w:firstLine="480"/>
              <w:rPr>
                <w:rFonts w:hint="eastAsia"/>
                <w:color w:val="auto"/>
                <w:highlight w:val="none"/>
                <w:lang w:val="en-US" w:eastAsia="zh-CN"/>
              </w:rPr>
            </w:pPr>
          </w:p>
          <w:p w14:paraId="7C34BA63">
            <w:pPr>
              <w:pStyle w:val="7"/>
              <w:ind w:firstLine="480"/>
              <w:rPr>
                <w:rFonts w:hint="eastAsia"/>
                <w:color w:val="auto"/>
                <w:highlight w:val="none"/>
                <w:lang w:val="en-US" w:eastAsia="zh-CN"/>
              </w:rPr>
            </w:pPr>
          </w:p>
          <w:p w14:paraId="409AC193">
            <w:pPr>
              <w:pStyle w:val="7"/>
              <w:ind w:firstLine="480"/>
              <w:rPr>
                <w:rFonts w:hint="eastAsia"/>
                <w:color w:val="auto"/>
                <w:highlight w:val="none"/>
                <w:lang w:val="en-US" w:eastAsia="zh-CN"/>
              </w:rPr>
            </w:pPr>
          </w:p>
          <w:p w14:paraId="2C3189C3">
            <w:pPr>
              <w:pStyle w:val="7"/>
              <w:ind w:firstLine="480"/>
              <w:rPr>
                <w:rFonts w:hint="eastAsia"/>
                <w:color w:val="auto"/>
                <w:highlight w:val="none"/>
                <w:lang w:val="en-US" w:eastAsia="zh-CN"/>
              </w:rPr>
            </w:pPr>
          </w:p>
          <w:p w14:paraId="6F4D9989">
            <w:pPr>
              <w:pStyle w:val="7"/>
              <w:ind w:firstLine="480"/>
              <w:rPr>
                <w:rFonts w:hint="eastAsia"/>
                <w:color w:val="auto"/>
                <w:highlight w:val="none"/>
                <w:lang w:val="en-US" w:eastAsia="zh-CN"/>
              </w:rPr>
            </w:pPr>
          </w:p>
          <w:p w14:paraId="1F273113">
            <w:pPr>
              <w:pStyle w:val="7"/>
              <w:ind w:firstLine="480"/>
              <w:rPr>
                <w:rFonts w:hint="eastAsia"/>
                <w:color w:val="auto"/>
                <w:highlight w:val="none"/>
              </w:rPr>
            </w:pPr>
          </w:p>
          <w:p w14:paraId="096DEC49">
            <w:pPr>
              <w:pStyle w:val="7"/>
              <w:ind w:firstLine="480"/>
              <w:rPr>
                <w:rFonts w:hint="eastAsia"/>
                <w:color w:val="auto"/>
                <w:highlight w:val="none"/>
              </w:rPr>
            </w:pPr>
          </w:p>
          <w:p w14:paraId="5B5EF21F">
            <w:pPr>
              <w:pStyle w:val="7"/>
              <w:ind w:firstLine="480"/>
              <w:rPr>
                <w:rFonts w:hint="eastAsia"/>
                <w:color w:val="auto"/>
                <w:highlight w:val="none"/>
              </w:rPr>
            </w:pPr>
          </w:p>
          <w:p w14:paraId="7A7D7D8F">
            <w:pPr>
              <w:pStyle w:val="7"/>
              <w:ind w:left="0" w:leftChars="0" w:firstLine="0" w:firstLineChars="0"/>
              <w:rPr>
                <w:color w:val="auto"/>
                <w:szCs w:val="32"/>
                <w:highlight w:val="none"/>
              </w:rPr>
            </w:pPr>
          </w:p>
        </w:tc>
      </w:tr>
    </w:tbl>
    <w:p w14:paraId="279B576A">
      <w:pPr>
        <w:pStyle w:val="21"/>
        <w:jc w:val="both"/>
        <w:rPr>
          <w:rFonts w:ascii="黑体" w:hAnsi="黑体" w:eastAsia="黑体"/>
          <w:snapToGrid w:val="0"/>
          <w:color w:val="auto"/>
          <w:sz w:val="36"/>
          <w:szCs w:val="36"/>
          <w:highlight w:val="none"/>
        </w:rPr>
        <w:sectPr>
          <w:footerReference r:id="rId4" w:type="default"/>
          <w:pgSz w:w="11906" w:h="16838"/>
          <w:pgMar w:top="1701" w:right="1531" w:bottom="1701" w:left="1531" w:header="851" w:footer="851" w:gutter="0"/>
          <w:cols w:space="720" w:num="1"/>
          <w:docGrid w:linePitch="312" w:charSpace="0"/>
        </w:sectPr>
      </w:pPr>
    </w:p>
    <w:p w14:paraId="64C570AC">
      <w:pPr>
        <w:pStyle w:val="21"/>
        <w:spacing w:before="0" w:beforeAutospacing="0" w:after="0" w:afterAutospacing="0" w:line="14" w:lineRule="auto"/>
        <w:jc w:val="center"/>
        <w:rPr>
          <w:rFonts w:hint="eastAsia" w:ascii="黑体" w:hAnsi="黑体" w:eastAsia="黑体"/>
          <w:snapToGrid w:val="0"/>
          <w:color w:val="auto"/>
          <w:sz w:val="30"/>
          <w:szCs w:val="30"/>
          <w:highlight w:val="none"/>
        </w:rPr>
      </w:pPr>
    </w:p>
    <w:p w14:paraId="5AD40C99">
      <w:pPr>
        <w:pStyle w:val="21"/>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13"/>
      </w:tblGrid>
      <w:tr w14:paraId="24CEB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00" w:type="dxa"/>
            <w:noWrap w:val="0"/>
            <w:vAlign w:val="center"/>
          </w:tcPr>
          <w:p w14:paraId="550F14D0">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区域</w:t>
            </w:r>
          </w:p>
          <w:p w14:paraId="0300FE08">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14:paraId="0C411757">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质量</w:t>
            </w:r>
          </w:p>
          <w:p w14:paraId="5C448A44">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现状</w:t>
            </w:r>
          </w:p>
        </w:tc>
        <w:tc>
          <w:tcPr>
            <w:tcW w:w="8213" w:type="dxa"/>
            <w:noWrap w:val="0"/>
            <w:vAlign w:val="center"/>
          </w:tcPr>
          <w:p w14:paraId="30F111DB">
            <w:pPr>
              <w:pStyle w:val="7"/>
              <w:ind w:firstLine="482"/>
              <w:rPr>
                <w:b/>
                <w:bCs/>
                <w:color w:val="auto"/>
                <w:highlight w:val="none"/>
              </w:rPr>
            </w:pPr>
            <w:r>
              <w:rPr>
                <w:b/>
                <w:bCs/>
                <w:color w:val="auto"/>
                <w:highlight w:val="none"/>
              </w:rPr>
              <w:t>1、大气环境质量</w:t>
            </w:r>
          </w:p>
          <w:p w14:paraId="6D3231E6">
            <w:pPr>
              <w:pStyle w:val="7"/>
              <w:ind w:firstLine="480"/>
              <w:rPr>
                <w:color w:val="auto"/>
                <w:highlight w:val="none"/>
              </w:rPr>
            </w:pPr>
            <w:r>
              <w:rPr>
                <w:color w:val="auto"/>
                <w:highlight w:val="none"/>
              </w:rPr>
              <w:t>（1）</w:t>
            </w:r>
            <w:r>
              <w:rPr>
                <w:rFonts w:hint="eastAsia"/>
                <w:color w:val="auto"/>
                <w:highlight w:val="none"/>
              </w:rPr>
              <w:t>空气质量达标区判定</w:t>
            </w:r>
          </w:p>
          <w:p w14:paraId="11CC929B">
            <w:pPr>
              <w:pStyle w:val="7"/>
              <w:ind w:firstLine="480"/>
              <w:rPr>
                <w:color w:val="auto"/>
                <w:highlight w:val="none"/>
              </w:rPr>
            </w:pPr>
            <w:r>
              <w:rPr>
                <w:color w:val="auto"/>
                <w:highlight w:val="none"/>
              </w:rPr>
              <w:t>本次环评基本污染物根据陕西省生态环境厅公布的《环保快报202</w:t>
            </w:r>
            <w:r>
              <w:rPr>
                <w:rFonts w:hint="eastAsia"/>
                <w:color w:val="auto"/>
                <w:highlight w:val="none"/>
              </w:rPr>
              <w:t>4</w:t>
            </w:r>
            <w:r>
              <w:rPr>
                <w:color w:val="auto"/>
                <w:highlight w:val="none"/>
              </w:rPr>
              <w:t>年12月及1~12月全省环境空气质量状况》进行评价。本评价选用202</w:t>
            </w:r>
            <w:r>
              <w:rPr>
                <w:rFonts w:hint="eastAsia"/>
                <w:color w:val="auto"/>
                <w:highlight w:val="none"/>
              </w:rPr>
              <w:t>4</w:t>
            </w:r>
            <w:r>
              <w:rPr>
                <w:color w:val="auto"/>
                <w:highlight w:val="none"/>
              </w:rPr>
              <w:t>年1~12月关中地区6</w:t>
            </w:r>
            <w:r>
              <w:rPr>
                <w:rFonts w:hint="eastAsia"/>
                <w:color w:val="auto"/>
                <w:highlight w:val="none"/>
              </w:rPr>
              <w:t>3</w:t>
            </w:r>
            <w:r>
              <w:rPr>
                <w:color w:val="auto"/>
                <w:highlight w:val="none"/>
              </w:rPr>
              <w:t>个县（区）空气质量状况统计表中西咸新区的数据对该区域基本污染物环境质量现状进行评价。</w:t>
            </w:r>
          </w:p>
          <w:p w14:paraId="579EE566">
            <w:pPr>
              <w:jc w:val="center"/>
              <w:rPr>
                <w:b/>
                <w:bCs/>
                <w:color w:val="auto"/>
                <w:sz w:val="24"/>
                <w:szCs w:val="32"/>
                <w:highlight w:val="none"/>
              </w:rPr>
            </w:pPr>
            <w:r>
              <w:rPr>
                <w:b/>
                <w:bCs/>
                <w:color w:val="auto"/>
                <w:sz w:val="24"/>
                <w:szCs w:val="32"/>
                <w:highlight w:val="none"/>
              </w:rPr>
              <w:t>表3-1  西咸新区环境空气质量状况</w:t>
            </w:r>
          </w:p>
          <w:tbl>
            <w:tblPr>
              <w:tblStyle w:val="24"/>
              <w:tblW w:w="799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9"/>
              <w:gridCol w:w="2451"/>
              <w:gridCol w:w="1252"/>
              <w:gridCol w:w="1194"/>
              <w:gridCol w:w="1147"/>
              <w:gridCol w:w="1004"/>
            </w:tblGrid>
            <w:tr w14:paraId="3AF012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3" w:hRule="atLeast"/>
              </w:trPr>
              <w:tc>
                <w:tcPr>
                  <w:tcW w:w="593" w:type="pct"/>
                  <w:tcBorders>
                    <w:top w:val="single" w:color="auto" w:sz="12" w:space="0"/>
                    <w:left w:val="nil"/>
                    <w:bottom w:val="single" w:color="auto" w:sz="6" w:space="0"/>
                    <w:right w:val="single" w:color="auto" w:sz="6" w:space="0"/>
                  </w:tcBorders>
                  <w:noWrap w:val="0"/>
                  <w:vAlign w:val="center"/>
                </w:tcPr>
                <w:p w14:paraId="17BA1798">
                  <w:pPr>
                    <w:jc w:val="center"/>
                    <w:rPr>
                      <w:b/>
                      <w:bCs/>
                      <w:color w:val="auto"/>
                      <w:szCs w:val="21"/>
                      <w:highlight w:val="none"/>
                    </w:rPr>
                  </w:pPr>
                  <w:r>
                    <w:rPr>
                      <w:b/>
                      <w:bCs/>
                      <w:color w:val="auto"/>
                      <w:szCs w:val="21"/>
                      <w:highlight w:val="none"/>
                    </w:rPr>
                    <w:t>污染物</w:t>
                  </w:r>
                </w:p>
              </w:tc>
              <w:tc>
                <w:tcPr>
                  <w:tcW w:w="1532" w:type="pct"/>
                  <w:tcBorders>
                    <w:top w:val="single" w:color="auto" w:sz="12" w:space="0"/>
                    <w:left w:val="single" w:color="auto" w:sz="6" w:space="0"/>
                    <w:bottom w:val="single" w:color="auto" w:sz="6" w:space="0"/>
                    <w:right w:val="single" w:color="auto" w:sz="6" w:space="0"/>
                  </w:tcBorders>
                  <w:noWrap w:val="0"/>
                  <w:vAlign w:val="center"/>
                </w:tcPr>
                <w:p w14:paraId="22EEA359">
                  <w:pPr>
                    <w:jc w:val="center"/>
                    <w:rPr>
                      <w:b/>
                      <w:bCs/>
                      <w:color w:val="auto"/>
                      <w:szCs w:val="21"/>
                      <w:highlight w:val="none"/>
                    </w:rPr>
                  </w:pPr>
                  <w:r>
                    <w:rPr>
                      <w:b/>
                      <w:bCs/>
                      <w:color w:val="auto"/>
                      <w:szCs w:val="21"/>
                      <w:highlight w:val="none"/>
                    </w:rPr>
                    <w:t>年评价指标</w:t>
                  </w:r>
                </w:p>
              </w:tc>
              <w:tc>
                <w:tcPr>
                  <w:tcW w:w="782" w:type="pct"/>
                  <w:tcBorders>
                    <w:top w:val="single" w:color="auto" w:sz="12" w:space="0"/>
                    <w:left w:val="single" w:color="auto" w:sz="6" w:space="0"/>
                    <w:bottom w:val="single" w:color="auto" w:sz="6" w:space="0"/>
                    <w:right w:val="single" w:color="auto" w:sz="6" w:space="0"/>
                  </w:tcBorders>
                  <w:noWrap w:val="0"/>
                  <w:vAlign w:val="center"/>
                </w:tcPr>
                <w:p w14:paraId="14CA78A7">
                  <w:pPr>
                    <w:jc w:val="center"/>
                    <w:rPr>
                      <w:b/>
                      <w:bCs/>
                      <w:color w:val="auto"/>
                      <w:szCs w:val="21"/>
                      <w:highlight w:val="none"/>
                    </w:rPr>
                  </w:pPr>
                  <w:r>
                    <w:rPr>
                      <w:b/>
                      <w:bCs/>
                      <w:color w:val="auto"/>
                      <w:szCs w:val="21"/>
                      <w:highlight w:val="none"/>
                    </w:rPr>
                    <w:t>现状浓度（μg/m</w:t>
                  </w:r>
                  <w:r>
                    <w:rPr>
                      <w:b/>
                      <w:bCs/>
                      <w:color w:val="auto"/>
                      <w:szCs w:val="21"/>
                      <w:highlight w:val="none"/>
                      <w:vertAlign w:val="superscript"/>
                    </w:rPr>
                    <w:t>3</w:t>
                  </w:r>
                  <w:r>
                    <w:rPr>
                      <w:b/>
                      <w:bCs/>
                      <w:color w:val="auto"/>
                      <w:szCs w:val="21"/>
                      <w:highlight w:val="none"/>
                    </w:rPr>
                    <w:t>）</w:t>
                  </w:r>
                </w:p>
              </w:tc>
              <w:tc>
                <w:tcPr>
                  <w:tcW w:w="746" w:type="pct"/>
                  <w:tcBorders>
                    <w:top w:val="single" w:color="auto" w:sz="12" w:space="0"/>
                    <w:left w:val="single" w:color="auto" w:sz="6" w:space="0"/>
                    <w:bottom w:val="single" w:color="auto" w:sz="6" w:space="0"/>
                    <w:right w:val="single" w:color="auto" w:sz="6" w:space="0"/>
                  </w:tcBorders>
                  <w:noWrap w:val="0"/>
                  <w:vAlign w:val="center"/>
                </w:tcPr>
                <w:p w14:paraId="5EE70422">
                  <w:pPr>
                    <w:jc w:val="center"/>
                    <w:rPr>
                      <w:b/>
                      <w:bCs/>
                      <w:color w:val="auto"/>
                      <w:szCs w:val="21"/>
                      <w:highlight w:val="none"/>
                    </w:rPr>
                  </w:pPr>
                  <w:r>
                    <w:rPr>
                      <w:b/>
                      <w:bCs/>
                      <w:color w:val="auto"/>
                      <w:szCs w:val="21"/>
                      <w:highlight w:val="none"/>
                    </w:rPr>
                    <w:t>标准值（μg/m</w:t>
                  </w:r>
                  <w:r>
                    <w:rPr>
                      <w:b/>
                      <w:bCs/>
                      <w:color w:val="auto"/>
                      <w:szCs w:val="21"/>
                      <w:highlight w:val="none"/>
                      <w:vertAlign w:val="superscript"/>
                    </w:rPr>
                    <w:t>3</w:t>
                  </w:r>
                  <w:r>
                    <w:rPr>
                      <w:b/>
                      <w:bCs/>
                      <w:color w:val="auto"/>
                      <w:szCs w:val="21"/>
                      <w:highlight w:val="none"/>
                    </w:rPr>
                    <w:t>）</w:t>
                  </w:r>
                </w:p>
              </w:tc>
              <w:tc>
                <w:tcPr>
                  <w:tcW w:w="717" w:type="pct"/>
                  <w:tcBorders>
                    <w:top w:val="single" w:color="auto" w:sz="12" w:space="0"/>
                    <w:left w:val="single" w:color="auto" w:sz="6" w:space="0"/>
                    <w:bottom w:val="single" w:color="auto" w:sz="6" w:space="0"/>
                    <w:right w:val="single" w:color="auto" w:sz="6" w:space="0"/>
                  </w:tcBorders>
                  <w:noWrap w:val="0"/>
                  <w:vAlign w:val="center"/>
                </w:tcPr>
                <w:p w14:paraId="1916FE2A">
                  <w:pPr>
                    <w:jc w:val="center"/>
                    <w:rPr>
                      <w:b/>
                      <w:bCs/>
                      <w:color w:val="auto"/>
                      <w:szCs w:val="21"/>
                      <w:highlight w:val="none"/>
                    </w:rPr>
                  </w:pPr>
                  <w:r>
                    <w:rPr>
                      <w:b/>
                      <w:bCs/>
                      <w:color w:val="auto"/>
                      <w:szCs w:val="21"/>
                      <w:highlight w:val="none"/>
                    </w:rPr>
                    <w:t>占标率</w:t>
                  </w:r>
                </w:p>
              </w:tc>
              <w:tc>
                <w:tcPr>
                  <w:tcW w:w="627" w:type="pct"/>
                  <w:tcBorders>
                    <w:top w:val="single" w:color="auto" w:sz="12" w:space="0"/>
                    <w:left w:val="single" w:color="auto" w:sz="6" w:space="0"/>
                    <w:bottom w:val="single" w:color="auto" w:sz="6" w:space="0"/>
                    <w:right w:val="nil"/>
                  </w:tcBorders>
                  <w:noWrap w:val="0"/>
                  <w:vAlign w:val="center"/>
                </w:tcPr>
                <w:p w14:paraId="6E409EE9">
                  <w:pPr>
                    <w:jc w:val="center"/>
                    <w:rPr>
                      <w:b/>
                      <w:bCs/>
                      <w:color w:val="auto"/>
                      <w:szCs w:val="21"/>
                      <w:highlight w:val="none"/>
                    </w:rPr>
                  </w:pPr>
                  <w:r>
                    <w:rPr>
                      <w:b/>
                      <w:bCs/>
                      <w:color w:val="auto"/>
                      <w:szCs w:val="21"/>
                      <w:highlight w:val="none"/>
                    </w:rPr>
                    <w:t>达标</w:t>
                  </w:r>
                </w:p>
                <w:p w14:paraId="042B975E">
                  <w:pPr>
                    <w:jc w:val="center"/>
                    <w:rPr>
                      <w:b/>
                      <w:bCs/>
                      <w:color w:val="auto"/>
                      <w:szCs w:val="21"/>
                      <w:highlight w:val="none"/>
                    </w:rPr>
                  </w:pPr>
                  <w:r>
                    <w:rPr>
                      <w:b/>
                      <w:bCs/>
                      <w:color w:val="auto"/>
                      <w:szCs w:val="21"/>
                      <w:highlight w:val="none"/>
                    </w:rPr>
                    <w:t>情况</w:t>
                  </w:r>
                </w:p>
              </w:tc>
            </w:tr>
            <w:tr w14:paraId="22F6C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593" w:type="pct"/>
                  <w:tcBorders>
                    <w:top w:val="single" w:color="auto" w:sz="6" w:space="0"/>
                    <w:left w:val="nil"/>
                    <w:bottom w:val="single" w:color="auto" w:sz="6" w:space="0"/>
                    <w:right w:val="single" w:color="auto" w:sz="6" w:space="0"/>
                  </w:tcBorders>
                  <w:noWrap w:val="0"/>
                  <w:vAlign w:val="center"/>
                </w:tcPr>
                <w:p w14:paraId="64B1CD0D">
                  <w:pPr>
                    <w:jc w:val="center"/>
                    <w:rPr>
                      <w:color w:val="auto"/>
                      <w:szCs w:val="21"/>
                      <w:highlight w:val="none"/>
                    </w:rPr>
                  </w:pPr>
                  <w:r>
                    <w:rPr>
                      <w:color w:val="auto"/>
                      <w:szCs w:val="21"/>
                      <w:highlight w:val="none"/>
                    </w:rPr>
                    <w:t>SO</w:t>
                  </w:r>
                  <w:r>
                    <w:rPr>
                      <w:color w:val="auto"/>
                      <w:szCs w:val="21"/>
                      <w:highlight w:val="none"/>
                      <w:vertAlign w:val="subscript"/>
                    </w:rPr>
                    <w:t>2</w:t>
                  </w:r>
                </w:p>
              </w:tc>
              <w:tc>
                <w:tcPr>
                  <w:tcW w:w="1532" w:type="pct"/>
                  <w:tcBorders>
                    <w:top w:val="single" w:color="auto" w:sz="6" w:space="0"/>
                    <w:left w:val="single" w:color="auto" w:sz="6" w:space="0"/>
                    <w:bottom w:val="single" w:color="auto" w:sz="6" w:space="0"/>
                    <w:right w:val="single" w:color="auto" w:sz="6" w:space="0"/>
                  </w:tcBorders>
                  <w:noWrap w:val="0"/>
                  <w:vAlign w:val="center"/>
                </w:tcPr>
                <w:p w14:paraId="6D76BE37">
                  <w:pPr>
                    <w:jc w:val="center"/>
                    <w:rPr>
                      <w:color w:val="auto"/>
                      <w:szCs w:val="21"/>
                      <w:highlight w:val="none"/>
                    </w:rPr>
                  </w:pPr>
                  <w:r>
                    <w:rPr>
                      <w:color w:val="auto"/>
                      <w:szCs w:val="21"/>
                      <w:highlight w:val="none"/>
                    </w:rPr>
                    <w:t>年平均质量浓度</w:t>
                  </w:r>
                </w:p>
              </w:tc>
              <w:tc>
                <w:tcPr>
                  <w:tcW w:w="782" w:type="pct"/>
                  <w:tcBorders>
                    <w:top w:val="single" w:color="auto" w:sz="6" w:space="0"/>
                    <w:left w:val="single" w:color="auto" w:sz="6" w:space="0"/>
                    <w:bottom w:val="single" w:color="auto" w:sz="6" w:space="0"/>
                    <w:right w:val="single" w:color="auto" w:sz="6" w:space="0"/>
                  </w:tcBorders>
                  <w:noWrap w:val="0"/>
                  <w:vAlign w:val="center"/>
                </w:tcPr>
                <w:p w14:paraId="1543236C">
                  <w:pPr>
                    <w:jc w:val="center"/>
                    <w:rPr>
                      <w:rFonts w:hint="eastAsia"/>
                      <w:color w:val="auto"/>
                      <w:szCs w:val="21"/>
                      <w:highlight w:val="none"/>
                    </w:rPr>
                  </w:pPr>
                  <w:r>
                    <w:rPr>
                      <w:rFonts w:hint="eastAsia"/>
                      <w:color w:val="auto"/>
                      <w:szCs w:val="21"/>
                      <w:highlight w:val="none"/>
                    </w:rPr>
                    <w:t>5</w:t>
                  </w:r>
                </w:p>
              </w:tc>
              <w:tc>
                <w:tcPr>
                  <w:tcW w:w="746" w:type="pct"/>
                  <w:tcBorders>
                    <w:top w:val="single" w:color="auto" w:sz="6" w:space="0"/>
                    <w:left w:val="single" w:color="auto" w:sz="6" w:space="0"/>
                    <w:bottom w:val="single" w:color="auto" w:sz="6" w:space="0"/>
                    <w:right w:val="single" w:color="auto" w:sz="6" w:space="0"/>
                  </w:tcBorders>
                  <w:noWrap w:val="0"/>
                  <w:vAlign w:val="center"/>
                </w:tcPr>
                <w:p w14:paraId="3872A19A">
                  <w:pPr>
                    <w:jc w:val="center"/>
                    <w:rPr>
                      <w:color w:val="auto"/>
                      <w:szCs w:val="21"/>
                      <w:highlight w:val="none"/>
                    </w:rPr>
                  </w:pPr>
                  <w:r>
                    <w:rPr>
                      <w:color w:val="auto"/>
                      <w:szCs w:val="21"/>
                      <w:highlight w:val="none"/>
                    </w:rPr>
                    <w:t>60</w:t>
                  </w:r>
                </w:p>
              </w:tc>
              <w:tc>
                <w:tcPr>
                  <w:tcW w:w="717" w:type="pct"/>
                  <w:tcBorders>
                    <w:top w:val="single" w:color="auto" w:sz="6" w:space="0"/>
                    <w:left w:val="single" w:color="auto" w:sz="6" w:space="0"/>
                    <w:bottom w:val="single" w:color="auto" w:sz="6" w:space="0"/>
                    <w:right w:val="single" w:color="auto" w:sz="6" w:space="0"/>
                  </w:tcBorders>
                  <w:noWrap w:val="0"/>
                  <w:vAlign w:val="center"/>
                </w:tcPr>
                <w:p w14:paraId="3CDBB51D">
                  <w:pPr>
                    <w:widowControl/>
                    <w:jc w:val="center"/>
                    <w:textAlignment w:val="center"/>
                    <w:rPr>
                      <w:color w:val="auto"/>
                      <w:szCs w:val="21"/>
                      <w:highlight w:val="none"/>
                    </w:rPr>
                  </w:pPr>
                  <w:r>
                    <w:rPr>
                      <w:rFonts w:hint="eastAsia"/>
                      <w:color w:val="auto"/>
                      <w:szCs w:val="21"/>
                      <w:highlight w:val="none"/>
                    </w:rPr>
                    <w:t>8.3</w:t>
                  </w:r>
                  <w:r>
                    <w:rPr>
                      <w:color w:val="auto"/>
                      <w:szCs w:val="21"/>
                      <w:highlight w:val="none"/>
                    </w:rPr>
                    <w:t>%</w:t>
                  </w:r>
                </w:p>
              </w:tc>
              <w:tc>
                <w:tcPr>
                  <w:tcW w:w="627" w:type="pct"/>
                  <w:tcBorders>
                    <w:top w:val="single" w:color="auto" w:sz="6" w:space="0"/>
                    <w:left w:val="single" w:color="auto" w:sz="6" w:space="0"/>
                    <w:bottom w:val="single" w:color="auto" w:sz="6" w:space="0"/>
                    <w:right w:val="nil"/>
                  </w:tcBorders>
                  <w:noWrap w:val="0"/>
                  <w:vAlign w:val="center"/>
                </w:tcPr>
                <w:p w14:paraId="53A454A0">
                  <w:pPr>
                    <w:jc w:val="center"/>
                    <w:rPr>
                      <w:color w:val="auto"/>
                      <w:szCs w:val="21"/>
                      <w:highlight w:val="none"/>
                    </w:rPr>
                  </w:pPr>
                  <w:r>
                    <w:rPr>
                      <w:color w:val="auto"/>
                      <w:szCs w:val="21"/>
                      <w:highlight w:val="none"/>
                    </w:rPr>
                    <w:t>达标</w:t>
                  </w:r>
                </w:p>
              </w:tc>
            </w:tr>
            <w:tr w14:paraId="04C3A9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593" w:type="pct"/>
                  <w:tcBorders>
                    <w:top w:val="single" w:color="auto" w:sz="6" w:space="0"/>
                    <w:left w:val="nil"/>
                    <w:bottom w:val="single" w:color="auto" w:sz="6" w:space="0"/>
                    <w:right w:val="single" w:color="auto" w:sz="6" w:space="0"/>
                  </w:tcBorders>
                  <w:noWrap w:val="0"/>
                  <w:vAlign w:val="center"/>
                </w:tcPr>
                <w:p w14:paraId="592EFBFA">
                  <w:pPr>
                    <w:jc w:val="center"/>
                    <w:rPr>
                      <w:color w:val="auto"/>
                      <w:szCs w:val="21"/>
                      <w:highlight w:val="none"/>
                    </w:rPr>
                  </w:pPr>
                  <w:r>
                    <w:rPr>
                      <w:color w:val="auto"/>
                      <w:szCs w:val="21"/>
                      <w:highlight w:val="none"/>
                    </w:rPr>
                    <w:t>NO</w:t>
                  </w:r>
                  <w:r>
                    <w:rPr>
                      <w:color w:val="auto"/>
                      <w:szCs w:val="21"/>
                      <w:highlight w:val="none"/>
                      <w:vertAlign w:val="subscript"/>
                    </w:rPr>
                    <w:t>2</w:t>
                  </w:r>
                </w:p>
              </w:tc>
              <w:tc>
                <w:tcPr>
                  <w:tcW w:w="1532" w:type="pct"/>
                  <w:tcBorders>
                    <w:top w:val="single" w:color="auto" w:sz="6" w:space="0"/>
                    <w:left w:val="single" w:color="auto" w:sz="6" w:space="0"/>
                    <w:bottom w:val="single" w:color="auto" w:sz="6" w:space="0"/>
                    <w:right w:val="single" w:color="auto" w:sz="6" w:space="0"/>
                  </w:tcBorders>
                  <w:noWrap w:val="0"/>
                  <w:vAlign w:val="center"/>
                </w:tcPr>
                <w:p w14:paraId="5C391959">
                  <w:pPr>
                    <w:jc w:val="center"/>
                    <w:rPr>
                      <w:color w:val="auto"/>
                      <w:szCs w:val="21"/>
                      <w:highlight w:val="none"/>
                    </w:rPr>
                  </w:pPr>
                  <w:r>
                    <w:rPr>
                      <w:color w:val="auto"/>
                      <w:szCs w:val="21"/>
                      <w:highlight w:val="none"/>
                    </w:rPr>
                    <w:t>年平均质量浓度</w:t>
                  </w:r>
                </w:p>
              </w:tc>
              <w:tc>
                <w:tcPr>
                  <w:tcW w:w="782" w:type="pct"/>
                  <w:tcBorders>
                    <w:top w:val="single" w:color="auto" w:sz="6" w:space="0"/>
                    <w:left w:val="single" w:color="auto" w:sz="6" w:space="0"/>
                    <w:bottom w:val="single" w:color="auto" w:sz="6" w:space="0"/>
                    <w:right w:val="single" w:color="auto" w:sz="6" w:space="0"/>
                  </w:tcBorders>
                  <w:noWrap w:val="0"/>
                  <w:vAlign w:val="center"/>
                </w:tcPr>
                <w:p w14:paraId="7D5E6F7F">
                  <w:pPr>
                    <w:jc w:val="center"/>
                    <w:rPr>
                      <w:color w:val="auto"/>
                      <w:szCs w:val="21"/>
                      <w:highlight w:val="none"/>
                    </w:rPr>
                  </w:pPr>
                  <w:r>
                    <w:rPr>
                      <w:rFonts w:hint="eastAsia"/>
                      <w:color w:val="auto"/>
                      <w:szCs w:val="21"/>
                      <w:highlight w:val="none"/>
                    </w:rPr>
                    <w:t>31</w:t>
                  </w:r>
                </w:p>
              </w:tc>
              <w:tc>
                <w:tcPr>
                  <w:tcW w:w="746" w:type="pct"/>
                  <w:tcBorders>
                    <w:top w:val="single" w:color="auto" w:sz="6" w:space="0"/>
                    <w:left w:val="single" w:color="auto" w:sz="6" w:space="0"/>
                    <w:bottom w:val="single" w:color="auto" w:sz="6" w:space="0"/>
                    <w:right w:val="single" w:color="auto" w:sz="6" w:space="0"/>
                  </w:tcBorders>
                  <w:noWrap w:val="0"/>
                  <w:vAlign w:val="center"/>
                </w:tcPr>
                <w:p w14:paraId="0CFB39FE">
                  <w:pPr>
                    <w:jc w:val="center"/>
                    <w:rPr>
                      <w:color w:val="auto"/>
                      <w:szCs w:val="21"/>
                      <w:highlight w:val="none"/>
                    </w:rPr>
                  </w:pPr>
                  <w:r>
                    <w:rPr>
                      <w:color w:val="auto"/>
                      <w:szCs w:val="21"/>
                      <w:highlight w:val="none"/>
                    </w:rPr>
                    <w:t>40</w:t>
                  </w:r>
                </w:p>
              </w:tc>
              <w:tc>
                <w:tcPr>
                  <w:tcW w:w="717" w:type="pct"/>
                  <w:tcBorders>
                    <w:top w:val="single" w:color="auto" w:sz="6" w:space="0"/>
                    <w:left w:val="single" w:color="auto" w:sz="6" w:space="0"/>
                    <w:bottom w:val="single" w:color="auto" w:sz="6" w:space="0"/>
                    <w:right w:val="single" w:color="auto" w:sz="6" w:space="0"/>
                  </w:tcBorders>
                  <w:noWrap w:val="0"/>
                  <w:vAlign w:val="center"/>
                </w:tcPr>
                <w:p w14:paraId="14F9CD8A">
                  <w:pPr>
                    <w:widowControl/>
                    <w:jc w:val="center"/>
                    <w:textAlignment w:val="center"/>
                    <w:rPr>
                      <w:color w:val="auto"/>
                      <w:szCs w:val="21"/>
                      <w:highlight w:val="none"/>
                    </w:rPr>
                  </w:pPr>
                  <w:r>
                    <w:rPr>
                      <w:rFonts w:hint="eastAsia"/>
                      <w:color w:val="auto"/>
                      <w:szCs w:val="21"/>
                      <w:highlight w:val="none"/>
                    </w:rPr>
                    <w:t>77.5</w:t>
                  </w:r>
                  <w:r>
                    <w:rPr>
                      <w:color w:val="auto"/>
                      <w:szCs w:val="21"/>
                      <w:highlight w:val="none"/>
                    </w:rPr>
                    <w:t>%</w:t>
                  </w:r>
                </w:p>
              </w:tc>
              <w:tc>
                <w:tcPr>
                  <w:tcW w:w="627" w:type="pct"/>
                  <w:tcBorders>
                    <w:top w:val="single" w:color="auto" w:sz="6" w:space="0"/>
                    <w:left w:val="single" w:color="auto" w:sz="6" w:space="0"/>
                    <w:bottom w:val="single" w:color="auto" w:sz="6" w:space="0"/>
                    <w:right w:val="nil"/>
                  </w:tcBorders>
                  <w:noWrap w:val="0"/>
                  <w:vAlign w:val="center"/>
                </w:tcPr>
                <w:p w14:paraId="62CE9F61">
                  <w:pPr>
                    <w:jc w:val="center"/>
                    <w:rPr>
                      <w:color w:val="auto"/>
                      <w:szCs w:val="21"/>
                      <w:highlight w:val="none"/>
                    </w:rPr>
                  </w:pPr>
                  <w:r>
                    <w:rPr>
                      <w:color w:val="auto"/>
                      <w:szCs w:val="21"/>
                      <w:highlight w:val="none"/>
                    </w:rPr>
                    <w:t>达标</w:t>
                  </w:r>
                </w:p>
              </w:tc>
            </w:tr>
            <w:tr w14:paraId="6B1194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593" w:type="pct"/>
                  <w:tcBorders>
                    <w:top w:val="single" w:color="auto" w:sz="6" w:space="0"/>
                    <w:left w:val="nil"/>
                    <w:bottom w:val="single" w:color="auto" w:sz="6" w:space="0"/>
                    <w:right w:val="single" w:color="auto" w:sz="6" w:space="0"/>
                  </w:tcBorders>
                  <w:noWrap w:val="0"/>
                  <w:vAlign w:val="center"/>
                </w:tcPr>
                <w:p w14:paraId="60EA8262">
                  <w:pPr>
                    <w:jc w:val="center"/>
                    <w:rPr>
                      <w:color w:val="auto"/>
                      <w:szCs w:val="21"/>
                      <w:highlight w:val="none"/>
                    </w:rPr>
                  </w:pPr>
                  <w:r>
                    <w:rPr>
                      <w:color w:val="auto"/>
                      <w:szCs w:val="21"/>
                      <w:highlight w:val="none"/>
                    </w:rPr>
                    <w:t>CO</w:t>
                  </w:r>
                </w:p>
              </w:tc>
              <w:tc>
                <w:tcPr>
                  <w:tcW w:w="1532" w:type="pct"/>
                  <w:tcBorders>
                    <w:top w:val="single" w:color="auto" w:sz="6" w:space="0"/>
                    <w:left w:val="single" w:color="auto" w:sz="6" w:space="0"/>
                    <w:bottom w:val="single" w:color="auto" w:sz="6" w:space="0"/>
                    <w:right w:val="single" w:color="auto" w:sz="6" w:space="0"/>
                  </w:tcBorders>
                  <w:noWrap w:val="0"/>
                  <w:vAlign w:val="center"/>
                </w:tcPr>
                <w:p w14:paraId="6BC82197">
                  <w:pPr>
                    <w:jc w:val="center"/>
                    <w:rPr>
                      <w:color w:val="auto"/>
                      <w:szCs w:val="21"/>
                      <w:highlight w:val="none"/>
                    </w:rPr>
                  </w:pPr>
                  <w:r>
                    <w:rPr>
                      <w:color w:val="auto"/>
                      <w:szCs w:val="21"/>
                      <w:highlight w:val="none"/>
                    </w:rPr>
                    <w:t>24小时平均第95百分位浓度</w:t>
                  </w:r>
                </w:p>
              </w:tc>
              <w:tc>
                <w:tcPr>
                  <w:tcW w:w="782" w:type="pct"/>
                  <w:tcBorders>
                    <w:top w:val="single" w:color="auto" w:sz="6" w:space="0"/>
                    <w:left w:val="single" w:color="auto" w:sz="6" w:space="0"/>
                    <w:bottom w:val="single" w:color="auto" w:sz="6" w:space="0"/>
                    <w:right w:val="single" w:color="auto" w:sz="6" w:space="0"/>
                  </w:tcBorders>
                  <w:noWrap w:val="0"/>
                  <w:vAlign w:val="center"/>
                </w:tcPr>
                <w:p w14:paraId="2AFCAC6A">
                  <w:pPr>
                    <w:jc w:val="center"/>
                    <w:rPr>
                      <w:color w:val="auto"/>
                      <w:szCs w:val="21"/>
                      <w:highlight w:val="none"/>
                    </w:rPr>
                  </w:pPr>
                  <w:r>
                    <w:rPr>
                      <w:rFonts w:hint="eastAsia"/>
                      <w:color w:val="auto"/>
                      <w:szCs w:val="21"/>
                      <w:highlight w:val="none"/>
                    </w:rPr>
                    <w:t>1100</w:t>
                  </w:r>
                </w:p>
              </w:tc>
              <w:tc>
                <w:tcPr>
                  <w:tcW w:w="746" w:type="pct"/>
                  <w:tcBorders>
                    <w:top w:val="single" w:color="auto" w:sz="6" w:space="0"/>
                    <w:left w:val="single" w:color="auto" w:sz="6" w:space="0"/>
                    <w:bottom w:val="single" w:color="auto" w:sz="6" w:space="0"/>
                    <w:right w:val="single" w:color="auto" w:sz="6" w:space="0"/>
                  </w:tcBorders>
                  <w:noWrap w:val="0"/>
                  <w:vAlign w:val="center"/>
                </w:tcPr>
                <w:p w14:paraId="0FCD34B3">
                  <w:pPr>
                    <w:jc w:val="center"/>
                    <w:rPr>
                      <w:color w:val="auto"/>
                      <w:szCs w:val="21"/>
                      <w:highlight w:val="none"/>
                    </w:rPr>
                  </w:pPr>
                  <w:r>
                    <w:rPr>
                      <w:color w:val="auto"/>
                      <w:szCs w:val="21"/>
                      <w:highlight w:val="none"/>
                    </w:rPr>
                    <w:t>4000</w:t>
                  </w:r>
                </w:p>
              </w:tc>
              <w:tc>
                <w:tcPr>
                  <w:tcW w:w="717" w:type="pct"/>
                  <w:tcBorders>
                    <w:top w:val="single" w:color="auto" w:sz="6" w:space="0"/>
                    <w:left w:val="single" w:color="auto" w:sz="6" w:space="0"/>
                    <w:bottom w:val="single" w:color="auto" w:sz="6" w:space="0"/>
                    <w:right w:val="single" w:color="auto" w:sz="6" w:space="0"/>
                  </w:tcBorders>
                  <w:noWrap w:val="0"/>
                  <w:vAlign w:val="center"/>
                </w:tcPr>
                <w:p w14:paraId="3EF8E98A">
                  <w:pPr>
                    <w:widowControl/>
                    <w:jc w:val="center"/>
                    <w:textAlignment w:val="center"/>
                    <w:rPr>
                      <w:color w:val="auto"/>
                      <w:szCs w:val="21"/>
                      <w:highlight w:val="none"/>
                    </w:rPr>
                  </w:pPr>
                  <w:r>
                    <w:rPr>
                      <w:rFonts w:hint="eastAsia"/>
                      <w:color w:val="auto"/>
                      <w:szCs w:val="21"/>
                      <w:highlight w:val="none"/>
                    </w:rPr>
                    <w:t>27.5</w:t>
                  </w:r>
                  <w:r>
                    <w:rPr>
                      <w:color w:val="auto"/>
                      <w:szCs w:val="21"/>
                      <w:highlight w:val="none"/>
                    </w:rPr>
                    <w:t>%</w:t>
                  </w:r>
                </w:p>
              </w:tc>
              <w:tc>
                <w:tcPr>
                  <w:tcW w:w="627" w:type="pct"/>
                  <w:tcBorders>
                    <w:top w:val="single" w:color="auto" w:sz="6" w:space="0"/>
                    <w:left w:val="single" w:color="auto" w:sz="6" w:space="0"/>
                    <w:bottom w:val="single" w:color="auto" w:sz="6" w:space="0"/>
                    <w:right w:val="nil"/>
                  </w:tcBorders>
                  <w:noWrap w:val="0"/>
                  <w:vAlign w:val="center"/>
                </w:tcPr>
                <w:p w14:paraId="5386075A">
                  <w:pPr>
                    <w:jc w:val="center"/>
                    <w:rPr>
                      <w:color w:val="auto"/>
                      <w:szCs w:val="21"/>
                      <w:highlight w:val="none"/>
                    </w:rPr>
                  </w:pPr>
                  <w:r>
                    <w:rPr>
                      <w:color w:val="auto"/>
                      <w:szCs w:val="21"/>
                      <w:highlight w:val="none"/>
                    </w:rPr>
                    <w:t>达标</w:t>
                  </w:r>
                </w:p>
              </w:tc>
            </w:tr>
            <w:tr w14:paraId="63D9DA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593" w:type="pct"/>
                  <w:tcBorders>
                    <w:top w:val="single" w:color="auto" w:sz="6" w:space="0"/>
                    <w:left w:val="nil"/>
                    <w:bottom w:val="single" w:color="auto" w:sz="6" w:space="0"/>
                    <w:right w:val="single" w:color="auto" w:sz="6" w:space="0"/>
                  </w:tcBorders>
                  <w:noWrap w:val="0"/>
                  <w:vAlign w:val="center"/>
                </w:tcPr>
                <w:p w14:paraId="12115BE4">
                  <w:pPr>
                    <w:jc w:val="center"/>
                    <w:rPr>
                      <w:color w:val="auto"/>
                      <w:szCs w:val="21"/>
                      <w:highlight w:val="none"/>
                    </w:rPr>
                  </w:pPr>
                  <w:r>
                    <w:rPr>
                      <w:color w:val="auto"/>
                      <w:szCs w:val="21"/>
                      <w:highlight w:val="none"/>
                    </w:rPr>
                    <w:t>O</w:t>
                  </w:r>
                  <w:r>
                    <w:rPr>
                      <w:color w:val="auto"/>
                      <w:szCs w:val="21"/>
                      <w:highlight w:val="none"/>
                      <w:vertAlign w:val="subscript"/>
                    </w:rPr>
                    <w:t>3</w:t>
                  </w:r>
                </w:p>
              </w:tc>
              <w:tc>
                <w:tcPr>
                  <w:tcW w:w="1532" w:type="pct"/>
                  <w:tcBorders>
                    <w:top w:val="single" w:color="auto" w:sz="6" w:space="0"/>
                    <w:left w:val="single" w:color="auto" w:sz="6" w:space="0"/>
                    <w:bottom w:val="single" w:color="auto" w:sz="6" w:space="0"/>
                    <w:right w:val="single" w:color="auto" w:sz="6" w:space="0"/>
                  </w:tcBorders>
                  <w:noWrap w:val="0"/>
                  <w:vAlign w:val="center"/>
                </w:tcPr>
                <w:p w14:paraId="303BB916">
                  <w:pPr>
                    <w:jc w:val="center"/>
                    <w:rPr>
                      <w:color w:val="auto"/>
                      <w:szCs w:val="21"/>
                      <w:highlight w:val="none"/>
                    </w:rPr>
                  </w:pPr>
                  <w:r>
                    <w:rPr>
                      <w:color w:val="auto"/>
                      <w:szCs w:val="21"/>
                      <w:highlight w:val="none"/>
                    </w:rPr>
                    <w:t>日最大8小时平均第90百分位浓度</w:t>
                  </w:r>
                </w:p>
              </w:tc>
              <w:tc>
                <w:tcPr>
                  <w:tcW w:w="782" w:type="pct"/>
                  <w:tcBorders>
                    <w:top w:val="single" w:color="auto" w:sz="6" w:space="0"/>
                    <w:left w:val="single" w:color="auto" w:sz="6" w:space="0"/>
                    <w:bottom w:val="single" w:color="auto" w:sz="6" w:space="0"/>
                    <w:right w:val="single" w:color="auto" w:sz="6" w:space="0"/>
                  </w:tcBorders>
                  <w:noWrap w:val="0"/>
                  <w:vAlign w:val="center"/>
                </w:tcPr>
                <w:p w14:paraId="14E49A39">
                  <w:pPr>
                    <w:jc w:val="center"/>
                    <w:rPr>
                      <w:color w:val="auto"/>
                      <w:szCs w:val="21"/>
                      <w:highlight w:val="none"/>
                    </w:rPr>
                  </w:pPr>
                  <w:r>
                    <w:rPr>
                      <w:rFonts w:hint="eastAsia"/>
                      <w:color w:val="auto"/>
                      <w:szCs w:val="21"/>
                      <w:highlight w:val="none"/>
                    </w:rPr>
                    <w:t>168</w:t>
                  </w:r>
                </w:p>
              </w:tc>
              <w:tc>
                <w:tcPr>
                  <w:tcW w:w="746" w:type="pct"/>
                  <w:tcBorders>
                    <w:top w:val="single" w:color="auto" w:sz="6" w:space="0"/>
                    <w:left w:val="single" w:color="auto" w:sz="6" w:space="0"/>
                    <w:bottom w:val="single" w:color="auto" w:sz="6" w:space="0"/>
                    <w:right w:val="single" w:color="auto" w:sz="6" w:space="0"/>
                  </w:tcBorders>
                  <w:noWrap w:val="0"/>
                  <w:vAlign w:val="center"/>
                </w:tcPr>
                <w:p w14:paraId="703E9CAD">
                  <w:pPr>
                    <w:jc w:val="center"/>
                    <w:rPr>
                      <w:color w:val="auto"/>
                      <w:szCs w:val="21"/>
                      <w:highlight w:val="none"/>
                    </w:rPr>
                  </w:pPr>
                  <w:r>
                    <w:rPr>
                      <w:color w:val="auto"/>
                      <w:szCs w:val="21"/>
                      <w:highlight w:val="none"/>
                    </w:rPr>
                    <w:t>160</w:t>
                  </w:r>
                </w:p>
              </w:tc>
              <w:tc>
                <w:tcPr>
                  <w:tcW w:w="717" w:type="pct"/>
                  <w:tcBorders>
                    <w:top w:val="single" w:color="auto" w:sz="6" w:space="0"/>
                    <w:left w:val="single" w:color="auto" w:sz="6" w:space="0"/>
                    <w:bottom w:val="single" w:color="auto" w:sz="6" w:space="0"/>
                    <w:right w:val="single" w:color="auto" w:sz="6" w:space="0"/>
                  </w:tcBorders>
                  <w:noWrap w:val="0"/>
                  <w:vAlign w:val="center"/>
                </w:tcPr>
                <w:p w14:paraId="41CFA18F">
                  <w:pPr>
                    <w:widowControl/>
                    <w:jc w:val="center"/>
                    <w:textAlignment w:val="center"/>
                    <w:rPr>
                      <w:color w:val="auto"/>
                      <w:szCs w:val="21"/>
                      <w:highlight w:val="none"/>
                    </w:rPr>
                  </w:pPr>
                  <w:r>
                    <w:rPr>
                      <w:rFonts w:hint="eastAsia"/>
                      <w:color w:val="auto"/>
                      <w:szCs w:val="21"/>
                      <w:highlight w:val="none"/>
                    </w:rPr>
                    <w:t>105</w:t>
                  </w:r>
                  <w:r>
                    <w:rPr>
                      <w:color w:val="auto"/>
                      <w:szCs w:val="21"/>
                      <w:highlight w:val="none"/>
                    </w:rPr>
                    <w:t>%</w:t>
                  </w:r>
                </w:p>
              </w:tc>
              <w:tc>
                <w:tcPr>
                  <w:tcW w:w="627" w:type="pct"/>
                  <w:tcBorders>
                    <w:top w:val="single" w:color="auto" w:sz="6" w:space="0"/>
                    <w:left w:val="single" w:color="auto" w:sz="6" w:space="0"/>
                    <w:bottom w:val="single" w:color="auto" w:sz="6" w:space="0"/>
                    <w:right w:val="nil"/>
                  </w:tcBorders>
                  <w:noWrap w:val="0"/>
                  <w:vAlign w:val="center"/>
                </w:tcPr>
                <w:p w14:paraId="5C0AD1CE">
                  <w:pPr>
                    <w:jc w:val="center"/>
                    <w:rPr>
                      <w:color w:val="auto"/>
                      <w:szCs w:val="21"/>
                      <w:highlight w:val="none"/>
                    </w:rPr>
                  </w:pPr>
                  <w:r>
                    <w:rPr>
                      <w:color w:val="auto"/>
                      <w:szCs w:val="21"/>
                      <w:highlight w:val="none"/>
                    </w:rPr>
                    <w:t>不达标</w:t>
                  </w:r>
                </w:p>
              </w:tc>
            </w:tr>
            <w:tr w14:paraId="624DE1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593" w:type="pct"/>
                  <w:tcBorders>
                    <w:top w:val="single" w:color="auto" w:sz="6" w:space="0"/>
                    <w:left w:val="nil"/>
                    <w:bottom w:val="single" w:color="auto" w:sz="6" w:space="0"/>
                    <w:right w:val="single" w:color="auto" w:sz="6" w:space="0"/>
                  </w:tcBorders>
                  <w:noWrap w:val="0"/>
                  <w:vAlign w:val="center"/>
                </w:tcPr>
                <w:p w14:paraId="680C7E12">
                  <w:pPr>
                    <w:jc w:val="center"/>
                    <w:rPr>
                      <w:color w:val="auto"/>
                      <w:szCs w:val="21"/>
                      <w:highlight w:val="none"/>
                    </w:rPr>
                  </w:pPr>
                  <w:r>
                    <w:rPr>
                      <w:color w:val="auto"/>
                      <w:szCs w:val="21"/>
                      <w:highlight w:val="none"/>
                    </w:rPr>
                    <w:t>PM</w:t>
                  </w:r>
                  <w:r>
                    <w:rPr>
                      <w:color w:val="auto"/>
                      <w:szCs w:val="21"/>
                      <w:highlight w:val="none"/>
                      <w:vertAlign w:val="subscript"/>
                    </w:rPr>
                    <w:t>10</w:t>
                  </w:r>
                </w:p>
              </w:tc>
              <w:tc>
                <w:tcPr>
                  <w:tcW w:w="1532" w:type="pct"/>
                  <w:tcBorders>
                    <w:top w:val="single" w:color="auto" w:sz="6" w:space="0"/>
                    <w:left w:val="single" w:color="auto" w:sz="6" w:space="0"/>
                    <w:bottom w:val="single" w:color="auto" w:sz="6" w:space="0"/>
                    <w:right w:val="single" w:color="auto" w:sz="6" w:space="0"/>
                  </w:tcBorders>
                  <w:noWrap w:val="0"/>
                  <w:vAlign w:val="center"/>
                </w:tcPr>
                <w:p w14:paraId="727957E0">
                  <w:pPr>
                    <w:jc w:val="center"/>
                    <w:rPr>
                      <w:color w:val="auto"/>
                      <w:szCs w:val="21"/>
                      <w:highlight w:val="none"/>
                    </w:rPr>
                  </w:pPr>
                  <w:r>
                    <w:rPr>
                      <w:color w:val="auto"/>
                      <w:szCs w:val="21"/>
                      <w:highlight w:val="none"/>
                    </w:rPr>
                    <w:t>年平均质量浓度</w:t>
                  </w:r>
                </w:p>
              </w:tc>
              <w:tc>
                <w:tcPr>
                  <w:tcW w:w="782" w:type="pct"/>
                  <w:tcBorders>
                    <w:top w:val="single" w:color="auto" w:sz="6" w:space="0"/>
                    <w:left w:val="single" w:color="auto" w:sz="6" w:space="0"/>
                    <w:bottom w:val="single" w:color="auto" w:sz="6" w:space="0"/>
                    <w:right w:val="single" w:color="auto" w:sz="6" w:space="0"/>
                  </w:tcBorders>
                  <w:noWrap w:val="0"/>
                  <w:vAlign w:val="center"/>
                </w:tcPr>
                <w:p w14:paraId="3FA0E332">
                  <w:pPr>
                    <w:jc w:val="center"/>
                    <w:rPr>
                      <w:color w:val="auto"/>
                      <w:szCs w:val="21"/>
                      <w:highlight w:val="none"/>
                    </w:rPr>
                  </w:pPr>
                  <w:r>
                    <w:rPr>
                      <w:rFonts w:hint="eastAsia"/>
                      <w:color w:val="auto"/>
                      <w:szCs w:val="21"/>
                      <w:highlight w:val="none"/>
                    </w:rPr>
                    <w:t>74</w:t>
                  </w:r>
                </w:p>
              </w:tc>
              <w:tc>
                <w:tcPr>
                  <w:tcW w:w="746" w:type="pct"/>
                  <w:tcBorders>
                    <w:top w:val="single" w:color="auto" w:sz="6" w:space="0"/>
                    <w:left w:val="single" w:color="auto" w:sz="6" w:space="0"/>
                    <w:bottom w:val="single" w:color="auto" w:sz="6" w:space="0"/>
                    <w:right w:val="single" w:color="auto" w:sz="6" w:space="0"/>
                  </w:tcBorders>
                  <w:noWrap w:val="0"/>
                  <w:vAlign w:val="center"/>
                </w:tcPr>
                <w:p w14:paraId="3352F988">
                  <w:pPr>
                    <w:jc w:val="center"/>
                    <w:rPr>
                      <w:color w:val="auto"/>
                      <w:szCs w:val="21"/>
                      <w:highlight w:val="none"/>
                    </w:rPr>
                  </w:pPr>
                  <w:r>
                    <w:rPr>
                      <w:color w:val="auto"/>
                      <w:szCs w:val="21"/>
                      <w:highlight w:val="none"/>
                    </w:rPr>
                    <w:t>70</w:t>
                  </w:r>
                </w:p>
              </w:tc>
              <w:tc>
                <w:tcPr>
                  <w:tcW w:w="717" w:type="pct"/>
                  <w:tcBorders>
                    <w:top w:val="single" w:color="auto" w:sz="6" w:space="0"/>
                    <w:left w:val="single" w:color="auto" w:sz="6" w:space="0"/>
                    <w:bottom w:val="single" w:color="auto" w:sz="6" w:space="0"/>
                    <w:right w:val="single" w:color="auto" w:sz="6" w:space="0"/>
                  </w:tcBorders>
                  <w:noWrap w:val="0"/>
                  <w:vAlign w:val="center"/>
                </w:tcPr>
                <w:p w14:paraId="5649A181">
                  <w:pPr>
                    <w:widowControl/>
                    <w:jc w:val="center"/>
                    <w:textAlignment w:val="center"/>
                    <w:rPr>
                      <w:color w:val="auto"/>
                      <w:szCs w:val="21"/>
                      <w:highlight w:val="none"/>
                    </w:rPr>
                  </w:pPr>
                  <w:r>
                    <w:rPr>
                      <w:rFonts w:hint="eastAsia"/>
                      <w:color w:val="auto"/>
                      <w:szCs w:val="21"/>
                      <w:highlight w:val="none"/>
                    </w:rPr>
                    <w:t>105.7</w:t>
                  </w:r>
                  <w:r>
                    <w:rPr>
                      <w:color w:val="auto"/>
                      <w:szCs w:val="21"/>
                      <w:highlight w:val="none"/>
                    </w:rPr>
                    <w:t>%</w:t>
                  </w:r>
                </w:p>
              </w:tc>
              <w:tc>
                <w:tcPr>
                  <w:tcW w:w="627" w:type="pct"/>
                  <w:tcBorders>
                    <w:top w:val="single" w:color="auto" w:sz="6" w:space="0"/>
                    <w:left w:val="single" w:color="auto" w:sz="6" w:space="0"/>
                    <w:bottom w:val="single" w:color="auto" w:sz="6" w:space="0"/>
                    <w:right w:val="nil"/>
                  </w:tcBorders>
                  <w:noWrap w:val="0"/>
                  <w:vAlign w:val="center"/>
                </w:tcPr>
                <w:p w14:paraId="1BA3BE25">
                  <w:pPr>
                    <w:jc w:val="center"/>
                    <w:rPr>
                      <w:color w:val="auto"/>
                      <w:szCs w:val="21"/>
                      <w:highlight w:val="none"/>
                    </w:rPr>
                  </w:pPr>
                  <w:r>
                    <w:rPr>
                      <w:color w:val="auto"/>
                      <w:szCs w:val="21"/>
                      <w:highlight w:val="none"/>
                    </w:rPr>
                    <w:t>不达标</w:t>
                  </w:r>
                </w:p>
              </w:tc>
            </w:tr>
            <w:tr w14:paraId="41EDA7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93" w:type="pct"/>
                  <w:tcBorders>
                    <w:top w:val="single" w:color="auto" w:sz="6" w:space="0"/>
                    <w:left w:val="nil"/>
                    <w:bottom w:val="single" w:color="auto" w:sz="12" w:space="0"/>
                    <w:right w:val="single" w:color="auto" w:sz="6" w:space="0"/>
                  </w:tcBorders>
                  <w:noWrap w:val="0"/>
                  <w:vAlign w:val="center"/>
                </w:tcPr>
                <w:p w14:paraId="6788819E">
                  <w:pPr>
                    <w:jc w:val="center"/>
                    <w:rPr>
                      <w:color w:val="auto"/>
                      <w:szCs w:val="21"/>
                      <w:highlight w:val="none"/>
                    </w:rPr>
                  </w:pPr>
                  <w:r>
                    <w:rPr>
                      <w:color w:val="auto"/>
                      <w:szCs w:val="21"/>
                      <w:highlight w:val="none"/>
                    </w:rPr>
                    <w:t>PM</w:t>
                  </w:r>
                  <w:r>
                    <w:rPr>
                      <w:color w:val="auto"/>
                      <w:szCs w:val="21"/>
                      <w:highlight w:val="none"/>
                      <w:vertAlign w:val="subscript"/>
                    </w:rPr>
                    <w:t>2.5</w:t>
                  </w:r>
                </w:p>
              </w:tc>
              <w:tc>
                <w:tcPr>
                  <w:tcW w:w="1532" w:type="pct"/>
                  <w:tcBorders>
                    <w:top w:val="single" w:color="auto" w:sz="6" w:space="0"/>
                    <w:left w:val="single" w:color="auto" w:sz="6" w:space="0"/>
                    <w:bottom w:val="single" w:color="auto" w:sz="12" w:space="0"/>
                    <w:right w:val="single" w:color="auto" w:sz="6" w:space="0"/>
                  </w:tcBorders>
                  <w:noWrap w:val="0"/>
                  <w:vAlign w:val="center"/>
                </w:tcPr>
                <w:p w14:paraId="27527256">
                  <w:pPr>
                    <w:jc w:val="center"/>
                    <w:rPr>
                      <w:color w:val="auto"/>
                      <w:szCs w:val="21"/>
                      <w:highlight w:val="none"/>
                    </w:rPr>
                  </w:pPr>
                  <w:r>
                    <w:rPr>
                      <w:color w:val="auto"/>
                      <w:szCs w:val="21"/>
                      <w:highlight w:val="none"/>
                    </w:rPr>
                    <w:t>年平均质量浓度</w:t>
                  </w:r>
                </w:p>
              </w:tc>
              <w:tc>
                <w:tcPr>
                  <w:tcW w:w="782" w:type="pct"/>
                  <w:tcBorders>
                    <w:top w:val="single" w:color="auto" w:sz="6" w:space="0"/>
                    <w:left w:val="single" w:color="auto" w:sz="6" w:space="0"/>
                    <w:bottom w:val="single" w:color="auto" w:sz="12" w:space="0"/>
                    <w:right w:val="single" w:color="auto" w:sz="6" w:space="0"/>
                  </w:tcBorders>
                  <w:noWrap w:val="0"/>
                  <w:vAlign w:val="center"/>
                </w:tcPr>
                <w:p w14:paraId="6678D9DD">
                  <w:pPr>
                    <w:jc w:val="center"/>
                    <w:rPr>
                      <w:color w:val="auto"/>
                      <w:szCs w:val="21"/>
                      <w:highlight w:val="none"/>
                    </w:rPr>
                  </w:pPr>
                  <w:r>
                    <w:rPr>
                      <w:rFonts w:hint="eastAsia"/>
                      <w:color w:val="auto"/>
                      <w:szCs w:val="21"/>
                      <w:highlight w:val="none"/>
                    </w:rPr>
                    <w:t>43</w:t>
                  </w:r>
                </w:p>
              </w:tc>
              <w:tc>
                <w:tcPr>
                  <w:tcW w:w="746" w:type="pct"/>
                  <w:tcBorders>
                    <w:top w:val="single" w:color="auto" w:sz="6" w:space="0"/>
                    <w:left w:val="single" w:color="auto" w:sz="6" w:space="0"/>
                    <w:bottom w:val="single" w:color="auto" w:sz="12" w:space="0"/>
                    <w:right w:val="single" w:color="auto" w:sz="6" w:space="0"/>
                  </w:tcBorders>
                  <w:noWrap w:val="0"/>
                  <w:vAlign w:val="center"/>
                </w:tcPr>
                <w:p w14:paraId="4A5CA027">
                  <w:pPr>
                    <w:jc w:val="center"/>
                    <w:rPr>
                      <w:color w:val="auto"/>
                      <w:szCs w:val="21"/>
                      <w:highlight w:val="none"/>
                    </w:rPr>
                  </w:pPr>
                  <w:r>
                    <w:rPr>
                      <w:color w:val="auto"/>
                      <w:szCs w:val="21"/>
                      <w:highlight w:val="none"/>
                    </w:rPr>
                    <w:t>35</w:t>
                  </w:r>
                </w:p>
              </w:tc>
              <w:tc>
                <w:tcPr>
                  <w:tcW w:w="717" w:type="pct"/>
                  <w:tcBorders>
                    <w:top w:val="single" w:color="auto" w:sz="6" w:space="0"/>
                    <w:left w:val="single" w:color="auto" w:sz="6" w:space="0"/>
                    <w:bottom w:val="single" w:color="auto" w:sz="12" w:space="0"/>
                    <w:right w:val="single" w:color="auto" w:sz="6" w:space="0"/>
                  </w:tcBorders>
                  <w:noWrap w:val="0"/>
                  <w:vAlign w:val="center"/>
                </w:tcPr>
                <w:p w14:paraId="61BC51C4">
                  <w:pPr>
                    <w:widowControl/>
                    <w:jc w:val="center"/>
                    <w:textAlignment w:val="center"/>
                    <w:rPr>
                      <w:color w:val="auto"/>
                      <w:szCs w:val="21"/>
                      <w:highlight w:val="none"/>
                    </w:rPr>
                  </w:pPr>
                  <w:r>
                    <w:rPr>
                      <w:rFonts w:hint="eastAsia"/>
                      <w:color w:val="auto"/>
                      <w:szCs w:val="21"/>
                      <w:highlight w:val="none"/>
                    </w:rPr>
                    <w:t>122.9</w:t>
                  </w:r>
                  <w:r>
                    <w:rPr>
                      <w:color w:val="auto"/>
                      <w:szCs w:val="21"/>
                      <w:highlight w:val="none"/>
                    </w:rPr>
                    <w:t>%</w:t>
                  </w:r>
                </w:p>
              </w:tc>
              <w:tc>
                <w:tcPr>
                  <w:tcW w:w="627" w:type="pct"/>
                  <w:tcBorders>
                    <w:top w:val="single" w:color="auto" w:sz="6" w:space="0"/>
                    <w:left w:val="single" w:color="auto" w:sz="6" w:space="0"/>
                    <w:bottom w:val="single" w:color="auto" w:sz="12" w:space="0"/>
                    <w:right w:val="nil"/>
                  </w:tcBorders>
                  <w:noWrap w:val="0"/>
                  <w:vAlign w:val="center"/>
                </w:tcPr>
                <w:p w14:paraId="3B46DC98">
                  <w:pPr>
                    <w:jc w:val="center"/>
                    <w:rPr>
                      <w:color w:val="auto"/>
                      <w:szCs w:val="21"/>
                      <w:highlight w:val="none"/>
                    </w:rPr>
                  </w:pPr>
                  <w:r>
                    <w:rPr>
                      <w:color w:val="auto"/>
                      <w:szCs w:val="21"/>
                      <w:highlight w:val="none"/>
                    </w:rPr>
                    <w:t>不达标</w:t>
                  </w:r>
                </w:p>
              </w:tc>
            </w:tr>
          </w:tbl>
          <w:p w14:paraId="0DDB1493">
            <w:pPr>
              <w:pStyle w:val="7"/>
              <w:ind w:firstLine="480"/>
              <w:rPr>
                <w:color w:val="auto"/>
                <w:highlight w:val="none"/>
              </w:rPr>
            </w:pPr>
            <w:r>
              <w:rPr>
                <w:color w:val="auto"/>
                <w:highlight w:val="none"/>
              </w:rPr>
              <w:t>由表中数据可知，项目所在区域SO</w:t>
            </w:r>
            <w:r>
              <w:rPr>
                <w:color w:val="auto"/>
                <w:highlight w:val="none"/>
                <w:vertAlign w:val="subscript"/>
              </w:rPr>
              <w:t>2</w:t>
            </w:r>
            <w:r>
              <w:rPr>
                <w:color w:val="auto"/>
                <w:highlight w:val="none"/>
              </w:rPr>
              <w:t>年平均质量浓度、NO</w:t>
            </w:r>
            <w:r>
              <w:rPr>
                <w:color w:val="auto"/>
                <w:highlight w:val="none"/>
                <w:vertAlign w:val="subscript"/>
              </w:rPr>
              <w:t>2</w:t>
            </w:r>
            <w:r>
              <w:rPr>
                <w:color w:val="auto"/>
                <w:highlight w:val="none"/>
              </w:rPr>
              <w:t>年平均质量浓度以及CO 24小时平均第95百分位浓度均满足《环境空气质量标准》（GB3095-2012）中二级标准，O</w:t>
            </w:r>
            <w:r>
              <w:rPr>
                <w:color w:val="auto"/>
                <w:highlight w:val="none"/>
                <w:vertAlign w:val="subscript"/>
              </w:rPr>
              <w:t>3</w:t>
            </w:r>
            <w:r>
              <w:rPr>
                <w:color w:val="auto"/>
                <w:highlight w:val="none"/>
              </w:rPr>
              <w:t>日最大8小时平均第90百分位浓度、PM</w:t>
            </w:r>
            <w:r>
              <w:rPr>
                <w:color w:val="auto"/>
                <w:highlight w:val="none"/>
                <w:vertAlign w:val="subscript"/>
              </w:rPr>
              <w:t>2.5</w:t>
            </w:r>
            <w:r>
              <w:rPr>
                <w:color w:val="auto"/>
                <w:highlight w:val="none"/>
              </w:rPr>
              <w:t>和PM</w:t>
            </w:r>
            <w:r>
              <w:rPr>
                <w:color w:val="auto"/>
                <w:highlight w:val="none"/>
                <w:vertAlign w:val="subscript"/>
              </w:rPr>
              <w:t>10</w:t>
            </w:r>
            <w:r>
              <w:rPr>
                <w:color w:val="auto"/>
                <w:highlight w:val="none"/>
              </w:rPr>
              <w:t>年平均质量浓度均不满足《环境空气质量标准》（GB3095-2012）中二级标准，所以本项目所在地属于环境空气不达标区。</w:t>
            </w:r>
          </w:p>
          <w:p w14:paraId="6A362CB1">
            <w:pPr>
              <w:pStyle w:val="7"/>
              <w:ind w:firstLine="480"/>
              <w:rPr>
                <w:color w:val="auto"/>
                <w:highlight w:val="none"/>
              </w:rPr>
            </w:pPr>
            <w:r>
              <w:rPr>
                <w:color w:val="auto"/>
                <w:highlight w:val="none"/>
              </w:rPr>
              <w:t>（2）</w:t>
            </w:r>
            <w:r>
              <w:rPr>
                <w:rFonts w:hint="default"/>
                <w:color w:val="auto"/>
                <w:highlight w:val="none"/>
              </w:rPr>
              <w:t>特征污染物环境质量现状</w:t>
            </w:r>
          </w:p>
          <w:p w14:paraId="74E0AF03">
            <w:pPr>
              <w:pStyle w:val="7"/>
              <w:ind w:firstLine="480"/>
              <w:rPr>
                <w:rFonts w:hint="default" w:eastAsia="宋体"/>
                <w:color w:val="auto"/>
                <w:highlight w:val="none"/>
                <w:lang w:val="en-US" w:eastAsia="zh-CN"/>
              </w:rPr>
            </w:pPr>
            <w:r>
              <w:rPr>
                <w:rFonts w:hint="eastAsia"/>
                <w:color w:val="auto"/>
                <w:highlight w:val="none"/>
              </w:rPr>
              <w:t>本</w:t>
            </w:r>
            <w:r>
              <w:rPr>
                <w:color w:val="auto"/>
                <w:highlight w:val="none"/>
              </w:rPr>
              <w:t>项目</w:t>
            </w:r>
            <w:r>
              <w:rPr>
                <w:rFonts w:hint="eastAsia"/>
                <w:color w:val="auto"/>
                <w:highlight w:val="none"/>
                <w:lang w:val="en-US" w:eastAsia="zh-CN"/>
              </w:rPr>
              <w:t>大气</w:t>
            </w:r>
            <w:r>
              <w:rPr>
                <w:rFonts w:hint="eastAsia"/>
                <w:color w:val="auto"/>
                <w:highlight w:val="none"/>
              </w:rPr>
              <w:t>特征污染物为</w:t>
            </w:r>
            <w:r>
              <w:rPr>
                <w:color w:val="auto"/>
                <w:highlight w:val="none"/>
              </w:rPr>
              <w:t>非甲烷总烃</w:t>
            </w:r>
            <w:r>
              <w:rPr>
                <w:rFonts w:hint="eastAsia"/>
                <w:color w:val="auto"/>
                <w:highlight w:val="none"/>
              </w:rPr>
              <w:t>、</w:t>
            </w:r>
            <w:r>
              <w:rPr>
                <w:rFonts w:hint="eastAsia"/>
                <w:color w:val="auto"/>
                <w:highlight w:val="none"/>
                <w:lang w:val="en-US" w:eastAsia="zh-CN"/>
              </w:rPr>
              <w:t>TSP</w:t>
            </w:r>
            <w:r>
              <w:rPr>
                <w:rFonts w:hint="eastAsia"/>
                <w:color w:val="auto"/>
                <w:highlight w:val="none"/>
              </w:rPr>
              <w:t>，</w:t>
            </w:r>
            <w:r>
              <w:rPr>
                <w:rFonts w:hint="eastAsia"/>
                <w:color w:val="auto"/>
                <w:highlight w:val="none"/>
                <w:lang w:val="en-US" w:eastAsia="zh-CN"/>
              </w:rPr>
              <w:t>本次现状监测引用《陕西国久泰新材料科技有限公司塑料管生产项目环境质量现状监测》中1#监测点位监测数据，监测时间为2023年1月12日-2023年1月19日，监测点位位于本项目东南侧约3.7km（详见附图5），所引用监测数据符合《建设项目环境影响报告表编制技术指南（污染影响类）（试行）》中“引用建设项目周边5千米范围内近3年的现有监测数据”要求，因此监测数据引用有效。监测数据见表3-2。</w:t>
            </w:r>
          </w:p>
          <w:p w14:paraId="15A3022B">
            <w:pPr>
              <w:widowControl/>
              <w:jc w:val="center"/>
              <w:rPr>
                <w:color w:val="auto"/>
                <w:sz w:val="24"/>
                <w:szCs w:val="32"/>
                <w:highlight w:val="none"/>
              </w:rPr>
            </w:pPr>
            <w:r>
              <w:rPr>
                <w:b/>
                <w:color w:val="auto"/>
                <w:sz w:val="24"/>
                <w:szCs w:val="32"/>
                <w:highlight w:val="none"/>
              </w:rPr>
              <w:t>表3-2 特征污染物监测结果一览表</w:t>
            </w:r>
          </w:p>
          <w:tbl>
            <w:tblPr>
              <w:tblStyle w:val="24"/>
              <w:tblW w:w="498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4"/>
              <w:gridCol w:w="2089"/>
              <w:gridCol w:w="830"/>
              <w:gridCol w:w="820"/>
              <w:gridCol w:w="703"/>
              <w:gridCol w:w="704"/>
              <w:gridCol w:w="627"/>
              <w:gridCol w:w="700"/>
              <w:gridCol w:w="641"/>
            </w:tblGrid>
            <w:tr w14:paraId="3381FB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541" w:type="pct"/>
                  <w:noWrap w:val="0"/>
                  <w:vAlign w:val="center"/>
                </w:tcPr>
                <w:p w14:paraId="0C0CF34C">
                  <w:pPr>
                    <w:widowControl/>
                    <w:jc w:val="center"/>
                    <w:rPr>
                      <w:b/>
                      <w:bCs/>
                      <w:color w:val="auto"/>
                      <w:szCs w:val="21"/>
                      <w:highlight w:val="none"/>
                    </w:rPr>
                  </w:pPr>
                  <w:r>
                    <w:rPr>
                      <w:b/>
                      <w:bCs/>
                      <w:color w:val="auto"/>
                      <w:szCs w:val="21"/>
                      <w:highlight w:val="none"/>
                    </w:rPr>
                    <w:t>污染物</w:t>
                  </w:r>
                </w:p>
              </w:tc>
              <w:tc>
                <w:tcPr>
                  <w:tcW w:w="1309" w:type="pct"/>
                  <w:noWrap w:val="0"/>
                  <w:vAlign w:val="center"/>
                </w:tcPr>
                <w:p w14:paraId="458EBE60">
                  <w:pPr>
                    <w:widowControl/>
                    <w:jc w:val="center"/>
                    <w:rPr>
                      <w:b/>
                      <w:bCs/>
                      <w:color w:val="auto"/>
                      <w:szCs w:val="21"/>
                      <w:highlight w:val="none"/>
                    </w:rPr>
                  </w:pPr>
                  <w:r>
                    <w:rPr>
                      <w:rFonts w:hint="eastAsia"/>
                      <w:b/>
                      <w:bCs/>
                      <w:color w:val="auto"/>
                      <w:szCs w:val="21"/>
                      <w:highlight w:val="none"/>
                      <w:lang w:val="en-US" w:eastAsia="zh-CN"/>
                    </w:rPr>
                    <w:t>采样</w:t>
                  </w:r>
                  <w:r>
                    <w:rPr>
                      <w:b/>
                      <w:bCs/>
                      <w:color w:val="auto"/>
                      <w:szCs w:val="21"/>
                      <w:highlight w:val="none"/>
                    </w:rPr>
                    <w:t>日期</w:t>
                  </w:r>
                </w:p>
              </w:tc>
              <w:tc>
                <w:tcPr>
                  <w:tcW w:w="520" w:type="pct"/>
                  <w:noWrap w:val="0"/>
                  <w:vAlign w:val="center"/>
                </w:tcPr>
                <w:p w14:paraId="12864E6E">
                  <w:pPr>
                    <w:widowControl/>
                    <w:jc w:val="center"/>
                    <w:rPr>
                      <w:b/>
                      <w:bCs/>
                      <w:color w:val="auto"/>
                      <w:szCs w:val="21"/>
                      <w:highlight w:val="none"/>
                    </w:rPr>
                  </w:pPr>
                  <w:r>
                    <w:rPr>
                      <w:b/>
                      <w:bCs/>
                      <w:color w:val="auto"/>
                      <w:szCs w:val="21"/>
                      <w:highlight w:val="none"/>
                    </w:rPr>
                    <w:t>单位</w:t>
                  </w:r>
                </w:p>
              </w:tc>
              <w:tc>
                <w:tcPr>
                  <w:tcW w:w="1788" w:type="pct"/>
                  <w:gridSpan w:val="4"/>
                  <w:noWrap w:val="0"/>
                  <w:vAlign w:val="center"/>
                </w:tcPr>
                <w:p w14:paraId="7FED4D1D">
                  <w:pPr>
                    <w:widowControl/>
                    <w:jc w:val="center"/>
                    <w:rPr>
                      <w:b/>
                      <w:bCs/>
                      <w:color w:val="auto"/>
                      <w:szCs w:val="21"/>
                      <w:highlight w:val="none"/>
                    </w:rPr>
                  </w:pPr>
                  <w:r>
                    <w:rPr>
                      <w:b/>
                      <w:bCs/>
                      <w:color w:val="auto"/>
                      <w:szCs w:val="21"/>
                      <w:highlight w:val="none"/>
                    </w:rPr>
                    <w:t>检测结果</w:t>
                  </w:r>
                </w:p>
              </w:tc>
              <w:tc>
                <w:tcPr>
                  <w:tcW w:w="438" w:type="pct"/>
                  <w:noWrap w:val="0"/>
                  <w:vAlign w:val="center"/>
                </w:tcPr>
                <w:p w14:paraId="3377FB5F">
                  <w:pPr>
                    <w:widowControl/>
                    <w:jc w:val="center"/>
                    <w:rPr>
                      <w:b/>
                      <w:bCs/>
                      <w:color w:val="auto"/>
                      <w:szCs w:val="21"/>
                      <w:highlight w:val="none"/>
                    </w:rPr>
                  </w:pPr>
                  <w:r>
                    <w:rPr>
                      <w:b/>
                      <w:bCs/>
                      <w:color w:val="auto"/>
                      <w:szCs w:val="21"/>
                      <w:highlight w:val="none"/>
                    </w:rPr>
                    <w:t>标准值</w:t>
                  </w:r>
                </w:p>
              </w:tc>
              <w:tc>
                <w:tcPr>
                  <w:tcW w:w="401" w:type="pct"/>
                  <w:noWrap w:val="0"/>
                  <w:vAlign w:val="center"/>
                </w:tcPr>
                <w:p w14:paraId="1768D237">
                  <w:pPr>
                    <w:widowControl/>
                    <w:jc w:val="center"/>
                    <w:rPr>
                      <w:b/>
                      <w:bCs/>
                      <w:color w:val="auto"/>
                      <w:szCs w:val="21"/>
                      <w:highlight w:val="none"/>
                    </w:rPr>
                  </w:pPr>
                  <w:r>
                    <w:rPr>
                      <w:b/>
                      <w:bCs/>
                      <w:color w:val="auto"/>
                      <w:szCs w:val="21"/>
                      <w:highlight w:val="none"/>
                    </w:rPr>
                    <w:t>达标情况</w:t>
                  </w:r>
                </w:p>
              </w:tc>
            </w:tr>
            <w:tr w14:paraId="284C49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restart"/>
                  <w:noWrap w:val="0"/>
                  <w:vAlign w:val="center"/>
                </w:tcPr>
                <w:p w14:paraId="3F859BBE">
                  <w:pPr>
                    <w:spacing w:line="300" w:lineRule="exact"/>
                    <w:jc w:val="center"/>
                    <w:rPr>
                      <w:color w:val="auto"/>
                      <w:szCs w:val="21"/>
                      <w:highlight w:val="none"/>
                    </w:rPr>
                  </w:pPr>
                  <w:r>
                    <w:rPr>
                      <w:color w:val="auto"/>
                      <w:szCs w:val="21"/>
                      <w:highlight w:val="none"/>
                    </w:rPr>
                    <w:t>非甲烷总烃</w:t>
                  </w:r>
                </w:p>
              </w:tc>
              <w:tc>
                <w:tcPr>
                  <w:tcW w:w="2089" w:type="dxa"/>
                  <w:noWrap w:val="0"/>
                  <w:vAlign w:val="center"/>
                </w:tcPr>
                <w:p w14:paraId="141A321B">
                  <w:pPr>
                    <w:widowControl/>
                    <w:jc w:val="center"/>
                    <w:textAlignment w:val="center"/>
                    <w:rPr>
                      <w:color w:val="auto"/>
                      <w:szCs w:val="21"/>
                      <w:highlight w:val="none"/>
                    </w:rPr>
                  </w:pPr>
                  <w:r>
                    <w:rPr>
                      <w:rFonts w:hint="eastAsia"/>
                      <w:color w:val="auto"/>
                      <w:highlight w:val="none"/>
                      <w:lang w:val="en-US" w:eastAsia="zh-CN"/>
                    </w:rPr>
                    <w:t>2025.1.12-2025.1.13</w:t>
                  </w:r>
                </w:p>
              </w:tc>
              <w:tc>
                <w:tcPr>
                  <w:tcW w:w="520" w:type="pct"/>
                  <w:vMerge w:val="restart"/>
                  <w:noWrap w:val="0"/>
                  <w:vAlign w:val="center"/>
                </w:tcPr>
                <w:p w14:paraId="36561C0F">
                  <w:pPr>
                    <w:widowControl/>
                    <w:jc w:val="center"/>
                    <w:textAlignment w:val="center"/>
                    <w:rPr>
                      <w:color w:val="auto"/>
                      <w:szCs w:val="21"/>
                      <w:highlight w:val="none"/>
                    </w:rPr>
                  </w:pPr>
                  <w:r>
                    <w:rPr>
                      <w:rFonts w:hint="eastAsia"/>
                      <w:color w:val="auto"/>
                      <w:szCs w:val="21"/>
                      <w:highlight w:val="none"/>
                    </w:rPr>
                    <w:t>mg/m</w:t>
                  </w:r>
                  <w:r>
                    <w:rPr>
                      <w:rFonts w:hint="eastAsia"/>
                      <w:color w:val="auto"/>
                      <w:szCs w:val="21"/>
                      <w:highlight w:val="none"/>
                      <w:vertAlign w:val="superscript"/>
                    </w:rPr>
                    <w:t>3</w:t>
                  </w:r>
                </w:p>
              </w:tc>
              <w:tc>
                <w:tcPr>
                  <w:tcW w:w="513" w:type="pct"/>
                  <w:noWrap w:val="0"/>
                  <w:vAlign w:val="center"/>
                </w:tcPr>
                <w:p w14:paraId="673EDB70">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0.87</w:t>
                  </w:r>
                </w:p>
              </w:tc>
              <w:tc>
                <w:tcPr>
                  <w:tcW w:w="440" w:type="pct"/>
                  <w:noWrap w:val="0"/>
                  <w:vAlign w:val="center"/>
                </w:tcPr>
                <w:p w14:paraId="1C080524">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0.92</w:t>
                  </w:r>
                </w:p>
              </w:tc>
              <w:tc>
                <w:tcPr>
                  <w:tcW w:w="441" w:type="pct"/>
                  <w:noWrap w:val="0"/>
                  <w:vAlign w:val="center"/>
                </w:tcPr>
                <w:p w14:paraId="179D4277">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0.89</w:t>
                  </w:r>
                </w:p>
              </w:tc>
              <w:tc>
                <w:tcPr>
                  <w:tcW w:w="392" w:type="pct"/>
                  <w:noWrap w:val="0"/>
                  <w:vAlign w:val="center"/>
                </w:tcPr>
                <w:p w14:paraId="2BBF20A6">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0.89</w:t>
                  </w:r>
                </w:p>
              </w:tc>
              <w:tc>
                <w:tcPr>
                  <w:tcW w:w="438" w:type="pct"/>
                  <w:vMerge w:val="restart"/>
                  <w:noWrap w:val="0"/>
                  <w:vAlign w:val="center"/>
                </w:tcPr>
                <w:p w14:paraId="2550A049">
                  <w:pPr>
                    <w:widowControl/>
                    <w:jc w:val="center"/>
                    <w:rPr>
                      <w:color w:val="auto"/>
                      <w:szCs w:val="21"/>
                      <w:highlight w:val="none"/>
                    </w:rPr>
                  </w:pPr>
                  <w:r>
                    <w:rPr>
                      <w:color w:val="auto"/>
                      <w:szCs w:val="21"/>
                      <w:highlight w:val="none"/>
                    </w:rPr>
                    <w:t>2.0</w:t>
                  </w:r>
                </w:p>
              </w:tc>
              <w:tc>
                <w:tcPr>
                  <w:tcW w:w="401" w:type="pct"/>
                  <w:vMerge w:val="restart"/>
                  <w:noWrap w:val="0"/>
                  <w:vAlign w:val="center"/>
                </w:tcPr>
                <w:p w14:paraId="7FFE65E3">
                  <w:pPr>
                    <w:widowControl/>
                    <w:jc w:val="center"/>
                    <w:rPr>
                      <w:color w:val="auto"/>
                      <w:szCs w:val="21"/>
                      <w:highlight w:val="none"/>
                    </w:rPr>
                  </w:pPr>
                  <w:r>
                    <w:rPr>
                      <w:color w:val="auto"/>
                      <w:szCs w:val="21"/>
                      <w:highlight w:val="none"/>
                    </w:rPr>
                    <w:t>达标</w:t>
                  </w:r>
                </w:p>
              </w:tc>
            </w:tr>
            <w:tr w14:paraId="71D488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continue"/>
                  <w:noWrap w:val="0"/>
                  <w:vAlign w:val="center"/>
                </w:tcPr>
                <w:p w14:paraId="16D1B7BD">
                  <w:pPr>
                    <w:spacing w:line="300" w:lineRule="exact"/>
                    <w:jc w:val="center"/>
                    <w:rPr>
                      <w:color w:val="auto"/>
                      <w:szCs w:val="21"/>
                      <w:highlight w:val="none"/>
                    </w:rPr>
                  </w:pPr>
                </w:p>
              </w:tc>
              <w:tc>
                <w:tcPr>
                  <w:tcW w:w="2089" w:type="dxa"/>
                  <w:noWrap w:val="0"/>
                  <w:vAlign w:val="center"/>
                </w:tcPr>
                <w:p w14:paraId="7A74A5A8">
                  <w:pPr>
                    <w:widowControl/>
                    <w:jc w:val="center"/>
                    <w:textAlignment w:val="center"/>
                    <w:rPr>
                      <w:color w:val="auto"/>
                      <w:szCs w:val="21"/>
                      <w:highlight w:val="none"/>
                    </w:rPr>
                  </w:pPr>
                  <w:r>
                    <w:rPr>
                      <w:rFonts w:hint="eastAsia"/>
                      <w:color w:val="auto"/>
                      <w:highlight w:val="none"/>
                      <w:lang w:val="en-US" w:eastAsia="zh-CN"/>
                    </w:rPr>
                    <w:t>2025.1.13-2025.1.14</w:t>
                  </w:r>
                </w:p>
              </w:tc>
              <w:tc>
                <w:tcPr>
                  <w:tcW w:w="520" w:type="pct"/>
                  <w:vMerge w:val="continue"/>
                  <w:noWrap w:val="0"/>
                  <w:vAlign w:val="center"/>
                </w:tcPr>
                <w:p w14:paraId="6827D0B8">
                  <w:pPr>
                    <w:widowControl/>
                    <w:jc w:val="center"/>
                    <w:textAlignment w:val="center"/>
                    <w:rPr>
                      <w:rFonts w:hint="eastAsia"/>
                      <w:color w:val="auto"/>
                      <w:szCs w:val="21"/>
                      <w:highlight w:val="none"/>
                    </w:rPr>
                  </w:pPr>
                </w:p>
              </w:tc>
              <w:tc>
                <w:tcPr>
                  <w:tcW w:w="513" w:type="pct"/>
                  <w:noWrap w:val="0"/>
                  <w:vAlign w:val="center"/>
                </w:tcPr>
                <w:p w14:paraId="2C723AF7">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0.82</w:t>
                  </w:r>
                </w:p>
              </w:tc>
              <w:tc>
                <w:tcPr>
                  <w:tcW w:w="440" w:type="pct"/>
                  <w:noWrap w:val="0"/>
                  <w:vAlign w:val="center"/>
                </w:tcPr>
                <w:p w14:paraId="4A9E61A8">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0.89</w:t>
                  </w:r>
                </w:p>
              </w:tc>
              <w:tc>
                <w:tcPr>
                  <w:tcW w:w="441" w:type="pct"/>
                  <w:noWrap w:val="0"/>
                  <w:vAlign w:val="center"/>
                </w:tcPr>
                <w:p w14:paraId="1A9AE705">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0.84</w:t>
                  </w:r>
                </w:p>
              </w:tc>
              <w:tc>
                <w:tcPr>
                  <w:tcW w:w="392" w:type="pct"/>
                  <w:noWrap w:val="0"/>
                  <w:vAlign w:val="center"/>
                </w:tcPr>
                <w:p w14:paraId="73F4409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0.87</w:t>
                  </w:r>
                </w:p>
              </w:tc>
              <w:tc>
                <w:tcPr>
                  <w:tcW w:w="438" w:type="pct"/>
                  <w:vMerge w:val="continue"/>
                  <w:noWrap w:val="0"/>
                  <w:vAlign w:val="center"/>
                </w:tcPr>
                <w:p w14:paraId="2CECF71F">
                  <w:pPr>
                    <w:widowControl/>
                    <w:jc w:val="center"/>
                    <w:rPr>
                      <w:color w:val="auto"/>
                      <w:szCs w:val="21"/>
                      <w:highlight w:val="none"/>
                    </w:rPr>
                  </w:pPr>
                </w:p>
              </w:tc>
              <w:tc>
                <w:tcPr>
                  <w:tcW w:w="401" w:type="pct"/>
                  <w:vMerge w:val="continue"/>
                  <w:noWrap w:val="0"/>
                  <w:vAlign w:val="center"/>
                </w:tcPr>
                <w:p w14:paraId="3AFF6EE6">
                  <w:pPr>
                    <w:widowControl/>
                    <w:jc w:val="center"/>
                    <w:rPr>
                      <w:color w:val="auto"/>
                      <w:szCs w:val="21"/>
                      <w:highlight w:val="none"/>
                    </w:rPr>
                  </w:pPr>
                </w:p>
              </w:tc>
            </w:tr>
            <w:tr w14:paraId="0E3AD4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continue"/>
                  <w:noWrap w:val="0"/>
                  <w:vAlign w:val="center"/>
                </w:tcPr>
                <w:p w14:paraId="4CC7C022">
                  <w:pPr>
                    <w:spacing w:line="300" w:lineRule="exact"/>
                    <w:jc w:val="center"/>
                    <w:rPr>
                      <w:color w:val="auto"/>
                      <w:szCs w:val="21"/>
                      <w:highlight w:val="none"/>
                    </w:rPr>
                  </w:pPr>
                </w:p>
              </w:tc>
              <w:tc>
                <w:tcPr>
                  <w:tcW w:w="2089" w:type="dxa"/>
                  <w:noWrap w:val="0"/>
                  <w:vAlign w:val="center"/>
                </w:tcPr>
                <w:p w14:paraId="728AA3C7">
                  <w:pPr>
                    <w:widowControl/>
                    <w:jc w:val="center"/>
                    <w:textAlignment w:val="center"/>
                    <w:rPr>
                      <w:color w:val="auto"/>
                      <w:szCs w:val="21"/>
                      <w:highlight w:val="none"/>
                    </w:rPr>
                  </w:pPr>
                  <w:r>
                    <w:rPr>
                      <w:rFonts w:hint="eastAsia"/>
                      <w:color w:val="auto"/>
                      <w:highlight w:val="none"/>
                      <w:lang w:val="en-US" w:eastAsia="zh-CN"/>
                    </w:rPr>
                    <w:t>2025.1.14-2025.1.15</w:t>
                  </w:r>
                </w:p>
              </w:tc>
              <w:tc>
                <w:tcPr>
                  <w:tcW w:w="520" w:type="pct"/>
                  <w:vMerge w:val="continue"/>
                  <w:noWrap w:val="0"/>
                  <w:vAlign w:val="center"/>
                </w:tcPr>
                <w:p w14:paraId="721BFE0E">
                  <w:pPr>
                    <w:widowControl/>
                    <w:jc w:val="center"/>
                    <w:textAlignment w:val="center"/>
                    <w:rPr>
                      <w:rFonts w:hint="eastAsia"/>
                      <w:color w:val="auto"/>
                      <w:szCs w:val="21"/>
                      <w:highlight w:val="none"/>
                    </w:rPr>
                  </w:pPr>
                </w:p>
              </w:tc>
              <w:tc>
                <w:tcPr>
                  <w:tcW w:w="513" w:type="pct"/>
                  <w:noWrap w:val="0"/>
                  <w:vAlign w:val="center"/>
                </w:tcPr>
                <w:p w14:paraId="4B5ABE84">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0.87</w:t>
                  </w:r>
                </w:p>
              </w:tc>
              <w:tc>
                <w:tcPr>
                  <w:tcW w:w="440" w:type="pct"/>
                  <w:noWrap w:val="0"/>
                  <w:vAlign w:val="center"/>
                </w:tcPr>
                <w:p w14:paraId="120D260E">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0.87</w:t>
                  </w:r>
                </w:p>
              </w:tc>
              <w:tc>
                <w:tcPr>
                  <w:tcW w:w="441" w:type="pct"/>
                  <w:noWrap w:val="0"/>
                  <w:vAlign w:val="center"/>
                </w:tcPr>
                <w:p w14:paraId="074E4782">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0.85</w:t>
                  </w:r>
                </w:p>
              </w:tc>
              <w:tc>
                <w:tcPr>
                  <w:tcW w:w="392" w:type="pct"/>
                  <w:noWrap w:val="0"/>
                  <w:vAlign w:val="center"/>
                </w:tcPr>
                <w:p w14:paraId="6A539A5A">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0.85</w:t>
                  </w:r>
                </w:p>
              </w:tc>
              <w:tc>
                <w:tcPr>
                  <w:tcW w:w="438" w:type="pct"/>
                  <w:vMerge w:val="continue"/>
                  <w:noWrap w:val="0"/>
                  <w:vAlign w:val="center"/>
                </w:tcPr>
                <w:p w14:paraId="23A5FD44">
                  <w:pPr>
                    <w:widowControl/>
                    <w:jc w:val="center"/>
                    <w:rPr>
                      <w:color w:val="auto"/>
                      <w:szCs w:val="21"/>
                      <w:highlight w:val="none"/>
                    </w:rPr>
                  </w:pPr>
                </w:p>
              </w:tc>
              <w:tc>
                <w:tcPr>
                  <w:tcW w:w="401" w:type="pct"/>
                  <w:vMerge w:val="continue"/>
                  <w:noWrap w:val="0"/>
                  <w:vAlign w:val="center"/>
                </w:tcPr>
                <w:p w14:paraId="7D0CE1BE">
                  <w:pPr>
                    <w:widowControl/>
                    <w:jc w:val="center"/>
                    <w:rPr>
                      <w:color w:val="auto"/>
                      <w:szCs w:val="21"/>
                      <w:highlight w:val="none"/>
                    </w:rPr>
                  </w:pPr>
                </w:p>
              </w:tc>
            </w:tr>
            <w:tr w14:paraId="13916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continue"/>
                  <w:noWrap w:val="0"/>
                  <w:vAlign w:val="center"/>
                </w:tcPr>
                <w:p w14:paraId="5409BFF0">
                  <w:pPr>
                    <w:spacing w:line="300" w:lineRule="exact"/>
                    <w:jc w:val="center"/>
                    <w:rPr>
                      <w:color w:val="auto"/>
                      <w:szCs w:val="21"/>
                      <w:highlight w:val="none"/>
                    </w:rPr>
                  </w:pPr>
                </w:p>
              </w:tc>
              <w:tc>
                <w:tcPr>
                  <w:tcW w:w="2089" w:type="dxa"/>
                  <w:noWrap w:val="0"/>
                  <w:vAlign w:val="center"/>
                </w:tcPr>
                <w:p w14:paraId="4749A9B8">
                  <w:pPr>
                    <w:widowControl/>
                    <w:jc w:val="center"/>
                    <w:textAlignment w:val="center"/>
                    <w:rPr>
                      <w:color w:val="auto"/>
                      <w:szCs w:val="21"/>
                      <w:highlight w:val="none"/>
                    </w:rPr>
                  </w:pPr>
                  <w:r>
                    <w:rPr>
                      <w:rFonts w:hint="eastAsia"/>
                      <w:color w:val="auto"/>
                      <w:highlight w:val="none"/>
                      <w:lang w:val="en-US" w:eastAsia="zh-CN"/>
                    </w:rPr>
                    <w:t>2025.1.15-2025.1.16</w:t>
                  </w:r>
                </w:p>
              </w:tc>
              <w:tc>
                <w:tcPr>
                  <w:tcW w:w="520" w:type="pct"/>
                  <w:vMerge w:val="continue"/>
                  <w:noWrap w:val="0"/>
                  <w:vAlign w:val="center"/>
                </w:tcPr>
                <w:p w14:paraId="0DF91C8F">
                  <w:pPr>
                    <w:widowControl/>
                    <w:jc w:val="center"/>
                    <w:textAlignment w:val="center"/>
                    <w:rPr>
                      <w:rFonts w:hint="eastAsia"/>
                      <w:color w:val="auto"/>
                      <w:szCs w:val="21"/>
                      <w:highlight w:val="none"/>
                    </w:rPr>
                  </w:pPr>
                </w:p>
              </w:tc>
              <w:tc>
                <w:tcPr>
                  <w:tcW w:w="513" w:type="pct"/>
                  <w:noWrap w:val="0"/>
                  <w:vAlign w:val="center"/>
                </w:tcPr>
                <w:p w14:paraId="7C61E200">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0.82</w:t>
                  </w:r>
                </w:p>
              </w:tc>
              <w:tc>
                <w:tcPr>
                  <w:tcW w:w="440" w:type="pct"/>
                  <w:noWrap w:val="0"/>
                  <w:vAlign w:val="center"/>
                </w:tcPr>
                <w:p w14:paraId="5BEFEFF5">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0.86</w:t>
                  </w:r>
                </w:p>
              </w:tc>
              <w:tc>
                <w:tcPr>
                  <w:tcW w:w="441" w:type="pct"/>
                  <w:noWrap w:val="0"/>
                  <w:vAlign w:val="center"/>
                </w:tcPr>
                <w:p w14:paraId="03500A7D">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0.86</w:t>
                  </w:r>
                </w:p>
              </w:tc>
              <w:tc>
                <w:tcPr>
                  <w:tcW w:w="392" w:type="pct"/>
                  <w:noWrap w:val="0"/>
                  <w:vAlign w:val="center"/>
                </w:tcPr>
                <w:p w14:paraId="20A2DC73">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0.85</w:t>
                  </w:r>
                </w:p>
              </w:tc>
              <w:tc>
                <w:tcPr>
                  <w:tcW w:w="438" w:type="pct"/>
                  <w:vMerge w:val="continue"/>
                  <w:noWrap w:val="0"/>
                  <w:vAlign w:val="center"/>
                </w:tcPr>
                <w:p w14:paraId="0380E37A">
                  <w:pPr>
                    <w:widowControl/>
                    <w:jc w:val="center"/>
                    <w:rPr>
                      <w:color w:val="auto"/>
                      <w:szCs w:val="21"/>
                      <w:highlight w:val="none"/>
                    </w:rPr>
                  </w:pPr>
                </w:p>
              </w:tc>
              <w:tc>
                <w:tcPr>
                  <w:tcW w:w="401" w:type="pct"/>
                  <w:vMerge w:val="continue"/>
                  <w:noWrap w:val="0"/>
                  <w:vAlign w:val="center"/>
                </w:tcPr>
                <w:p w14:paraId="13B4B956">
                  <w:pPr>
                    <w:widowControl/>
                    <w:jc w:val="center"/>
                    <w:rPr>
                      <w:color w:val="auto"/>
                      <w:szCs w:val="21"/>
                      <w:highlight w:val="none"/>
                    </w:rPr>
                  </w:pPr>
                </w:p>
              </w:tc>
            </w:tr>
            <w:tr w14:paraId="3DAD4C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continue"/>
                  <w:noWrap w:val="0"/>
                  <w:vAlign w:val="center"/>
                </w:tcPr>
                <w:p w14:paraId="0A9E5F2F">
                  <w:pPr>
                    <w:spacing w:line="300" w:lineRule="exact"/>
                    <w:jc w:val="center"/>
                    <w:rPr>
                      <w:color w:val="auto"/>
                      <w:szCs w:val="21"/>
                      <w:highlight w:val="none"/>
                    </w:rPr>
                  </w:pPr>
                </w:p>
              </w:tc>
              <w:tc>
                <w:tcPr>
                  <w:tcW w:w="2089" w:type="dxa"/>
                  <w:noWrap w:val="0"/>
                  <w:vAlign w:val="center"/>
                </w:tcPr>
                <w:p w14:paraId="28CA1414">
                  <w:pPr>
                    <w:widowControl/>
                    <w:jc w:val="center"/>
                    <w:textAlignment w:val="center"/>
                    <w:rPr>
                      <w:color w:val="auto"/>
                      <w:szCs w:val="21"/>
                      <w:highlight w:val="none"/>
                    </w:rPr>
                  </w:pPr>
                  <w:r>
                    <w:rPr>
                      <w:rFonts w:hint="eastAsia"/>
                      <w:color w:val="auto"/>
                      <w:highlight w:val="none"/>
                      <w:lang w:val="en-US" w:eastAsia="zh-CN"/>
                    </w:rPr>
                    <w:t>2025.1.16-2025.1.17</w:t>
                  </w:r>
                </w:p>
              </w:tc>
              <w:tc>
                <w:tcPr>
                  <w:tcW w:w="520" w:type="pct"/>
                  <w:vMerge w:val="continue"/>
                  <w:noWrap w:val="0"/>
                  <w:vAlign w:val="center"/>
                </w:tcPr>
                <w:p w14:paraId="407497F3">
                  <w:pPr>
                    <w:widowControl/>
                    <w:jc w:val="center"/>
                    <w:textAlignment w:val="center"/>
                    <w:rPr>
                      <w:rFonts w:hint="eastAsia"/>
                      <w:color w:val="auto"/>
                      <w:szCs w:val="21"/>
                      <w:highlight w:val="none"/>
                    </w:rPr>
                  </w:pPr>
                </w:p>
              </w:tc>
              <w:tc>
                <w:tcPr>
                  <w:tcW w:w="513" w:type="pct"/>
                  <w:noWrap w:val="0"/>
                  <w:vAlign w:val="center"/>
                </w:tcPr>
                <w:p w14:paraId="7B8DB48B">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0.90</w:t>
                  </w:r>
                </w:p>
              </w:tc>
              <w:tc>
                <w:tcPr>
                  <w:tcW w:w="440" w:type="pct"/>
                  <w:noWrap w:val="0"/>
                  <w:vAlign w:val="center"/>
                </w:tcPr>
                <w:p w14:paraId="3DBC4967">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0.88</w:t>
                  </w:r>
                </w:p>
              </w:tc>
              <w:tc>
                <w:tcPr>
                  <w:tcW w:w="441" w:type="pct"/>
                  <w:noWrap w:val="0"/>
                  <w:vAlign w:val="center"/>
                </w:tcPr>
                <w:p w14:paraId="442B29B5">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0.83</w:t>
                  </w:r>
                </w:p>
              </w:tc>
              <w:tc>
                <w:tcPr>
                  <w:tcW w:w="392" w:type="pct"/>
                  <w:noWrap w:val="0"/>
                  <w:vAlign w:val="center"/>
                </w:tcPr>
                <w:p w14:paraId="4B1599DB">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0.80</w:t>
                  </w:r>
                </w:p>
              </w:tc>
              <w:tc>
                <w:tcPr>
                  <w:tcW w:w="438" w:type="pct"/>
                  <w:vMerge w:val="continue"/>
                  <w:noWrap w:val="0"/>
                  <w:vAlign w:val="center"/>
                </w:tcPr>
                <w:p w14:paraId="02C96780">
                  <w:pPr>
                    <w:widowControl/>
                    <w:jc w:val="center"/>
                    <w:rPr>
                      <w:color w:val="auto"/>
                      <w:szCs w:val="21"/>
                      <w:highlight w:val="none"/>
                    </w:rPr>
                  </w:pPr>
                </w:p>
              </w:tc>
              <w:tc>
                <w:tcPr>
                  <w:tcW w:w="401" w:type="pct"/>
                  <w:vMerge w:val="continue"/>
                  <w:noWrap w:val="0"/>
                  <w:vAlign w:val="center"/>
                </w:tcPr>
                <w:p w14:paraId="517167FE">
                  <w:pPr>
                    <w:widowControl/>
                    <w:jc w:val="center"/>
                    <w:rPr>
                      <w:color w:val="auto"/>
                      <w:szCs w:val="21"/>
                      <w:highlight w:val="none"/>
                    </w:rPr>
                  </w:pPr>
                </w:p>
              </w:tc>
            </w:tr>
            <w:tr w14:paraId="185C22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541" w:type="pct"/>
                  <w:vMerge w:val="continue"/>
                  <w:noWrap w:val="0"/>
                  <w:vAlign w:val="center"/>
                </w:tcPr>
                <w:p w14:paraId="214A7CAF">
                  <w:pPr>
                    <w:widowControl/>
                    <w:jc w:val="left"/>
                    <w:rPr>
                      <w:color w:val="auto"/>
                      <w:szCs w:val="21"/>
                      <w:highlight w:val="none"/>
                    </w:rPr>
                  </w:pPr>
                </w:p>
              </w:tc>
              <w:tc>
                <w:tcPr>
                  <w:tcW w:w="2089" w:type="dxa"/>
                  <w:noWrap w:val="0"/>
                  <w:vAlign w:val="center"/>
                </w:tcPr>
                <w:p w14:paraId="07085DCB">
                  <w:pPr>
                    <w:widowControl/>
                    <w:jc w:val="center"/>
                    <w:textAlignment w:val="center"/>
                    <w:rPr>
                      <w:color w:val="auto"/>
                      <w:szCs w:val="21"/>
                      <w:highlight w:val="none"/>
                    </w:rPr>
                  </w:pPr>
                  <w:r>
                    <w:rPr>
                      <w:rFonts w:hint="eastAsia"/>
                      <w:color w:val="auto"/>
                      <w:highlight w:val="none"/>
                      <w:lang w:val="en-US" w:eastAsia="zh-CN"/>
                    </w:rPr>
                    <w:t>2025.1.17-2025.1.18</w:t>
                  </w:r>
                </w:p>
              </w:tc>
              <w:tc>
                <w:tcPr>
                  <w:tcW w:w="520" w:type="pct"/>
                  <w:vMerge w:val="continue"/>
                  <w:noWrap w:val="0"/>
                  <w:vAlign w:val="center"/>
                </w:tcPr>
                <w:p w14:paraId="17F85064">
                  <w:pPr>
                    <w:widowControl/>
                    <w:jc w:val="left"/>
                    <w:rPr>
                      <w:color w:val="auto"/>
                      <w:szCs w:val="21"/>
                      <w:highlight w:val="none"/>
                    </w:rPr>
                  </w:pPr>
                </w:p>
              </w:tc>
              <w:tc>
                <w:tcPr>
                  <w:tcW w:w="513" w:type="pct"/>
                  <w:noWrap w:val="0"/>
                  <w:vAlign w:val="center"/>
                </w:tcPr>
                <w:p w14:paraId="6BD660A6">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0.89</w:t>
                  </w:r>
                </w:p>
              </w:tc>
              <w:tc>
                <w:tcPr>
                  <w:tcW w:w="440" w:type="pct"/>
                  <w:noWrap w:val="0"/>
                  <w:vAlign w:val="center"/>
                </w:tcPr>
                <w:p w14:paraId="2BD2150C">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0.91</w:t>
                  </w:r>
                </w:p>
              </w:tc>
              <w:tc>
                <w:tcPr>
                  <w:tcW w:w="441" w:type="pct"/>
                  <w:noWrap w:val="0"/>
                  <w:vAlign w:val="center"/>
                </w:tcPr>
                <w:p w14:paraId="016635B4">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0.91</w:t>
                  </w:r>
                </w:p>
              </w:tc>
              <w:tc>
                <w:tcPr>
                  <w:tcW w:w="392" w:type="pct"/>
                  <w:noWrap w:val="0"/>
                  <w:vAlign w:val="center"/>
                </w:tcPr>
                <w:p w14:paraId="2F286EB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0.93</w:t>
                  </w:r>
                </w:p>
              </w:tc>
              <w:tc>
                <w:tcPr>
                  <w:tcW w:w="438" w:type="pct"/>
                  <w:vMerge w:val="continue"/>
                  <w:noWrap w:val="0"/>
                  <w:vAlign w:val="center"/>
                </w:tcPr>
                <w:p w14:paraId="52A1BACA">
                  <w:pPr>
                    <w:widowControl/>
                    <w:jc w:val="left"/>
                    <w:rPr>
                      <w:color w:val="auto"/>
                      <w:szCs w:val="21"/>
                      <w:highlight w:val="none"/>
                    </w:rPr>
                  </w:pPr>
                </w:p>
              </w:tc>
              <w:tc>
                <w:tcPr>
                  <w:tcW w:w="401" w:type="pct"/>
                  <w:vMerge w:val="continue"/>
                  <w:noWrap w:val="0"/>
                  <w:vAlign w:val="center"/>
                </w:tcPr>
                <w:p w14:paraId="3B7D9876">
                  <w:pPr>
                    <w:widowControl/>
                    <w:jc w:val="left"/>
                    <w:rPr>
                      <w:color w:val="auto"/>
                      <w:szCs w:val="21"/>
                      <w:highlight w:val="none"/>
                    </w:rPr>
                  </w:pPr>
                </w:p>
              </w:tc>
            </w:tr>
            <w:tr w14:paraId="1A8D99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3A4768EE">
                  <w:pPr>
                    <w:widowControl/>
                    <w:jc w:val="left"/>
                    <w:rPr>
                      <w:color w:val="auto"/>
                      <w:szCs w:val="21"/>
                      <w:highlight w:val="none"/>
                    </w:rPr>
                  </w:pPr>
                </w:p>
              </w:tc>
              <w:tc>
                <w:tcPr>
                  <w:tcW w:w="2089" w:type="dxa"/>
                  <w:noWrap w:val="0"/>
                  <w:vAlign w:val="center"/>
                </w:tcPr>
                <w:p w14:paraId="067987A7">
                  <w:pPr>
                    <w:widowControl/>
                    <w:jc w:val="center"/>
                    <w:textAlignment w:val="center"/>
                    <w:rPr>
                      <w:color w:val="auto"/>
                      <w:szCs w:val="21"/>
                      <w:highlight w:val="none"/>
                    </w:rPr>
                  </w:pPr>
                  <w:r>
                    <w:rPr>
                      <w:rFonts w:hint="eastAsia"/>
                      <w:color w:val="auto"/>
                      <w:highlight w:val="none"/>
                      <w:lang w:val="en-US" w:eastAsia="zh-CN"/>
                    </w:rPr>
                    <w:t>2025.1.18-2025.1.19</w:t>
                  </w:r>
                </w:p>
              </w:tc>
              <w:tc>
                <w:tcPr>
                  <w:tcW w:w="520" w:type="pct"/>
                  <w:vMerge w:val="continue"/>
                  <w:noWrap w:val="0"/>
                  <w:vAlign w:val="center"/>
                </w:tcPr>
                <w:p w14:paraId="00141E02">
                  <w:pPr>
                    <w:widowControl/>
                    <w:jc w:val="left"/>
                    <w:rPr>
                      <w:color w:val="auto"/>
                      <w:szCs w:val="21"/>
                      <w:highlight w:val="none"/>
                    </w:rPr>
                  </w:pPr>
                </w:p>
              </w:tc>
              <w:tc>
                <w:tcPr>
                  <w:tcW w:w="513" w:type="pct"/>
                  <w:noWrap w:val="0"/>
                  <w:vAlign w:val="center"/>
                </w:tcPr>
                <w:p w14:paraId="3E1B309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0.90</w:t>
                  </w:r>
                </w:p>
              </w:tc>
              <w:tc>
                <w:tcPr>
                  <w:tcW w:w="440" w:type="pct"/>
                  <w:noWrap w:val="0"/>
                  <w:vAlign w:val="center"/>
                </w:tcPr>
                <w:p w14:paraId="7B44CEE3">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0.88</w:t>
                  </w:r>
                </w:p>
              </w:tc>
              <w:tc>
                <w:tcPr>
                  <w:tcW w:w="441" w:type="pct"/>
                  <w:noWrap w:val="0"/>
                  <w:vAlign w:val="center"/>
                </w:tcPr>
                <w:p w14:paraId="1B38B43A">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0.89</w:t>
                  </w:r>
                </w:p>
              </w:tc>
              <w:tc>
                <w:tcPr>
                  <w:tcW w:w="392" w:type="pct"/>
                  <w:noWrap w:val="0"/>
                  <w:vAlign w:val="center"/>
                </w:tcPr>
                <w:p w14:paraId="291CA271">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0.87</w:t>
                  </w:r>
                </w:p>
              </w:tc>
              <w:tc>
                <w:tcPr>
                  <w:tcW w:w="438" w:type="pct"/>
                  <w:vMerge w:val="continue"/>
                  <w:noWrap w:val="0"/>
                  <w:vAlign w:val="center"/>
                </w:tcPr>
                <w:p w14:paraId="351B21D9">
                  <w:pPr>
                    <w:widowControl/>
                    <w:jc w:val="left"/>
                    <w:rPr>
                      <w:color w:val="auto"/>
                      <w:szCs w:val="21"/>
                      <w:highlight w:val="none"/>
                    </w:rPr>
                  </w:pPr>
                </w:p>
              </w:tc>
              <w:tc>
                <w:tcPr>
                  <w:tcW w:w="401" w:type="pct"/>
                  <w:vMerge w:val="continue"/>
                  <w:noWrap w:val="0"/>
                  <w:vAlign w:val="center"/>
                </w:tcPr>
                <w:p w14:paraId="28E089C1">
                  <w:pPr>
                    <w:widowControl/>
                    <w:jc w:val="left"/>
                    <w:rPr>
                      <w:color w:val="auto"/>
                      <w:szCs w:val="21"/>
                      <w:highlight w:val="none"/>
                    </w:rPr>
                  </w:pPr>
                </w:p>
              </w:tc>
            </w:tr>
            <w:tr w14:paraId="7EF4A1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restart"/>
                  <w:noWrap w:val="0"/>
                  <w:vAlign w:val="center"/>
                </w:tcPr>
                <w:p w14:paraId="0A5997DD">
                  <w:pPr>
                    <w:jc w:val="center"/>
                    <w:rPr>
                      <w:rFonts w:hint="default" w:eastAsia="宋体"/>
                      <w:color w:val="auto"/>
                      <w:highlight w:val="none"/>
                      <w:lang w:val="en-US" w:eastAsia="zh-CN"/>
                    </w:rPr>
                  </w:pPr>
                  <w:r>
                    <w:rPr>
                      <w:rFonts w:hint="eastAsia"/>
                      <w:color w:val="auto"/>
                      <w:highlight w:val="none"/>
                      <w:lang w:val="en-US" w:eastAsia="zh-CN"/>
                    </w:rPr>
                    <w:t>TSP</w:t>
                  </w:r>
                </w:p>
              </w:tc>
              <w:tc>
                <w:tcPr>
                  <w:tcW w:w="1309" w:type="pct"/>
                  <w:noWrap w:val="0"/>
                  <w:vAlign w:val="center"/>
                </w:tcPr>
                <w:p w14:paraId="1F45C675">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2025.1.12-2025.1.13</w:t>
                  </w:r>
                </w:p>
              </w:tc>
              <w:tc>
                <w:tcPr>
                  <w:tcW w:w="520" w:type="pct"/>
                  <w:vMerge w:val="restart"/>
                  <w:noWrap w:val="0"/>
                  <w:vAlign w:val="center"/>
                </w:tcPr>
                <w:p w14:paraId="0166DA8F">
                  <w:pPr>
                    <w:jc w:val="center"/>
                    <w:rPr>
                      <w:color w:val="auto"/>
                      <w:highlight w:val="none"/>
                    </w:rPr>
                  </w:pPr>
                  <w:r>
                    <w:rPr>
                      <w:rFonts w:hint="eastAsia"/>
                      <w:color w:val="auto"/>
                      <w:highlight w:val="none"/>
                    </w:rPr>
                    <w:t>mg/m</w:t>
                  </w:r>
                  <w:r>
                    <w:rPr>
                      <w:rFonts w:hint="eastAsia"/>
                      <w:color w:val="auto"/>
                      <w:highlight w:val="none"/>
                      <w:vertAlign w:val="superscript"/>
                    </w:rPr>
                    <w:t>3</w:t>
                  </w:r>
                </w:p>
              </w:tc>
              <w:tc>
                <w:tcPr>
                  <w:tcW w:w="1788" w:type="pct"/>
                  <w:gridSpan w:val="4"/>
                  <w:noWrap w:val="0"/>
                  <w:vAlign w:val="center"/>
                </w:tcPr>
                <w:p w14:paraId="18D5DF60">
                  <w:pPr>
                    <w:jc w:val="center"/>
                    <w:rPr>
                      <w:rFonts w:hint="default" w:eastAsia="宋体"/>
                      <w:color w:val="auto"/>
                      <w:highlight w:val="none"/>
                      <w:lang w:val="en-US" w:eastAsia="zh-CN"/>
                    </w:rPr>
                  </w:pPr>
                  <w:r>
                    <w:rPr>
                      <w:rFonts w:hint="eastAsia"/>
                      <w:color w:val="auto"/>
                      <w:highlight w:val="none"/>
                      <w:lang w:val="en-US" w:eastAsia="zh-CN"/>
                    </w:rPr>
                    <w:t>0.209</w:t>
                  </w:r>
                </w:p>
              </w:tc>
              <w:tc>
                <w:tcPr>
                  <w:tcW w:w="438" w:type="pct"/>
                  <w:vMerge w:val="restart"/>
                  <w:noWrap w:val="0"/>
                  <w:vAlign w:val="center"/>
                </w:tcPr>
                <w:p w14:paraId="1AA66CF5">
                  <w:pPr>
                    <w:widowControl/>
                    <w:jc w:val="center"/>
                    <w:rPr>
                      <w:rFonts w:hint="eastAsia" w:eastAsia="宋体"/>
                      <w:color w:val="auto"/>
                      <w:highlight w:val="none"/>
                      <w:lang w:eastAsia="zh-CN"/>
                    </w:rPr>
                  </w:pPr>
                  <w:r>
                    <w:rPr>
                      <w:rFonts w:hint="eastAsia"/>
                      <w:color w:val="auto"/>
                      <w:highlight w:val="none"/>
                    </w:rPr>
                    <w:t>0.</w:t>
                  </w:r>
                  <w:r>
                    <w:rPr>
                      <w:rFonts w:hint="eastAsia"/>
                      <w:color w:val="auto"/>
                      <w:highlight w:val="none"/>
                      <w:lang w:val="en-US" w:eastAsia="zh-CN"/>
                    </w:rPr>
                    <w:t>3</w:t>
                  </w:r>
                </w:p>
              </w:tc>
              <w:tc>
                <w:tcPr>
                  <w:tcW w:w="401" w:type="pct"/>
                  <w:vMerge w:val="restart"/>
                  <w:noWrap w:val="0"/>
                  <w:vAlign w:val="center"/>
                </w:tcPr>
                <w:p w14:paraId="747DDDE4">
                  <w:pPr>
                    <w:widowControl/>
                    <w:jc w:val="center"/>
                    <w:rPr>
                      <w:color w:val="auto"/>
                      <w:highlight w:val="none"/>
                    </w:rPr>
                  </w:pPr>
                  <w:r>
                    <w:rPr>
                      <w:color w:val="auto"/>
                      <w:szCs w:val="21"/>
                      <w:highlight w:val="none"/>
                    </w:rPr>
                    <w:t>达标</w:t>
                  </w:r>
                </w:p>
              </w:tc>
            </w:tr>
            <w:tr w14:paraId="3EC109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2BD1D680">
                  <w:pPr>
                    <w:jc w:val="center"/>
                    <w:rPr>
                      <w:rFonts w:hint="eastAsia"/>
                      <w:color w:val="auto"/>
                      <w:highlight w:val="none"/>
                      <w:lang w:val="en-US" w:eastAsia="zh-CN"/>
                    </w:rPr>
                  </w:pPr>
                </w:p>
              </w:tc>
              <w:tc>
                <w:tcPr>
                  <w:tcW w:w="1309" w:type="pct"/>
                  <w:noWrap w:val="0"/>
                  <w:vAlign w:val="center"/>
                </w:tcPr>
                <w:p w14:paraId="78E40E81">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2025.1.13-2025.1.14</w:t>
                  </w:r>
                </w:p>
              </w:tc>
              <w:tc>
                <w:tcPr>
                  <w:tcW w:w="520" w:type="pct"/>
                  <w:vMerge w:val="continue"/>
                  <w:noWrap w:val="0"/>
                  <w:vAlign w:val="center"/>
                </w:tcPr>
                <w:p w14:paraId="13A2A946">
                  <w:pPr>
                    <w:jc w:val="center"/>
                    <w:rPr>
                      <w:rFonts w:hint="eastAsia"/>
                      <w:color w:val="auto"/>
                      <w:highlight w:val="none"/>
                    </w:rPr>
                  </w:pPr>
                </w:p>
              </w:tc>
              <w:tc>
                <w:tcPr>
                  <w:tcW w:w="1788" w:type="pct"/>
                  <w:gridSpan w:val="4"/>
                  <w:noWrap w:val="0"/>
                  <w:vAlign w:val="center"/>
                </w:tcPr>
                <w:p w14:paraId="34D6C7D0">
                  <w:pPr>
                    <w:jc w:val="center"/>
                    <w:rPr>
                      <w:rFonts w:hint="default" w:eastAsia="宋体"/>
                      <w:color w:val="auto"/>
                      <w:highlight w:val="none"/>
                      <w:lang w:val="en-US" w:eastAsia="zh-CN"/>
                    </w:rPr>
                  </w:pPr>
                  <w:r>
                    <w:rPr>
                      <w:rFonts w:hint="eastAsia"/>
                      <w:color w:val="auto"/>
                      <w:highlight w:val="none"/>
                      <w:lang w:val="en-US" w:eastAsia="zh-CN"/>
                    </w:rPr>
                    <w:t>0.149</w:t>
                  </w:r>
                </w:p>
              </w:tc>
              <w:tc>
                <w:tcPr>
                  <w:tcW w:w="438" w:type="pct"/>
                  <w:vMerge w:val="continue"/>
                  <w:noWrap w:val="0"/>
                  <w:vAlign w:val="center"/>
                </w:tcPr>
                <w:p w14:paraId="0B3501DB">
                  <w:pPr>
                    <w:widowControl/>
                    <w:jc w:val="center"/>
                    <w:rPr>
                      <w:rFonts w:hint="eastAsia"/>
                      <w:color w:val="auto"/>
                      <w:highlight w:val="none"/>
                    </w:rPr>
                  </w:pPr>
                </w:p>
              </w:tc>
              <w:tc>
                <w:tcPr>
                  <w:tcW w:w="401" w:type="pct"/>
                  <w:vMerge w:val="continue"/>
                  <w:noWrap w:val="0"/>
                  <w:vAlign w:val="center"/>
                </w:tcPr>
                <w:p w14:paraId="0C82949A">
                  <w:pPr>
                    <w:widowControl/>
                    <w:jc w:val="center"/>
                    <w:rPr>
                      <w:color w:val="auto"/>
                      <w:szCs w:val="21"/>
                      <w:highlight w:val="none"/>
                    </w:rPr>
                  </w:pPr>
                </w:p>
              </w:tc>
            </w:tr>
            <w:tr w14:paraId="58F4E1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4CBF42C4">
                  <w:pPr>
                    <w:jc w:val="center"/>
                    <w:rPr>
                      <w:rFonts w:hint="eastAsia"/>
                      <w:color w:val="auto"/>
                      <w:highlight w:val="none"/>
                      <w:lang w:val="en-US" w:eastAsia="zh-CN"/>
                    </w:rPr>
                  </w:pPr>
                </w:p>
              </w:tc>
              <w:tc>
                <w:tcPr>
                  <w:tcW w:w="1309" w:type="pct"/>
                  <w:noWrap w:val="0"/>
                  <w:vAlign w:val="center"/>
                </w:tcPr>
                <w:p w14:paraId="00ED8DA6">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2025.1.14-2025.1.15</w:t>
                  </w:r>
                </w:p>
              </w:tc>
              <w:tc>
                <w:tcPr>
                  <w:tcW w:w="520" w:type="pct"/>
                  <w:vMerge w:val="continue"/>
                  <w:noWrap w:val="0"/>
                  <w:vAlign w:val="center"/>
                </w:tcPr>
                <w:p w14:paraId="3C686CBA">
                  <w:pPr>
                    <w:jc w:val="center"/>
                    <w:rPr>
                      <w:rFonts w:hint="eastAsia"/>
                      <w:color w:val="auto"/>
                      <w:highlight w:val="none"/>
                    </w:rPr>
                  </w:pPr>
                </w:p>
              </w:tc>
              <w:tc>
                <w:tcPr>
                  <w:tcW w:w="1788" w:type="pct"/>
                  <w:gridSpan w:val="4"/>
                  <w:noWrap w:val="0"/>
                  <w:vAlign w:val="center"/>
                </w:tcPr>
                <w:p w14:paraId="4EEA2A3A">
                  <w:pPr>
                    <w:jc w:val="center"/>
                    <w:rPr>
                      <w:rFonts w:hint="default" w:eastAsia="宋体"/>
                      <w:color w:val="auto"/>
                      <w:highlight w:val="none"/>
                      <w:lang w:val="en-US" w:eastAsia="zh-CN"/>
                    </w:rPr>
                  </w:pPr>
                  <w:r>
                    <w:rPr>
                      <w:rFonts w:hint="eastAsia"/>
                      <w:color w:val="auto"/>
                      <w:highlight w:val="none"/>
                      <w:lang w:val="en-US" w:eastAsia="zh-CN"/>
                    </w:rPr>
                    <w:t>0.096</w:t>
                  </w:r>
                </w:p>
              </w:tc>
              <w:tc>
                <w:tcPr>
                  <w:tcW w:w="438" w:type="pct"/>
                  <w:vMerge w:val="continue"/>
                  <w:noWrap w:val="0"/>
                  <w:vAlign w:val="center"/>
                </w:tcPr>
                <w:p w14:paraId="5E96C734">
                  <w:pPr>
                    <w:widowControl/>
                    <w:jc w:val="center"/>
                    <w:rPr>
                      <w:rFonts w:hint="eastAsia"/>
                      <w:color w:val="auto"/>
                      <w:highlight w:val="none"/>
                    </w:rPr>
                  </w:pPr>
                </w:p>
              </w:tc>
              <w:tc>
                <w:tcPr>
                  <w:tcW w:w="401" w:type="pct"/>
                  <w:vMerge w:val="continue"/>
                  <w:noWrap w:val="0"/>
                  <w:vAlign w:val="center"/>
                </w:tcPr>
                <w:p w14:paraId="53B978C8">
                  <w:pPr>
                    <w:widowControl/>
                    <w:jc w:val="center"/>
                    <w:rPr>
                      <w:color w:val="auto"/>
                      <w:szCs w:val="21"/>
                      <w:highlight w:val="none"/>
                    </w:rPr>
                  </w:pPr>
                </w:p>
              </w:tc>
            </w:tr>
            <w:tr w14:paraId="1A852F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56811D27">
                  <w:pPr>
                    <w:jc w:val="center"/>
                    <w:rPr>
                      <w:rFonts w:hint="eastAsia"/>
                      <w:color w:val="auto"/>
                      <w:highlight w:val="none"/>
                      <w:lang w:val="en-US" w:eastAsia="zh-CN"/>
                    </w:rPr>
                  </w:pPr>
                </w:p>
              </w:tc>
              <w:tc>
                <w:tcPr>
                  <w:tcW w:w="1309" w:type="pct"/>
                  <w:noWrap w:val="0"/>
                  <w:vAlign w:val="center"/>
                </w:tcPr>
                <w:p w14:paraId="064564F1">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2025.1.15-2025.1.16</w:t>
                  </w:r>
                </w:p>
              </w:tc>
              <w:tc>
                <w:tcPr>
                  <w:tcW w:w="520" w:type="pct"/>
                  <w:vMerge w:val="continue"/>
                  <w:noWrap w:val="0"/>
                  <w:vAlign w:val="center"/>
                </w:tcPr>
                <w:p w14:paraId="2C5643B1">
                  <w:pPr>
                    <w:jc w:val="center"/>
                    <w:rPr>
                      <w:rFonts w:hint="eastAsia"/>
                      <w:color w:val="auto"/>
                      <w:highlight w:val="none"/>
                    </w:rPr>
                  </w:pPr>
                </w:p>
              </w:tc>
              <w:tc>
                <w:tcPr>
                  <w:tcW w:w="1788" w:type="pct"/>
                  <w:gridSpan w:val="4"/>
                  <w:noWrap w:val="0"/>
                  <w:vAlign w:val="center"/>
                </w:tcPr>
                <w:p w14:paraId="5208BF3E">
                  <w:pPr>
                    <w:jc w:val="center"/>
                    <w:rPr>
                      <w:rFonts w:hint="default" w:eastAsia="宋体"/>
                      <w:color w:val="auto"/>
                      <w:highlight w:val="none"/>
                      <w:lang w:val="en-US" w:eastAsia="zh-CN"/>
                    </w:rPr>
                  </w:pPr>
                  <w:r>
                    <w:rPr>
                      <w:rFonts w:hint="eastAsia"/>
                      <w:color w:val="auto"/>
                      <w:highlight w:val="none"/>
                      <w:lang w:val="en-US" w:eastAsia="zh-CN"/>
                    </w:rPr>
                    <w:t>0.081</w:t>
                  </w:r>
                </w:p>
              </w:tc>
              <w:tc>
                <w:tcPr>
                  <w:tcW w:w="438" w:type="pct"/>
                  <w:vMerge w:val="continue"/>
                  <w:noWrap w:val="0"/>
                  <w:vAlign w:val="center"/>
                </w:tcPr>
                <w:p w14:paraId="4D44B8E8">
                  <w:pPr>
                    <w:widowControl/>
                    <w:jc w:val="center"/>
                    <w:rPr>
                      <w:rFonts w:hint="eastAsia"/>
                      <w:color w:val="auto"/>
                      <w:highlight w:val="none"/>
                    </w:rPr>
                  </w:pPr>
                </w:p>
              </w:tc>
              <w:tc>
                <w:tcPr>
                  <w:tcW w:w="401" w:type="pct"/>
                  <w:vMerge w:val="continue"/>
                  <w:noWrap w:val="0"/>
                  <w:vAlign w:val="center"/>
                </w:tcPr>
                <w:p w14:paraId="13FC4C41">
                  <w:pPr>
                    <w:widowControl/>
                    <w:jc w:val="center"/>
                    <w:rPr>
                      <w:color w:val="auto"/>
                      <w:szCs w:val="21"/>
                      <w:highlight w:val="none"/>
                    </w:rPr>
                  </w:pPr>
                </w:p>
              </w:tc>
            </w:tr>
            <w:tr w14:paraId="485E2D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3152EEEE">
                  <w:pPr>
                    <w:jc w:val="center"/>
                    <w:rPr>
                      <w:rFonts w:hint="eastAsia"/>
                      <w:color w:val="auto"/>
                      <w:highlight w:val="none"/>
                      <w:lang w:val="en-US" w:eastAsia="zh-CN"/>
                    </w:rPr>
                  </w:pPr>
                </w:p>
              </w:tc>
              <w:tc>
                <w:tcPr>
                  <w:tcW w:w="1309" w:type="pct"/>
                  <w:noWrap w:val="0"/>
                  <w:vAlign w:val="center"/>
                </w:tcPr>
                <w:p w14:paraId="088DF1CD">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2025.1.16-2025.1.17</w:t>
                  </w:r>
                </w:p>
              </w:tc>
              <w:tc>
                <w:tcPr>
                  <w:tcW w:w="520" w:type="pct"/>
                  <w:vMerge w:val="continue"/>
                  <w:noWrap w:val="0"/>
                  <w:vAlign w:val="center"/>
                </w:tcPr>
                <w:p w14:paraId="7B6DDE0A">
                  <w:pPr>
                    <w:jc w:val="center"/>
                    <w:rPr>
                      <w:rFonts w:hint="eastAsia"/>
                      <w:color w:val="auto"/>
                      <w:highlight w:val="none"/>
                    </w:rPr>
                  </w:pPr>
                </w:p>
              </w:tc>
              <w:tc>
                <w:tcPr>
                  <w:tcW w:w="1788" w:type="pct"/>
                  <w:gridSpan w:val="4"/>
                  <w:noWrap w:val="0"/>
                  <w:vAlign w:val="center"/>
                </w:tcPr>
                <w:p w14:paraId="480010ED">
                  <w:pPr>
                    <w:jc w:val="center"/>
                    <w:rPr>
                      <w:rFonts w:hint="default" w:eastAsia="宋体"/>
                      <w:color w:val="auto"/>
                      <w:highlight w:val="none"/>
                      <w:lang w:val="en-US" w:eastAsia="zh-CN"/>
                    </w:rPr>
                  </w:pPr>
                  <w:r>
                    <w:rPr>
                      <w:rFonts w:hint="eastAsia"/>
                      <w:color w:val="auto"/>
                      <w:highlight w:val="none"/>
                      <w:lang w:val="en-US" w:eastAsia="zh-CN"/>
                    </w:rPr>
                    <w:t>0.148</w:t>
                  </w:r>
                </w:p>
              </w:tc>
              <w:tc>
                <w:tcPr>
                  <w:tcW w:w="438" w:type="pct"/>
                  <w:vMerge w:val="continue"/>
                  <w:noWrap w:val="0"/>
                  <w:vAlign w:val="center"/>
                </w:tcPr>
                <w:p w14:paraId="2A05036A">
                  <w:pPr>
                    <w:widowControl/>
                    <w:jc w:val="center"/>
                    <w:rPr>
                      <w:rFonts w:hint="eastAsia"/>
                      <w:color w:val="auto"/>
                      <w:highlight w:val="none"/>
                    </w:rPr>
                  </w:pPr>
                </w:p>
              </w:tc>
              <w:tc>
                <w:tcPr>
                  <w:tcW w:w="401" w:type="pct"/>
                  <w:vMerge w:val="continue"/>
                  <w:noWrap w:val="0"/>
                  <w:vAlign w:val="center"/>
                </w:tcPr>
                <w:p w14:paraId="59015544">
                  <w:pPr>
                    <w:widowControl/>
                    <w:jc w:val="center"/>
                    <w:rPr>
                      <w:color w:val="auto"/>
                      <w:szCs w:val="21"/>
                      <w:highlight w:val="none"/>
                    </w:rPr>
                  </w:pPr>
                </w:p>
              </w:tc>
            </w:tr>
            <w:tr w14:paraId="790286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541" w:type="pct"/>
                  <w:vMerge w:val="continue"/>
                  <w:noWrap w:val="0"/>
                  <w:vAlign w:val="center"/>
                </w:tcPr>
                <w:p w14:paraId="686CA666">
                  <w:pPr>
                    <w:jc w:val="center"/>
                    <w:rPr>
                      <w:color w:val="auto"/>
                      <w:highlight w:val="none"/>
                    </w:rPr>
                  </w:pPr>
                </w:p>
              </w:tc>
              <w:tc>
                <w:tcPr>
                  <w:tcW w:w="1309" w:type="pct"/>
                  <w:noWrap w:val="0"/>
                  <w:vAlign w:val="center"/>
                </w:tcPr>
                <w:p w14:paraId="193DFD65">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2025.1.17-2025.1.18</w:t>
                  </w:r>
                </w:p>
              </w:tc>
              <w:tc>
                <w:tcPr>
                  <w:tcW w:w="520" w:type="pct"/>
                  <w:vMerge w:val="continue"/>
                  <w:noWrap w:val="0"/>
                  <w:vAlign w:val="center"/>
                </w:tcPr>
                <w:p w14:paraId="5FB756A1">
                  <w:pPr>
                    <w:jc w:val="center"/>
                    <w:rPr>
                      <w:color w:val="auto"/>
                      <w:highlight w:val="none"/>
                    </w:rPr>
                  </w:pPr>
                </w:p>
              </w:tc>
              <w:tc>
                <w:tcPr>
                  <w:tcW w:w="1788" w:type="pct"/>
                  <w:gridSpan w:val="4"/>
                  <w:noWrap w:val="0"/>
                  <w:vAlign w:val="center"/>
                </w:tcPr>
                <w:p w14:paraId="330B60CF">
                  <w:pPr>
                    <w:jc w:val="center"/>
                    <w:rPr>
                      <w:rFonts w:hint="default" w:eastAsia="宋体"/>
                      <w:color w:val="auto"/>
                      <w:highlight w:val="none"/>
                      <w:lang w:val="en-US" w:eastAsia="zh-CN"/>
                    </w:rPr>
                  </w:pPr>
                  <w:r>
                    <w:rPr>
                      <w:rFonts w:hint="eastAsia"/>
                      <w:color w:val="auto"/>
                      <w:highlight w:val="none"/>
                      <w:lang w:val="en-US" w:eastAsia="zh-CN"/>
                    </w:rPr>
                    <w:t>0.188</w:t>
                  </w:r>
                </w:p>
              </w:tc>
              <w:tc>
                <w:tcPr>
                  <w:tcW w:w="438" w:type="pct"/>
                  <w:vMerge w:val="continue"/>
                  <w:noWrap w:val="0"/>
                  <w:vAlign w:val="center"/>
                </w:tcPr>
                <w:p w14:paraId="45C615D7">
                  <w:pPr>
                    <w:jc w:val="center"/>
                    <w:rPr>
                      <w:color w:val="auto"/>
                      <w:highlight w:val="none"/>
                    </w:rPr>
                  </w:pPr>
                </w:p>
              </w:tc>
              <w:tc>
                <w:tcPr>
                  <w:tcW w:w="401" w:type="pct"/>
                  <w:vMerge w:val="continue"/>
                  <w:noWrap w:val="0"/>
                  <w:vAlign w:val="center"/>
                </w:tcPr>
                <w:p w14:paraId="308C9001">
                  <w:pPr>
                    <w:jc w:val="center"/>
                    <w:rPr>
                      <w:color w:val="auto"/>
                      <w:highlight w:val="none"/>
                    </w:rPr>
                  </w:pPr>
                </w:p>
              </w:tc>
            </w:tr>
            <w:tr w14:paraId="210F32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541" w:type="pct"/>
                  <w:vMerge w:val="continue"/>
                  <w:noWrap w:val="0"/>
                  <w:vAlign w:val="center"/>
                </w:tcPr>
                <w:p w14:paraId="0D98741D">
                  <w:pPr>
                    <w:jc w:val="center"/>
                    <w:rPr>
                      <w:color w:val="auto"/>
                      <w:highlight w:val="none"/>
                    </w:rPr>
                  </w:pPr>
                </w:p>
              </w:tc>
              <w:tc>
                <w:tcPr>
                  <w:tcW w:w="1309" w:type="pct"/>
                  <w:noWrap w:val="0"/>
                  <w:vAlign w:val="center"/>
                </w:tcPr>
                <w:p w14:paraId="6591CE02">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2025.1.18-2025.1.19</w:t>
                  </w:r>
                </w:p>
              </w:tc>
              <w:tc>
                <w:tcPr>
                  <w:tcW w:w="520" w:type="pct"/>
                  <w:vMerge w:val="continue"/>
                  <w:noWrap w:val="0"/>
                  <w:vAlign w:val="center"/>
                </w:tcPr>
                <w:p w14:paraId="23A8763D">
                  <w:pPr>
                    <w:jc w:val="center"/>
                    <w:rPr>
                      <w:color w:val="auto"/>
                      <w:highlight w:val="none"/>
                    </w:rPr>
                  </w:pPr>
                </w:p>
              </w:tc>
              <w:tc>
                <w:tcPr>
                  <w:tcW w:w="1788" w:type="pct"/>
                  <w:gridSpan w:val="4"/>
                  <w:noWrap w:val="0"/>
                  <w:vAlign w:val="center"/>
                </w:tcPr>
                <w:p w14:paraId="6C1E9FC7">
                  <w:pPr>
                    <w:jc w:val="center"/>
                    <w:rPr>
                      <w:rFonts w:hint="default" w:eastAsia="宋体"/>
                      <w:color w:val="auto"/>
                      <w:highlight w:val="none"/>
                      <w:lang w:val="en-US" w:eastAsia="zh-CN"/>
                    </w:rPr>
                  </w:pPr>
                  <w:r>
                    <w:rPr>
                      <w:rFonts w:hint="eastAsia"/>
                      <w:color w:val="auto"/>
                      <w:highlight w:val="none"/>
                      <w:lang w:val="en-US" w:eastAsia="zh-CN"/>
                    </w:rPr>
                    <w:t>0.192</w:t>
                  </w:r>
                </w:p>
              </w:tc>
              <w:tc>
                <w:tcPr>
                  <w:tcW w:w="438" w:type="pct"/>
                  <w:vMerge w:val="continue"/>
                  <w:noWrap w:val="0"/>
                  <w:vAlign w:val="center"/>
                </w:tcPr>
                <w:p w14:paraId="29C379B8">
                  <w:pPr>
                    <w:jc w:val="center"/>
                    <w:rPr>
                      <w:color w:val="auto"/>
                      <w:highlight w:val="none"/>
                    </w:rPr>
                  </w:pPr>
                </w:p>
              </w:tc>
              <w:tc>
                <w:tcPr>
                  <w:tcW w:w="401" w:type="pct"/>
                  <w:vMerge w:val="continue"/>
                  <w:noWrap w:val="0"/>
                  <w:vAlign w:val="center"/>
                </w:tcPr>
                <w:p w14:paraId="5E716C6D">
                  <w:pPr>
                    <w:jc w:val="center"/>
                    <w:rPr>
                      <w:color w:val="auto"/>
                      <w:highlight w:val="none"/>
                    </w:rPr>
                  </w:pPr>
                </w:p>
              </w:tc>
            </w:tr>
          </w:tbl>
          <w:p w14:paraId="68AF9D71">
            <w:pPr>
              <w:pStyle w:val="7"/>
              <w:spacing w:before="120" w:beforeLines="50"/>
              <w:ind w:firstLine="480"/>
              <w:rPr>
                <w:color w:val="auto"/>
                <w:highlight w:val="none"/>
              </w:rPr>
            </w:pPr>
            <w:r>
              <w:rPr>
                <w:rFonts w:hint="eastAsia"/>
                <w:color w:val="auto"/>
                <w:highlight w:val="none"/>
                <w:lang w:val="en-US" w:eastAsia="zh-CN"/>
              </w:rPr>
              <w:t>根据所</w:t>
            </w:r>
            <w:r>
              <w:rPr>
                <w:rFonts w:hint="eastAsia" w:eastAsia="宋体"/>
                <w:color w:val="auto"/>
                <w:highlight w:val="none"/>
                <w:lang w:val="en-US" w:eastAsia="zh-CN"/>
              </w:rPr>
              <w:t>引用现状监测数据结果可知，项目所在区域监测期间非甲烷总烃满足《大气污染物综合排放标准详解》中</w:t>
            </w:r>
            <w:r>
              <w:rPr>
                <w:rFonts w:hint="eastAsia"/>
                <w:color w:val="auto"/>
                <w:highlight w:val="none"/>
                <w:lang w:val="en-US" w:eastAsia="zh-CN"/>
              </w:rPr>
              <w:t>浓度</w:t>
            </w:r>
            <w:r>
              <w:rPr>
                <w:rFonts w:hint="eastAsia" w:eastAsia="宋体"/>
                <w:color w:val="auto"/>
                <w:highlight w:val="none"/>
                <w:lang w:val="en-US" w:eastAsia="zh-CN"/>
              </w:rPr>
              <w:t>限值</w:t>
            </w:r>
            <w:r>
              <w:rPr>
                <w:rFonts w:hint="eastAsia"/>
                <w:color w:val="auto"/>
                <w:highlight w:val="none"/>
                <w:lang w:val="en-US" w:eastAsia="zh-CN"/>
              </w:rPr>
              <w:t>、TSP满足《环境空气质量标准》（GB3095-2012）中浓度限值。</w:t>
            </w:r>
          </w:p>
          <w:p w14:paraId="677BB2A2">
            <w:pPr>
              <w:pStyle w:val="7"/>
              <w:ind w:firstLine="482"/>
              <w:rPr>
                <w:b/>
                <w:bCs/>
                <w:color w:val="auto"/>
                <w:highlight w:val="none"/>
              </w:rPr>
            </w:pPr>
            <w:r>
              <w:rPr>
                <w:b/>
                <w:bCs/>
                <w:color w:val="auto"/>
                <w:highlight w:val="none"/>
              </w:rPr>
              <w:t>2、声环境质量现状</w:t>
            </w:r>
          </w:p>
          <w:p w14:paraId="0AE5E55B">
            <w:pPr>
              <w:pStyle w:val="7"/>
              <w:ind w:firstLine="480"/>
              <w:rPr>
                <w:bCs/>
                <w:color w:val="auto"/>
                <w:highlight w:val="none"/>
              </w:rPr>
            </w:pPr>
            <w:r>
              <w:rPr>
                <w:bCs/>
                <w:color w:val="auto"/>
                <w:highlight w:val="none"/>
              </w:rPr>
              <w:t>本项目厂界外50米范围内无声环境保护目标。根据《建设项目环境影响报告表编制技术指南》，本项目不进行声环境现状监测。</w:t>
            </w:r>
          </w:p>
          <w:p w14:paraId="39E04185">
            <w:pPr>
              <w:pStyle w:val="7"/>
              <w:ind w:firstLine="482"/>
              <w:rPr>
                <w:b/>
                <w:bCs/>
                <w:color w:val="auto"/>
                <w:highlight w:val="none"/>
              </w:rPr>
            </w:pPr>
            <w:r>
              <w:rPr>
                <w:rFonts w:hint="eastAsia"/>
                <w:b/>
                <w:bCs/>
                <w:color w:val="auto"/>
                <w:highlight w:val="none"/>
              </w:rPr>
              <w:t>3</w:t>
            </w:r>
            <w:r>
              <w:rPr>
                <w:b/>
                <w:bCs/>
                <w:color w:val="auto"/>
                <w:highlight w:val="none"/>
              </w:rPr>
              <w:t>、</w:t>
            </w:r>
            <w:r>
              <w:rPr>
                <w:rFonts w:hint="eastAsia"/>
                <w:b/>
                <w:bCs/>
                <w:color w:val="auto"/>
                <w:highlight w:val="none"/>
              </w:rPr>
              <w:t>地下水、土壤环境</w:t>
            </w:r>
          </w:p>
          <w:p w14:paraId="39953A99">
            <w:pPr>
              <w:pStyle w:val="7"/>
              <w:ind w:firstLine="480"/>
              <w:rPr>
                <w:color w:val="auto"/>
                <w:highlight w:val="none"/>
              </w:rPr>
            </w:pPr>
            <w:r>
              <w:rPr>
                <w:rFonts w:hint="default"/>
                <w:color w:val="auto"/>
                <w:highlight w:val="none"/>
              </w:rPr>
              <w:t>根据《建设项目环境影响报告表编制技术指南》，原则上不开展地下水、土壤环境质量现状调查。本项目</w:t>
            </w:r>
            <w:r>
              <w:rPr>
                <w:rFonts w:hint="eastAsia"/>
                <w:color w:val="auto"/>
                <w:highlight w:val="none"/>
                <w:lang w:val="en-US" w:eastAsia="zh-CN"/>
              </w:rPr>
              <w:t>租赁已建成的空置厂房进行建设</w:t>
            </w:r>
            <w:r>
              <w:rPr>
                <w:rFonts w:hint="default"/>
                <w:color w:val="auto"/>
                <w:highlight w:val="none"/>
              </w:rPr>
              <w:t>，厂区内地面全部硬化，不存在地下水、土壤污染途径，无需开展地下水、土壤环境质量现状调查</w:t>
            </w:r>
            <w:r>
              <w:rPr>
                <w:color w:val="auto"/>
                <w:highlight w:val="none"/>
              </w:rPr>
              <w:t>。</w:t>
            </w:r>
          </w:p>
        </w:tc>
      </w:tr>
      <w:tr w14:paraId="4481E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800" w:type="dxa"/>
            <w:noWrap w:val="0"/>
            <w:vAlign w:val="center"/>
          </w:tcPr>
          <w:p w14:paraId="5FCFE164">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14:paraId="5452DF6F">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14:paraId="716F05FE">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目标</w:t>
            </w:r>
          </w:p>
        </w:tc>
        <w:tc>
          <w:tcPr>
            <w:tcW w:w="8213" w:type="dxa"/>
            <w:noWrap w:val="0"/>
            <w:vAlign w:val="center"/>
          </w:tcPr>
          <w:p w14:paraId="532896EB">
            <w:pPr>
              <w:pStyle w:val="7"/>
              <w:ind w:firstLine="480"/>
              <w:rPr>
                <w:color w:val="auto"/>
                <w:highlight w:val="none"/>
              </w:rPr>
            </w:pPr>
            <w:r>
              <w:rPr>
                <w:color w:val="auto"/>
                <w:highlight w:val="none"/>
              </w:rPr>
              <w:t>通过对项目周边环境的勘查，</w:t>
            </w:r>
            <w:r>
              <w:rPr>
                <w:rFonts w:hint="eastAsia"/>
                <w:color w:val="auto"/>
                <w:highlight w:val="none"/>
                <w:lang w:val="en-US" w:eastAsia="zh-CN"/>
              </w:rPr>
              <w:t>本项目厂界外500米范围内无自然保护区、风景名胜区、居住区、文化区和农村地区中人群较集中的区域等大气环境保护目标；厂界外50米范围内无声环境保护目标；厂界外500米范围内无地下水集中式饮用水水源和热水、矿泉水、温泉等特殊地下水资源；</w:t>
            </w:r>
            <w:r>
              <w:rPr>
                <w:rFonts w:hint="eastAsia"/>
                <w:color w:val="auto"/>
                <w:highlight w:val="none"/>
              </w:rPr>
              <w:t>项目用地</w:t>
            </w:r>
            <w:r>
              <w:rPr>
                <w:color w:val="auto"/>
                <w:highlight w:val="none"/>
              </w:rPr>
              <w:t>范围内无生态环境保护目标。</w:t>
            </w:r>
          </w:p>
        </w:tc>
      </w:tr>
      <w:tr w14:paraId="05CB0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800" w:type="dxa"/>
            <w:noWrap w:val="0"/>
            <w:tcMar>
              <w:left w:w="28" w:type="dxa"/>
              <w:right w:w="28" w:type="dxa"/>
            </w:tcMar>
            <w:vAlign w:val="center"/>
          </w:tcPr>
          <w:p w14:paraId="0D3780E7">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污染</w:t>
            </w:r>
          </w:p>
          <w:p w14:paraId="12A83D64">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物排</w:t>
            </w:r>
          </w:p>
          <w:p w14:paraId="109C138B">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放控</w:t>
            </w:r>
          </w:p>
          <w:p w14:paraId="73C63E94">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制标</w:t>
            </w:r>
          </w:p>
          <w:p w14:paraId="75DE92EA">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准</w:t>
            </w:r>
          </w:p>
        </w:tc>
        <w:tc>
          <w:tcPr>
            <w:tcW w:w="8213" w:type="dxa"/>
            <w:noWrap w:val="0"/>
            <w:vAlign w:val="center"/>
          </w:tcPr>
          <w:p w14:paraId="51CC4FF3">
            <w:pPr>
              <w:pStyle w:val="7"/>
              <w:ind w:firstLine="482"/>
              <w:rPr>
                <w:b/>
                <w:bCs/>
                <w:color w:val="auto"/>
                <w:highlight w:val="none"/>
              </w:rPr>
            </w:pPr>
            <w:r>
              <w:rPr>
                <w:b/>
                <w:bCs/>
                <w:color w:val="auto"/>
                <w:highlight w:val="none"/>
              </w:rPr>
              <w:t>1、废气</w:t>
            </w:r>
          </w:p>
          <w:p w14:paraId="09F5C962">
            <w:pPr>
              <w:pStyle w:val="7"/>
              <w:bidi w:val="0"/>
              <w:ind w:left="239" w:leftChars="114" w:firstLine="240" w:firstLineChars="100"/>
              <w:rPr>
                <w:rFonts w:hint="default" w:eastAsia="宋体"/>
                <w:b w:val="0"/>
                <w:bCs w:val="0"/>
                <w:color w:val="auto"/>
                <w:highlight w:val="none"/>
                <w:lang w:val="en-US" w:eastAsia="zh-CN"/>
              </w:rPr>
            </w:pPr>
            <w:r>
              <w:rPr>
                <w:rFonts w:hint="eastAsia"/>
                <w:b w:val="0"/>
                <w:bCs w:val="0"/>
                <w:color w:val="auto"/>
                <w:highlight w:val="none"/>
                <w:lang w:eastAsia="zh-CN"/>
              </w:rPr>
              <w:t>（</w:t>
            </w:r>
            <w:r>
              <w:rPr>
                <w:rFonts w:hint="eastAsia"/>
                <w:b w:val="0"/>
                <w:bCs w:val="0"/>
                <w:color w:val="auto"/>
                <w:highlight w:val="none"/>
                <w:lang w:val="en-US" w:eastAsia="zh-CN"/>
              </w:rPr>
              <w:t>1</w:t>
            </w:r>
            <w:r>
              <w:rPr>
                <w:rFonts w:hint="eastAsia"/>
                <w:b w:val="0"/>
                <w:bCs w:val="0"/>
                <w:color w:val="auto"/>
                <w:highlight w:val="none"/>
                <w:lang w:eastAsia="zh-CN"/>
              </w:rPr>
              <w:t>）</w:t>
            </w:r>
            <w:r>
              <w:rPr>
                <w:rFonts w:hint="eastAsia"/>
                <w:b w:val="0"/>
                <w:bCs w:val="0"/>
                <w:color w:val="auto"/>
                <w:highlight w:val="none"/>
                <w:lang w:val="en-US" w:eastAsia="zh-CN"/>
              </w:rPr>
              <w:t>施工期废气</w:t>
            </w:r>
          </w:p>
          <w:p w14:paraId="1D375462">
            <w:pPr>
              <w:pStyle w:val="7"/>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rPr>
                <w:rFonts w:hint="default"/>
                <w:color w:val="auto"/>
                <w:highlight w:val="none"/>
              </w:rPr>
            </w:pPr>
            <w:r>
              <w:rPr>
                <w:rFonts w:hint="default"/>
                <w:color w:val="auto"/>
                <w:highlight w:val="none"/>
              </w:rPr>
              <w:t>施工期扬尘执行《施工场界扬尘排放限值》（DB61/1078-2017）中</w:t>
            </w:r>
            <w:r>
              <w:rPr>
                <w:rFonts w:hint="eastAsia"/>
                <w:color w:val="auto"/>
                <w:highlight w:val="none"/>
                <w:lang w:val="en-US" w:eastAsia="zh-CN"/>
              </w:rPr>
              <w:t>表1浓度限值。</w:t>
            </w:r>
          </w:p>
          <w:p w14:paraId="7C755976">
            <w:pPr>
              <w:pStyle w:val="43"/>
              <w:rPr>
                <w:color w:val="auto"/>
                <w:highlight w:val="none"/>
              </w:rPr>
            </w:pPr>
            <w:r>
              <w:rPr>
                <w:color w:val="auto"/>
                <w:highlight w:val="none"/>
              </w:rPr>
              <w:t>表3-</w:t>
            </w:r>
            <w:r>
              <w:rPr>
                <w:rFonts w:hint="eastAsia"/>
                <w:color w:val="auto"/>
                <w:highlight w:val="none"/>
                <w:lang w:val="en-US" w:eastAsia="zh-CN"/>
              </w:rPr>
              <w:t>3</w:t>
            </w:r>
            <w:r>
              <w:rPr>
                <w:color w:val="auto"/>
                <w:highlight w:val="none"/>
              </w:rPr>
              <w:t xml:space="preserve"> </w:t>
            </w:r>
            <w:r>
              <w:rPr>
                <w:rFonts w:hint="eastAsia"/>
                <w:color w:val="auto"/>
                <w:highlight w:val="none"/>
                <w:lang w:val="en-US" w:eastAsia="zh-CN"/>
              </w:rPr>
              <w:t>施工期</w:t>
            </w:r>
            <w:r>
              <w:rPr>
                <w:color w:val="auto"/>
                <w:highlight w:val="none"/>
              </w:rPr>
              <w:t>废气排放标准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86"/>
              <w:gridCol w:w="1153"/>
              <w:gridCol w:w="2696"/>
              <w:gridCol w:w="1759"/>
            </w:tblGrid>
            <w:tr w14:paraId="6C25C8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92" w:type="pct"/>
                  <w:noWrap w:val="0"/>
                  <w:vAlign w:val="center"/>
                </w:tcPr>
                <w:p w14:paraId="3F1F804C">
                  <w:pPr>
                    <w:pStyle w:val="45"/>
                    <w:rPr>
                      <w:b/>
                      <w:bCs/>
                      <w:color w:val="auto"/>
                      <w:highlight w:val="none"/>
                    </w:rPr>
                  </w:pPr>
                  <w:r>
                    <w:rPr>
                      <w:b/>
                      <w:bCs/>
                      <w:color w:val="auto"/>
                      <w:highlight w:val="none"/>
                    </w:rPr>
                    <w:t>标准名称</w:t>
                  </w:r>
                </w:p>
              </w:tc>
              <w:tc>
                <w:tcPr>
                  <w:tcW w:w="721" w:type="pct"/>
                  <w:noWrap w:val="0"/>
                  <w:vAlign w:val="center"/>
                </w:tcPr>
                <w:p w14:paraId="4E2890AB">
                  <w:pPr>
                    <w:pStyle w:val="45"/>
                    <w:rPr>
                      <w:b/>
                      <w:bCs/>
                      <w:color w:val="auto"/>
                      <w:highlight w:val="none"/>
                    </w:rPr>
                  </w:pPr>
                  <w:r>
                    <w:rPr>
                      <w:b/>
                      <w:bCs/>
                      <w:color w:val="auto"/>
                      <w:highlight w:val="none"/>
                    </w:rPr>
                    <w:t>评价因子</w:t>
                  </w:r>
                </w:p>
              </w:tc>
              <w:tc>
                <w:tcPr>
                  <w:tcW w:w="2786" w:type="pct"/>
                  <w:gridSpan w:val="2"/>
                  <w:noWrap w:val="0"/>
                  <w:vAlign w:val="center"/>
                </w:tcPr>
                <w:p w14:paraId="2EB93D5F">
                  <w:pPr>
                    <w:pStyle w:val="45"/>
                    <w:rPr>
                      <w:b/>
                      <w:bCs/>
                      <w:color w:val="auto"/>
                      <w:highlight w:val="none"/>
                    </w:rPr>
                  </w:pPr>
                  <w:r>
                    <w:rPr>
                      <w:b/>
                      <w:bCs/>
                      <w:color w:val="auto"/>
                      <w:highlight w:val="none"/>
                    </w:rPr>
                    <w:t>标准限值（小时平均浓度限值）</w:t>
                  </w:r>
                </w:p>
              </w:tc>
            </w:tr>
            <w:tr w14:paraId="40C10E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7" w:hRule="atLeast"/>
                <w:jc w:val="center"/>
              </w:trPr>
              <w:tc>
                <w:tcPr>
                  <w:tcW w:w="1492" w:type="pct"/>
                  <w:noWrap w:val="0"/>
                  <w:vAlign w:val="center"/>
                </w:tcPr>
                <w:p w14:paraId="476EDC2D">
                  <w:pPr>
                    <w:pStyle w:val="45"/>
                    <w:rPr>
                      <w:rFonts w:hint="default" w:eastAsia="宋体"/>
                      <w:color w:val="auto"/>
                      <w:highlight w:val="none"/>
                      <w:lang w:val="en-US" w:eastAsia="zh-CN"/>
                    </w:rPr>
                  </w:pPr>
                  <w:r>
                    <w:rPr>
                      <w:color w:val="auto"/>
                      <w:highlight w:val="none"/>
                    </w:rPr>
                    <w:t>《施工场界扬尘排放限值》（DB61/1078-2017）表1</w:t>
                  </w:r>
                  <w:r>
                    <w:rPr>
                      <w:rFonts w:hint="eastAsia"/>
                      <w:color w:val="auto"/>
                      <w:highlight w:val="none"/>
                      <w:lang w:val="en-US" w:eastAsia="zh-CN"/>
                    </w:rPr>
                    <w:t>浓度限值</w:t>
                  </w:r>
                </w:p>
              </w:tc>
              <w:tc>
                <w:tcPr>
                  <w:tcW w:w="721" w:type="pct"/>
                  <w:noWrap w:val="0"/>
                  <w:vAlign w:val="center"/>
                </w:tcPr>
                <w:p w14:paraId="1375DB91">
                  <w:pPr>
                    <w:pStyle w:val="45"/>
                    <w:rPr>
                      <w:color w:val="auto"/>
                      <w:highlight w:val="none"/>
                    </w:rPr>
                  </w:pPr>
                  <w:r>
                    <w:rPr>
                      <w:color w:val="auto"/>
                      <w:highlight w:val="none"/>
                    </w:rPr>
                    <w:t>施工扬尘</w:t>
                  </w:r>
                </w:p>
              </w:tc>
              <w:tc>
                <w:tcPr>
                  <w:tcW w:w="1686" w:type="pct"/>
                  <w:noWrap w:val="0"/>
                  <w:vAlign w:val="center"/>
                </w:tcPr>
                <w:p w14:paraId="448D57BB">
                  <w:pPr>
                    <w:pStyle w:val="45"/>
                    <w:rPr>
                      <w:color w:val="auto"/>
                      <w:highlight w:val="none"/>
                    </w:rPr>
                  </w:pPr>
                  <w:r>
                    <w:rPr>
                      <w:color w:val="auto"/>
                      <w:highlight w:val="none"/>
                    </w:rPr>
                    <w:t>基础、主体结构及装饰工程</w:t>
                  </w:r>
                </w:p>
              </w:tc>
              <w:tc>
                <w:tcPr>
                  <w:tcW w:w="1100" w:type="pct"/>
                  <w:noWrap w:val="0"/>
                  <w:vAlign w:val="center"/>
                </w:tcPr>
                <w:p w14:paraId="4C310749">
                  <w:pPr>
                    <w:pStyle w:val="45"/>
                    <w:rPr>
                      <w:color w:val="auto"/>
                      <w:highlight w:val="none"/>
                    </w:rPr>
                  </w:pPr>
                  <w:r>
                    <w:rPr>
                      <w:color w:val="auto"/>
                      <w:highlight w:val="none"/>
                    </w:rPr>
                    <w:t>≤0.7mg/m</w:t>
                  </w:r>
                  <w:r>
                    <w:rPr>
                      <w:color w:val="auto"/>
                      <w:highlight w:val="none"/>
                      <w:vertAlign w:val="superscript"/>
                    </w:rPr>
                    <w:t>3</w:t>
                  </w:r>
                </w:p>
              </w:tc>
            </w:tr>
          </w:tbl>
          <w:p w14:paraId="715C082E">
            <w:pPr>
              <w:pStyle w:val="7"/>
              <w:keepNext w:val="0"/>
              <w:keepLines w:val="0"/>
              <w:pageBreakBefore w:val="0"/>
              <w:widowControl/>
              <w:kinsoku/>
              <w:wordWrap/>
              <w:overflowPunct/>
              <w:topLinePunct w:val="0"/>
              <w:autoSpaceDE/>
              <w:autoSpaceDN/>
              <w:bidi w:val="0"/>
              <w:adjustRightInd w:val="0"/>
              <w:snapToGrid w:val="0"/>
              <w:spacing w:before="157" w:beforeLines="50"/>
              <w:textAlignment w:val="auto"/>
              <w:rPr>
                <w:rFonts w:hint="default" w:eastAsia="宋体"/>
                <w:b w:val="0"/>
                <w:bCs w:val="0"/>
                <w:color w:val="auto"/>
                <w:highlight w:val="none"/>
                <w:lang w:val="en-US" w:eastAsia="zh-CN"/>
              </w:rPr>
            </w:pPr>
            <w:r>
              <w:rPr>
                <w:rFonts w:hint="eastAsia"/>
                <w:b w:val="0"/>
                <w:bCs w:val="0"/>
                <w:color w:val="auto"/>
                <w:highlight w:val="none"/>
                <w:lang w:eastAsia="zh-CN"/>
              </w:rPr>
              <w:t>（</w:t>
            </w:r>
            <w:r>
              <w:rPr>
                <w:rFonts w:hint="eastAsia"/>
                <w:b w:val="0"/>
                <w:bCs w:val="0"/>
                <w:color w:val="auto"/>
                <w:highlight w:val="none"/>
                <w:lang w:val="en-US" w:eastAsia="zh-CN"/>
              </w:rPr>
              <w:t>2</w:t>
            </w:r>
            <w:r>
              <w:rPr>
                <w:rFonts w:hint="eastAsia"/>
                <w:b w:val="0"/>
                <w:bCs w:val="0"/>
                <w:color w:val="auto"/>
                <w:highlight w:val="none"/>
                <w:lang w:eastAsia="zh-CN"/>
              </w:rPr>
              <w:t>）</w:t>
            </w:r>
            <w:r>
              <w:rPr>
                <w:rFonts w:hint="eastAsia"/>
                <w:b w:val="0"/>
                <w:bCs w:val="0"/>
                <w:color w:val="auto"/>
                <w:highlight w:val="none"/>
                <w:lang w:val="en-US" w:eastAsia="zh-CN"/>
              </w:rPr>
              <w:t>运营期废气</w:t>
            </w:r>
          </w:p>
          <w:p w14:paraId="60B68464">
            <w:pPr>
              <w:pStyle w:val="7"/>
              <w:ind w:firstLine="480"/>
              <w:rPr>
                <w:rStyle w:val="32"/>
                <w:rFonts w:hint="default" w:eastAsia="宋体"/>
                <w:color w:val="auto"/>
                <w:highlight w:val="none"/>
                <w:lang w:val="en-US" w:eastAsia="zh-CN"/>
              </w:rPr>
            </w:pPr>
            <w:r>
              <w:rPr>
                <w:rStyle w:val="32"/>
                <w:rFonts w:hint="eastAsia"/>
                <w:color w:val="auto"/>
                <w:highlight w:val="none"/>
                <w:lang w:val="en-US" w:eastAsia="zh-CN"/>
              </w:rPr>
              <w:t>运营期非甲烷总烃有组织排放执行《大气污染物综合排放标准》（GB16297-1996）表2二级标准；无组织排放执行《大气污染物综合排放标准》（GB16297-1996）表2周界外浓度最高点浓度限值、</w:t>
            </w:r>
            <w:r>
              <w:rPr>
                <w:rFonts w:hint="eastAsia"/>
                <w:color w:val="auto"/>
                <w:highlight w:val="none"/>
                <w:lang w:val="en-US" w:eastAsia="zh-CN"/>
              </w:rPr>
              <w:t>厂区内挥发性有机物执行《挥发性有机物无组织排放控制标准》（GB37822-2019）附录A厂区内VOCs特别排放限值</w:t>
            </w:r>
            <w:r>
              <w:rPr>
                <w:rStyle w:val="32"/>
                <w:rFonts w:hint="eastAsia"/>
                <w:color w:val="auto"/>
                <w:highlight w:val="none"/>
                <w:lang w:val="en-US" w:eastAsia="zh-CN"/>
              </w:rPr>
              <w:t>；颗粒物无组织执行《大气污染物综合排放标准》（GB16297-1996）表2周界外浓度最高点浓度限值。</w:t>
            </w:r>
          </w:p>
          <w:p w14:paraId="2D01B951">
            <w:pPr>
              <w:jc w:val="center"/>
              <w:rPr>
                <w:b/>
                <w:color w:val="auto"/>
                <w:sz w:val="24"/>
                <w:szCs w:val="32"/>
                <w:highlight w:val="none"/>
              </w:rPr>
            </w:pPr>
            <w:r>
              <w:rPr>
                <w:b/>
                <w:color w:val="auto"/>
                <w:sz w:val="24"/>
                <w:szCs w:val="32"/>
                <w:highlight w:val="none"/>
              </w:rPr>
              <w:t>表3-</w:t>
            </w:r>
            <w:r>
              <w:rPr>
                <w:rFonts w:hint="eastAsia"/>
                <w:b/>
                <w:color w:val="auto"/>
                <w:sz w:val="24"/>
                <w:szCs w:val="32"/>
                <w:highlight w:val="none"/>
                <w:lang w:val="en-US" w:eastAsia="zh-CN"/>
              </w:rPr>
              <w:t>4</w:t>
            </w:r>
            <w:r>
              <w:rPr>
                <w:b/>
                <w:color w:val="auto"/>
                <w:sz w:val="24"/>
                <w:szCs w:val="32"/>
                <w:highlight w:val="none"/>
              </w:rPr>
              <w:t xml:space="preserve"> 废气排放标准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17"/>
              <w:gridCol w:w="1453"/>
              <w:gridCol w:w="1736"/>
              <w:gridCol w:w="1551"/>
              <w:gridCol w:w="1237"/>
            </w:tblGrid>
            <w:tr w14:paraId="4E8FDB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261" w:type="pct"/>
                  <w:vMerge w:val="restart"/>
                  <w:noWrap w:val="0"/>
                  <w:vAlign w:val="center"/>
                </w:tcPr>
                <w:p w14:paraId="565771B6">
                  <w:pPr>
                    <w:jc w:val="center"/>
                    <w:rPr>
                      <w:b/>
                      <w:color w:val="auto"/>
                      <w:szCs w:val="21"/>
                      <w:highlight w:val="none"/>
                    </w:rPr>
                  </w:pPr>
                  <w:r>
                    <w:rPr>
                      <w:b/>
                      <w:color w:val="auto"/>
                      <w:highlight w:val="none"/>
                    </w:rPr>
                    <w:t>执行标准</w:t>
                  </w:r>
                </w:p>
              </w:tc>
              <w:tc>
                <w:tcPr>
                  <w:tcW w:w="908" w:type="pct"/>
                  <w:vMerge w:val="restart"/>
                  <w:noWrap w:val="0"/>
                  <w:vAlign w:val="center"/>
                </w:tcPr>
                <w:p w14:paraId="22F21E5C">
                  <w:pPr>
                    <w:jc w:val="center"/>
                    <w:rPr>
                      <w:b/>
                      <w:color w:val="auto"/>
                      <w:highlight w:val="none"/>
                    </w:rPr>
                  </w:pPr>
                  <w:r>
                    <w:rPr>
                      <w:b/>
                      <w:color w:val="auto"/>
                      <w:highlight w:val="none"/>
                    </w:rPr>
                    <w:t>污染物</w:t>
                  </w:r>
                </w:p>
              </w:tc>
              <w:tc>
                <w:tcPr>
                  <w:tcW w:w="1085" w:type="pct"/>
                  <w:noWrap w:val="0"/>
                  <w:vAlign w:val="center"/>
                </w:tcPr>
                <w:p w14:paraId="444EA050">
                  <w:pPr>
                    <w:jc w:val="center"/>
                    <w:rPr>
                      <w:rFonts w:hint="eastAsia"/>
                      <w:b/>
                      <w:color w:val="auto"/>
                      <w:highlight w:val="none"/>
                    </w:rPr>
                  </w:pPr>
                  <w:r>
                    <w:rPr>
                      <w:rFonts w:hint="eastAsia"/>
                      <w:b/>
                      <w:color w:val="auto"/>
                      <w:highlight w:val="none"/>
                    </w:rPr>
                    <w:t>有组织</w:t>
                  </w:r>
                </w:p>
              </w:tc>
              <w:tc>
                <w:tcPr>
                  <w:tcW w:w="1743" w:type="pct"/>
                  <w:gridSpan w:val="2"/>
                  <w:noWrap w:val="0"/>
                  <w:vAlign w:val="center"/>
                </w:tcPr>
                <w:p w14:paraId="150DB668">
                  <w:pPr>
                    <w:jc w:val="center"/>
                    <w:rPr>
                      <w:rFonts w:hint="eastAsia"/>
                      <w:b/>
                      <w:color w:val="auto"/>
                      <w:highlight w:val="none"/>
                    </w:rPr>
                  </w:pPr>
                  <w:r>
                    <w:rPr>
                      <w:b/>
                      <w:color w:val="auto"/>
                      <w:highlight w:val="none"/>
                    </w:rPr>
                    <w:t>无组织</w:t>
                  </w:r>
                </w:p>
              </w:tc>
            </w:tr>
            <w:tr w14:paraId="7C6DB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1261" w:type="pct"/>
                  <w:vMerge w:val="continue"/>
                  <w:noWrap w:val="0"/>
                  <w:vAlign w:val="center"/>
                </w:tcPr>
                <w:p w14:paraId="598314AA">
                  <w:pPr>
                    <w:widowControl/>
                    <w:jc w:val="left"/>
                    <w:rPr>
                      <w:b/>
                      <w:color w:val="auto"/>
                      <w:szCs w:val="21"/>
                      <w:highlight w:val="none"/>
                    </w:rPr>
                  </w:pPr>
                </w:p>
              </w:tc>
              <w:tc>
                <w:tcPr>
                  <w:tcW w:w="908" w:type="pct"/>
                  <w:vMerge w:val="continue"/>
                  <w:noWrap w:val="0"/>
                  <w:vAlign w:val="center"/>
                </w:tcPr>
                <w:p w14:paraId="18BA6460">
                  <w:pPr>
                    <w:widowControl/>
                    <w:jc w:val="left"/>
                    <w:rPr>
                      <w:b/>
                      <w:color w:val="auto"/>
                      <w:szCs w:val="21"/>
                      <w:highlight w:val="none"/>
                    </w:rPr>
                  </w:pPr>
                </w:p>
              </w:tc>
              <w:tc>
                <w:tcPr>
                  <w:tcW w:w="1085" w:type="pct"/>
                  <w:noWrap w:val="0"/>
                  <w:vAlign w:val="center"/>
                </w:tcPr>
                <w:p w14:paraId="6A312783">
                  <w:pPr>
                    <w:widowControl/>
                    <w:jc w:val="center"/>
                    <w:rPr>
                      <w:b/>
                      <w:color w:val="auto"/>
                      <w:szCs w:val="21"/>
                      <w:highlight w:val="none"/>
                    </w:rPr>
                  </w:pPr>
                  <w:r>
                    <w:rPr>
                      <w:rFonts w:hint="eastAsia"/>
                      <w:b/>
                      <w:color w:val="auto"/>
                      <w:highlight w:val="none"/>
                      <w:lang w:val="en-US" w:eastAsia="zh-CN"/>
                    </w:rPr>
                    <w:t>最高允许排放速率</w:t>
                  </w:r>
                  <w:r>
                    <w:rPr>
                      <w:b/>
                      <w:color w:val="auto"/>
                      <w:highlight w:val="none"/>
                    </w:rPr>
                    <w:t>（</w:t>
                  </w:r>
                  <w:r>
                    <w:rPr>
                      <w:rFonts w:hint="eastAsia"/>
                      <w:b/>
                      <w:color w:val="auto"/>
                      <w:highlight w:val="none"/>
                      <w:lang w:val="en-US" w:eastAsia="zh-CN"/>
                    </w:rPr>
                    <w:t>kg/h</w:t>
                  </w:r>
                  <w:r>
                    <w:rPr>
                      <w:b/>
                      <w:color w:val="auto"/>
                      <w:highlight w:val="none"/>
                    </w:rPr>
                    <w:t>）</w:t>
                  </w:r>
                </w:p>
              </w:tc>
              <w:tc>
                <w:tcPr>
                  <w:tcW w:w="970" w:type="pct"/>
                  <w:noWrap w:val="0"/>
                  <w:vAlign w:val="center"/>
                </w:tcPr>
                <w:p w14:paraId="4090471D">
                  <w:pPr>
                    <w:jc w:val="center"/>
                    <w:rPr>
                      <w:b/>
                      <w:color w:val="auto"/>
                      <w:highlight w:val="none"/>
                    </w:rPr>
                  </w:pPr>
                  <w:r>
                    <w:rPr>
                      <w:rFonts w:hint="eastAsia"/>
                      <w:b/>
                      <w:color w:val="auto"/>
                      <w:highlight w:val="none"/>
                    </w:rPr>
                    <w:t>排放限值</w:t>
                  </w:r>
                  <w:r>
                    <w:rPr>
                      <w:b/>
                      <w:color w:val="auto"/>
                      <w:highlight w:val="none"/>
                    </w:rPr>
                    <w:t>（mg/m</w:t>
                  </w:r>
                  <w:r>
                    <w:rPr>
                      <w:b/>
                      <w:color w:val="auto"/>
                      <w:highlight w:val="none"/>
                      <w:vertAlign w:val="superscript"/>
                    </w:rPr>
                    <w:t>3</w:t>
                  </w:r>
                  <w:r>
                    <w:rPr>
                      <w:b/>
                      <w:color w:val="auto"/>
                      <w:highlight w:val="none"/>
                    </w:rPr>
                    <w:t>）</w:t>
                  </w:r>
                </w:p>
              </w:tc>
              <w:tc>
                <w:tcPr>
                  <w:tcW w:w="773" w:type="pct"/>
                  <w:noWrap w:val="0"/>
                  <w:vAlign w:val="center"/>
                </w:tcPr>
                <w:p w14:paraId="5A0CA335">
                  <w:pPr>
                    <w:jc w:val="center"/>
                    <w:rPr>
                      <w:b/>
                      <w:color w:val="auto"/>
                      <w:highlight w:val="none"/>
                    </w:rPr>
                  </w:pPr>
                  <w:r>
                    <w:rPr>
                      <w:b/>
                      <w:color w:val="auto"/>
                      <w:highlight w:val="none"/>
                    </w:rPr>
                    <w:t>监控点</w:t>
                  </w:r>
                </w:p>
              </w:tc>
            </w:tr>
            <w:tr w14:paraId="4850A2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1261" w:type="pct"/>
                  <w:vMerge w:val="restart"/>
                  <w:noWrap w:val="0"/>
                  <w:vAlign w:val="center"/>
                </w:tcPr>
                <w:p w14:paraId="14E05900">
                  <w:pPr>
                    <w:widowControl/>
                    <w:jc w:val="center"/>
                    <w:rPr>
                      <w:rFonts w:hint="eastAsia"/>
                      <w:bCs/>
                      <w:color w:val="auto"/>
                      <w:szCs w:val="21"/>
                      <w:highlight w:val="none"/>
                    </w:rPr>
                  </w:pPr>
                  <w:r>
                    <w:rPr>
                      <w:rFonts w:hint="eastAsia"/>
                      <w:bCs/>
                      <w:color w:val="auto"/>
                      <w:szCs w:val="21"/>
                      <w:highlight w:val="none"/>
                      <w:lang w:eastAsia="zh-CN"/>
                    </w:rPr>
                    <w:t>《</w:t>
                  </w:r>
                  <w:r>
                    <w:rPr>
                      <w:rFonts w:hint="eastAsia"/>
                      <w:bCs/>
                      <w:color w:val="auto"/>
                      <w:szCs w:val="21"/>
                      <w:highlight w:val="none"/>
                    </w:rPr>
                    <w:t>大气污染物综合排放标准》（GB16297-1996）</w:t>
                  </w:r>
                </w:p>
              </w:tc>
              <w:tc>
                <w:tcPr>
                  <w:tcW w:w="908" w:type="pct"/>
                  <w:noWrap w:val="0"/>
                  <w:vAlign w:val="center"/>
                </w:tcPr>
                <w:p w14:paraId="70B40D19">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非甲烷总烃</w:t>
                  </w:r>
                </w:p>
              </w:tc>
              <w:tc>
                <w:tcPr>
                  <w:tcW w:w="1085" w:type="pct"/>
                  <w:noWrap w:val="0"/>
                  <w:vAlign w:val="center"/>
                </w:tcPr>
                <w:p w14:paraId="0298B389">
                  <w:pPr>
                    <w:widowControl/>
                    <w:jc w:val="center"/>
                    <w:rPr>
                      <w:rFonts w:hint="eastAsia"/>
                      <w:bCs/>
                      <w:color w:val="auto"/>
                      <w:szCs w:val="21"/>
                      <w:highlight w:val="none"/>
                      <w:lang w:val="en-US" w:eastAsia="zh-CN"/>
                    </w:rPr>
                  </w:pPr>
                  <w:r>
                    <w:rPr>
                      <w:rFonts w:hint="eastAsia"/>
                      <w:bCs/>
                      <w:color w:val="auto"/>
                      <w:szCs w:val="21"/>
                      <w:highlight w:val="none"/>
                      <w:lang w:val="en-US" w:eastAsia="zh-CN"/>
                    </w:rPr>
                    <w:t>14.9</w:t>
                  </w:r>
                </w:p>
                <w:p w14:paraId="350DDE2B">
                  <w:pPr>
                    <w:widowControl/>
                    <w:jc w:val="center"/>
                    <w:rPr>
                      <w:rFonts w:hint="eastAsia"/>
                      <w:bCs/>
                      <w:color w:val="auto"/>
                      <w:szCs w:val="21"/>
                      <w:highlight w:val="none"/>
                    </w:rPr>
                  </w:pPr>
                  <w:r>
                    <w:rPr>
                      <w:rFonts w:hint="eastAsia"/>
                      <w:bCs/>
                      <w:color w:val="auto"/>
                      <w:szCs w:val="21"/>
                      <w:highlight w:val="none"/>
                      <w:lang w:eastAsia="zh-CN"/>
                    </w:rPr>
                    <w:t>（</w:t>
                  </w:r>
                  <w:r>
                    <w:rPr>
                      <w:rFonts w:hint="eastAsia"/>
                      <w:bCs/>
                      <w:color w:val="auto"/>
                      <w:szCs w:val="21"/>
                      <w:highlight w:val="none"/>
                      <w:lang w:val="en-US" w:eastAsia="zh-CN"/>
                    </w:rPr>
                    <w:t>排气筒18.5m</w:t>
                  </w:r>
                  <w:r>
                    <w:rPr>
                      <w:rFonts w:hint="eastAsia"/>
                      <w:bCs/>
                      <w:color w:val="auto"/>
                      <w:szCs w:val="21"/>
                      <w:highlight w:val="none"/>
                      <w:lang w:eastAsia="zh-CN"/>
                    </w:rPr>
                    <w:t>）</w:t>
                  </w:r>
                </w:p>
              </w:tc>
              <w:tc>
                <w:tcPr>
                  <w:tcW w:w="970" w:type="pct"/>
                  <w:noWrap w:val="0"/>
                  <w:vAlign w:val="center"/>
                </w:tcPr>
                <w:p w14:paraId="73CC1905">
                  <w:pPr>
                    <w:jc w:val="center"/>
                    <w:rPr>
                      <w:rFonts w:hint="default" w:eastAsia="宋体"/>
                      <w:bCs/>
                      <w:color w:val="auto"/>
                      <w:highlight w:val="none"/>
                      <w:lang w:val="en-US" w:eastAsia="zh-CN"/>
                    </w:rPr>
                  </w:pPr>
                  <w:r>
                    <w:rPr>
                      <w:rFonts w:hint="eastAsia"/>
                      <w:bCs/>
                      <w:color w:val="auto"/>
                      <w:highlight w:val="none"/>
                      <w:lang w:val="en-US" w:eastAsia="zh-CN"/>
                    </w:rPr>
                    <w:t>4.0</w:t>
                  </w:r>
                </w:p>
              </w:tc>
              <w:tc>
                <w:tcPr>
                  <w:tcW w:w="773" w:type="pct"/>
                  <w:noWrap w:val="0"/>
                  <w:vAlign w:val="center"/>
                </w:tcPr>
                <w:p w14:paraId="3C8EF36D">
                  <w:pPr>
                    <w:jc w:val="center"/>
                    <w:rPr>
                      <w:rFonts w:hint="eastAsia" w:eastAsia="宋体"/>
                      <w:bCs/>
                      <w:color w:val="auto"/>
                      <w:highlight w:val="none"/>
                      <w:lang w:val="en-US" w:eastAsia="zh-CN"/>
                    </w:rPr>
                  </w:pPr>
                  <w:r>
                    <w:rPr>
                      <w:rFonts w:hint="eastAsia"/>
                      <w:bCs/>
                      <w:color w:val="auto"/>
                      <w:highlight w:val="none"/>
                      <w:lang w:val="en-US" w:eastAsia="zh-CN"/>
                    </w:rPr>
                    <w:t>周界外浓度最高点</w:t>
                  </w:r>
                </w:p>
              </w:tc>
            </w:tr>
            <w:tr w14:paraId="71B19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1261" w:type="pct"/>
                  <w:vMerge w:val="continue"/>
                  <w:noWrap w:val="0"/>
                  <w:vAlign w:val="center"/>
                </w:tcPr>
                <w:p w14:paraId="11FF2245">
                  <w:pPr>
                    <w:widowControl/>
                    <w:jc w:val="center"/>
                    <w:rPr>
                      <w:rFonts w:hint="eastAsia"/>
                      <w:bCs/>
                      <w:color w:val="auto"/>
                      <w:szCs w:val="21"/>
                      <w:highlight w:val="none"/>
                    </w:rPr>
                  </w:pPr>
                </w:p>
              </w:tc>
              <w:tc>
                <w:tcPr>
                  <w:tcW w:w="908" w:type="pct"/>
                  <w:noWrap w:val="0"/>
                  <w:vAlign w:val="center"/>
                </w:tcPr>
                <w:p w14:paraId="23F704F6">
                  <w:pPr>
                    <w:widowControl/>
                    <w:jc w:val="center"/>
                    <w:rPr>
                      <w:rFonts w:hint="default"/>
                      <w:bCs/>
                      <w:color w:val="auto"/>
                      <w:szCs w:val="21"/>
                      <w:highlight w:val="none"/>
                      <w:lang w:val="en-US" w:eastAsia="zh-CN"/>
                    </w:rPr>
                  </w:pPr>
                  <w:r>
                    <w:rPr>
                      <w:rFonts w:hint="eastAsia"/>
                      <w:bCs/>
                      <w:color w:val="auto"/>
                      <w:szCs w:val="21"/>
                      <w:highlight w:val="none"/>
                      <w:lang w:val="en-US" w:eastAsia="zh-CN"/>
                    </w:rPr>
                    <w:t>颗粒物</w:t>
                  </w:r>
                </w:p>
              </w:tc>
              <w:tc>
                <w:tcPr>
                  <w:tcW w:w="1085" w:type="pct"/>
                  <w:noWrap w:val="0"/>
                  <w:vAlign w:val="center"/>
                </w:tcPr>
                <w:p w14:paraId="300BCF87">
                  <w:pPr>
                    <w:widowControl/>
                    <w:jc w:val="center"/>
                    <w:rPr>
                      <w:rFonts w:hint="eastAsia" w:eastAsia="宋体"/>
                      <w:bCs/>
                      <w:color w:val="auto"/>
                      <w:szCs w:val="21"/>
                      <w:highlight w:val="none"/>
                      <w:lang w:eastAsia="zh-CN"/>
                    </w:rPr>
                  </w:pPr>
                  <w:r>
                    <w:rPr>
                      <w:rFonts w:hint="eastAsia"/>
                      <w:bCs/>
                      <w:color w:val="auto"/>
                      <w:szCs w:val="21"/>
                      <w:highlight w:val="none"/>
                      <w:lang w:val="en-US" w:eastAsia="zh-CN"/>
                    </w:rPr>
                    <w:t>/</w:t>
                  </w:r>
                </w:p>
              </w:tc>
              <w:tc>
                <w:tcPr>
                  <w:tcW w:w="970" w:type="pct"/>
                  <w:noWrap w:val="0"/>
                  <w:vAlign w:val="center"/>
                </w:tcPr>
                <w:p w14:paraId="5C8F9DDA">
                  <w:pPr>
                    <w:jc w:val="center"/>
                    <w:rPr>
                      <w:rFonts w:hint="default" w:eastAsia="宋体"/>
                      <w:bCs/>
                      <w:color w:val="auto"/>
                      <w:highlight w:val="none"/>
                      <w:lang w:val="en-US" w:eastAsia="zh-CN"/>
                    </w:rPr>
                  </w:pPr>
                  <w:r>
                    <w:rPr>
                      <w:rFonts w:hint="eastAsia"/>
                      <w:bCs/>
                      <w:color w:val="auto"/>
                      <w:highlight w:val="none"/>
                      <w:lang w:val="en-US" w:eastAsia="zh-CN"/>
                    </w:rPr>
                    <w:t>1.0</w:t>
                  </w:r>
                </w:p>
              </w:tc>
              <w:tc>
                <w:tcPr>
                  <w:tcW w:w="773" w:type="pct"/>
                  <w:noWrap w:val="0"/>
                  <w:vAlign w:val="center"/>
                </w:tcPr>
                <w:p w14:paraId="55E02374">
                  <w:pPr>
                    <w:jc w:val="center"/>
                    <w:rPr>
                      <w:rFonts w:hint="default" w:eastAsia="宋体"/>
                      <w:bCs/>
                      <w:color w:val="auto"/>
                      <w:highlight w:val="none"/>
                      <w:lang w:val="en-US" w:eastAsia="zh-CN"/>
                    </w:rPr>
                  </w:pPr>
                  <w:r>
                    <w:rPr>
                      <w:rFonts w:hint="eastAsia"/>
                      <w:bCs/>
                      <w:color w:val="auto"/>
                      <w:highlight w:val="none"/>
                      <w:lang w:val="en-US" w:eastAsia="zh-CN"/>
                    </w:rPr>
                    <w:t>周界外浓度最高点</w:t>
                  </w:r>
                </w:p>
              </w:tc>
            </w:tr>
            <w:tr w14:paraId="6AAAF0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1261" w:type="pct"/>
                  <w:vMerge w:val="restart"/>
                  <w:noWrap w:val="0"/>
                  <w:vAlign w:val="center"/>
                </w:tcPr>
                <w:p w14:paraId="1301FFD7">
                  <w:pPr>
                    <w:widowControl/>
                    <w:jc w:val="center"/>
                    <w:rPr>
                      <w:bCs/>
                      <w:color w:val="auto"/>
                      <w:szCs w:val="21"/>
                      <w:highlight w:val="none"/>
                    </w:rPr>
                  </w:pPr>
                  <w:r>
                    <w:rPr>
                      <w:rFonts w:hint="eastAsia"/>
                      <w:bCs/>
                      <w:color w:val="auto"/>
                      <w:szCs w:val="21"/>
                      <w:highlight w:val="none"/>
                    </w:rPr>
                    <w:t>《挥发性有机物无组织</w:t>
                  </w:r>
                  <w:r>
                    <w:rPr>
                      <w:rFonts w:hint="eastAsia"/>
                      <w:bCs/>
                      <w:color w:val="auto"/>
                      <w:szCs w:val="21"/>
                      <w:highlight w:val="none"/>
                      <w:lang w:val="en-US" w:eastAsia="zh-CN"/>
                    </w:rPr>
                    <w:t>排放</w:t>
                  </w:r>
                  <w:r>
                    <w:rPr>
                      <w:rFonts w:hint="eastAsia"/>
                      <w:bCs/>
                      <w:color w:val="auto"/>
                      <w:szCs w:val="21"/>
                      <w:highlight w:val="none"/>
                    </w:rPr>
                    <w:t>控制标准》（GB37822-2019）附录A</w:t>
                  </w:r>
                </w:p>
              </w:tc>
              <w:tc>
                <w:tcPr>
                  <w:tcW w:w="908" w:type="pct"/>
                  <w:vMerge w:val="restart"/>
                  <w:noWrap w:val="0"/>
                  <w:vAlign w:val="center"/>
                </w:tcPr>
                <w:p w14:paraId="73BF8770">
                  <w:pPr>
                    <w:widowControl/>
                    <w:jc w:val="center"/>
                    <w:rPr>
                      <w:bCs/>
                      <w:color w:val="auto"/>
                      <w:szCs w:val="21"/>
                      <w:highlight w:val="none"/>
                    </w:rPr>
                  </w:pPr>
                  <w:r>
                    <w:rPr>
                      <w:rFonts w:hint="eastAsia"/>
                      <w:bCs/>
                      <w:color w:val="auto"/>
                      <w:szCs w:val="21"/>
                      <w:highlight w:val="none"/>
                    </w:rPr>
                    <w:t>非甲烷总烃</w:t>
                  </w:r>
                </w:p>
              </w:tc>
              <w:tc>
                <w:tcPr>
                  <w:tcW w:w="1085" w:type="pct"/>
                  <w:vMerge w:val="restart"/>
                  <w:noWrap w:val="0"/>
                  <w:vAlign w:val="center"/>
                </w:tcPr>
                <w:p w14:paraId="0197B6A1">
                  <w:pPr>
                    <w:widowControl/>
                    <w:jc w:val="center"/>
                    <w:rPr>
                      <w:rFonts w:hint="eastAsia"/>
                      <w:bCs/>
                      <w:color w:val="auto"/>
                      <w:szCs w:val="21"/>
                      <w:highlight w:val="none"/>
                    </w:rPr>
                  </w:pPr>
                  <w:r>
                    <w:rPr>
                      <w:rFonts w:hint="eastAsia"/>
                      <w:bCs/>
                      <w:color w:val="auto"/>
                      <w:szCs w:val="21"/>
                      <w:highlight w:val="none"/>
                    </w:rPr>
                    <w:t>/</w:t>
                  </w:r>
                </w:p>
              </w:tc>
              <w:tc>
                <w:tcPr>
                  <w:tcW w:w="970" w:type="pct"/>
                  <w:noWrap w:val="0"/>
                  <w:vAlign w:val="center"/>
                </w:tcPr>
                <w:p w14:paraId="0B2789DD">
                  <w:pPr>
                    <w:jc w:val="center"/>
                    <w:rPr>
                      <w:rFonts w:hint="eastAsia"/>
                      <w:bCs/>
                      <w:color w:val="auto"/>
                      <w:highlight w:val="none"/>
                    </w:rPr>
                  </w:pPr>
                  <w:r>
                    <w:rPr>
                      <w:rFonts w:hint="eastAsia"/>
                      <w:bCs/>
                      <w:color w:val="auto"/>
                      <w:highlight w:val="none"/>
                    </w:rPr>
                    <w:t>6</w:t>
                  </w:r>
                </w:p>
                <w:p w14:paraId="27786B7E">
                  <w:pPr>
                    <w:jc w:val="center"/>
                    <w:rPr>
                      <w:rFonts w:hint="eastAsia" w:eastAsia="宋体"/>
                      <w:bCs/>
                      <w:color w:val="auto"/>
                      <w:highlight w:val="none"/>
                      <w:lang w:eastAsia="zh-CN"/>
                    </w:rPr>
                  </w:pPr>
                  <w:r>
                    <w:rPr>
                      <w:rFonts w:hint="eastAsia"/>
                      <w:bCs/>
                      <w:color w:val="auto"/>
                      <w:highlight w:val="none"/>
                      <w:lang w:eastAsia="zh-CN"/>
                    </w:rPr>
                    <w:t>（</w:t>
                  </w:r>
                  <w:r>
                    <w:rPr>
                      <w:rFonts w:hint="eastAsia"/>
                      <w:bCs/>
                      <w:color w:val="auto"/>
                      <w:highlight w:val="none"/>
                      <w:lang w:val="en-US" w:eastAsia="zh-CN"/>
                    </w:rPr>
                    <w:t>监控点处1h平均浓度值</w:t>
                  </w:r>
                  <w:r>
                    <w:rPr>
                      <w:rFonts w:hint="eastAsia"/>
                      <w:bCs/>
                      <w:color w:val="auto"/>
                      <w:highlight w:val="none"/>
                      <w:lang w:eastAsia="zh-CN"/>
                    </w:rPr>
                    <w:t>）</w:t>
                  </w:r>
                </w:p>
              </w:tc>
              <w:tc>
                <w:tcPr>
                  <w:tcW w:w="773" w:type="pct"/>
                  <w:noWrap w:val="0"/>
                  <w:vAlign w:val="center"/>
                </w:tcPr>
                <w:p w14:paraId="794B0871">
                  <w:pPr>
                    <w:jc w:val="center"/>
                    <w:rPr>
                      <w:rFonts w:hint="default" w:eastAsia="宋体"/>
                      <w:bCs/>
                      <w:color w:val="auto"/>
                      <w:highlight w:val="none"/>
                      <w:lang w:val="en-US" w:eastAsia="zh-CN"/>
                    </w:rPr>
                  </w:pPr>
                  <w:r>
                    <w:rPr>
                      <w:rFonts w:hint="eastAsia"/>
                      <w:bCs/>
                      <w:color w:val="auto"/>
                      <w:highlight w:val="none"/>
                      <w:lang w:val="en-US" w:eastAsia="zh-CN"/>
                    </w:rPr>
                    <w:t>厂房外</w:t>
                  </w:r>
                </w:p>
              </w:tc>
            </w:tr>
            <w:tr w14:paraId="127348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261" w:type="pct"/>
                  <w:vMerge w:val="continue"/>
                  <w:noWrap w:val="0"/>
                  <w:vAlign w:val="center"/>
                </w:tcPr>
                <w:p w14:paraId="20F695EF">
                  <w:pPr>
                    <w:jc w:val="center"/>
                    <w:rPr>
                      <w:color w:val="auto"/>
                      <w:highlight w:val="none"/>
                    </w:rPr>
                  </w:pPr>
                </w:p>
              </w:tc>
              <w:tc>
                <w:tcPr>
                  <w:tcW w:w="908" w:type="pct"/>
                  <w:vMerge w:val="continue"/>
                  <w:noWrap w:val="0"/>
                  <w:vAlign w:val="center"/>
                </w:tcPr>
                <w:p w14:paraId="42B272AD">
                  <w:pPr>
                    <w:jc w:val="center"/>
                    <w:rPr>
                      <w:color w:val="auto"/>
                      <w:highlight w:val="none"/>
                    </w:rPr>
                  </w:pPr>
                </w:p>
              </w:tc>
              <w:tc>
                <w:tcPr>
                  <w:tcW w:w="1085" w:type="pct"/>
                  <w:vMerge w:val="continue"/>
                  <w:noWrap w:val="0"/>
                  <w:vAlign w:val="center"/>
                </w:tcPr>
                <w:p w14:paraId="1F72DF90">
                  <w:pPr>
                    <w:jc w:val="center"/>
                    <w:rPr>
                      <w:color w:val="auto"/>
                      <w:highlight w:val="none"/>
                    </w:rPr>
                  </w:pPr>
                </w:p>
              </w:tc>
              <w:tc>
                <w:tcPr>
                  <w:tcW w:w="970" w:type="pct"/>
                  <w:noWrap w:val="0"/>
                  <w:vAlign w:val="center"/>
                </w:tcPr>
                <w:p w14:paraId="0EC0917E">
                  <w:pPr>
                    <w:jc w:val="center"/>
                    <w:rPr>
                      <w:rFonts w:hint="eastAsia"/>
                      <w:bCs/>
                      <w:color w:val="auto"/>
                      <w:highlight w:val="none"/>
                    </w:rPr>
                  </w:pPr>
                  <w:r>
                    <w:rPr>
                      <w:rFonts w:hint="eastAsia"/>
                      <w:bCs/>
                      <w:color w:val="auto"/>
                      <w:highlight w:val="none"/>
                    </w:rPr>
                    <w:t>20</w:t>
                  </w:r>
                </w:p>
                <w:p w14:paraId="0DAD839D">
                  <w:pPr>
                    <w:jc w:val="center"/>
                    <w:rPr>
                      <w:rFonts w:hint="eastAsia" w:eastAsia="宋体"/>
                      <w:bCs/>
                      <w:color w:val="auto"/>
                      <w:highlight w:val="none"/>
                      <w:lang w:eastAsia="zh-CN"/>
                    </w:rPr>
                  </w:pPr>
                  <w:r>
                    <w:rPr>
                      <w:rFonts w:hint="eastAsia"/>
                      <w:bCs/>
                      <w:color w:val="auto"/>
                      <w:highlight w:val="none"/>
                      <w:lang w:eastAsia="zh-CN"/>
                    </w:rPr>
                    <w:t>（</w:t>
                  </w:r>
                  <w:r>
                    <w:rPr>
                      <w:rFonts w:hint="eastAsia"/>
                      <w:bCs/>
                      <w:color w:val="auto"/>
                      <w:highlight w:val="none"/>
                      <w:lang w:val="en-US" w:eastAsia="zh-CN"/>
                    </w:rPr>
                    <w:t>监控点处任意一次浓度值</w:t>
                  </w:r>
                  <w:r>
                    <w:rPr>
                      <w:rFonts w:hint="eastAsia"/>
                      <w:bCs/>
                      <w:color w:val="auto"/>
                      <w:highlight w:val="none"/>
                      <w:lang w:eastAsia="zh-CN"/>
                    </w:rPr>
                    <w:t>）</w:t>
                  </w:r>
                </w:p>
              </w:tc>
              <w:tc>
                <w:tcPr>
                  <w:tcW w:w="773" w:type="pct"/>
                  <w:noWrap w:val="0"/>
                  <w:vAlign w:val="center"/>
                </w:tcPr>
                <w:p w14:paraId="42F49360">
                  <w:pPr>
                    <w:jc w:val="center"/>
                    <w:rPr>
                      <w:bCs/>
                      <w:color w:val="auto"/>
                      <w:highlight w:val="none"/>
                    </w:rPr>
                  </w:pPr>
                  <w:r>
                    <w:rPr>
                      <w:rFonts w:hint="eastAsia"/>
                      <w:bCs/>
                      <w:color w:val="auto"/>
                      <w:highlight w:val="none"/>
                      <w:lang w:val="en-US" w:eastAsia="zh-CN"/>
                    </w:rPr>
                    <w:t>厂房外</w:t>
                  </w:r>
                </w:p>
              </w:tc>
            </w:tr>
            <w:tr w14:paraId="125BD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000" w:type="pct"/>
                  <w:gridSpan w:val="5"/>
                  <w:noWrap w:val="0"/>
                  <w:vAlign w:val="center"/>
                </w:tcPr>
                <w:p w14:paraId="7C564E65">
                  <w:pPr>
                    <w:jc w:val="both"/>
                    <w:rPr>
                      <w:rFonts w:hint="default"/>
                      <w:bCs/>
                      <w:color w:val="auto"/>
                      <w:highlight w:val="none"/>
                      <w:lang w:val="en-US" w:eastAsia="zh-CN"/>
                    </w:rPr>
                  </w:pPr>
                  <w:r>
                    <w:rPr>
                      <w:rFonts w:hint="eastAsia"/>
                      <w:b/>
                      <w:bCs w:val="0"/>
                      <w:color w:val="auto"/>
                      <w:highlight w:val="none"/>
                      <w:lang w:val="en-US" w:eastAsia="zh-CN"/>
                    </w:rPr>
                    <w:t>备注：本项目有机废气排气筒高18.5m，根据根据《大气污染物综合排放标准》（GB16297-1996）：“若某排气筒的高度处于本标准列出的两个值之间,其执行的最高允许排放速率以内插法计算,内插法的计算式见本标准附录B”，故采用内插法计算得本项目排气筒DA001非甲烷总烃最高允许排放速率为14.9kg/h。</w:t>
                  </w:r>
                </w:p>
              </w:tc>
            </w:tr>
          </w:tbl>
          <w:p w14:paraId="28EB3F55">
            <w:pPr>
              <w:pStyle w:val="7"/>
              <w:spacing w:before="120" w:beforeLines="50"/>
              <w:ind w:firstLine="482"/>
              <w:rPr>
                <w:b/>
                <w:bCs/>
                <w:color w:val="auto"/>
                <w:highlight w:val="none"/>
              </w:rPr>
            </w:pPr>
            <w:r>
              <w:rPr>
                <w:b/>
                <w:bCs/>
                <w:color w:val="auto"/>
                <w:highlight w:val="none"/>
              </w:rPr>
              <w:t>2、废水</w:t>
            </w:r>
          </w:p>
          <w:p w14:paraId="033EC9BA">
            <w:pPr>
              <w:pStyle w:val="7"/>
              <w:ind w:firstLine="480"/>
              <w:rPr>
                <w:color w:val="auto"/>
                <w:highlight w:val="none"/>
              </w:rPr>
            </w:pPr>
            <w:r>
              <w:rPr>
                <w:color w:val="auto"/>
                <w:highlight w:val="none"/>
              </w:rPr>
              <w:t>本项目</w:t>
            </w:r>
            <w:r>
              <w:rPr>
                <w:rFonts w:hint="eastAsia"/>
                <w:color w:val="auto"/>
                <w:highlight w:val="none"/>
                <w:lang w:val="en-US" w:eastAsia="zh-CN"/>
              </w:rPr>
              <w:t>无生产废水；员工生活污水排放</w:t>
            </w:r>
            <w:r>
              <w:rPr>
                <w:color w:val="auto"/>
                <w:highlight w:val="none"/>
              </w:rPr>
              <w:t>执行</w:t>
            </w:r>
            <w:r>
              <w:rPr>
                <w:rFonts w:hint="eastAsia"/>
                <w:color w:val="auto"/>
                <w:highlight w:val="none"/>
              </w:rPr>
              <w:t>《污水综合排放标准》</w:t>
            </w:r>
            <w:r>
              <w:rPr>
                <w:rFonts w:hint="eastAsia"/>
                <w:color w:val="auto"/>
                <w:highlight w:val="none"/>
                <w:lang w:eastAsia="zh-CN"/>
              </w:rPr>
              <w:t>（</w:t>
            </w:r>
            <w:r>
              <w:rPr>
                <w:rFonts w:hint="eastAsia"/>
                <w:color w:val="auto"/>
                <w:highlight w:val="none"/>
              </w:rPr>
              <w:t>GB8978-1996</w:t>
            </w:r>
            <w:r>
              <w:rPr>
                <w:rFonts w:hint="eastAsia"/>
                <w:color w:val="auto"/>
                <w:highlight w:val="none"/>
                <w:lang w:eastAsia="zh-CN"/>
              </w:rPr>
              <w:t>）</w:t>
            </w:r>
            <w:r>
              <w:rPr>
                <w:rFonts w:hint="eastAsia"/>
                <w:color w:val="auto"/>
                <w:highlight w:val="none"/>
              </w:rPr>
              <w:t>中的三级标准及《污水排入城镇下水道水质标准》</w:t>
            </w:r>
            <w:r>
              <w:rPr>
                <w:rFonts w:hint="eastAsia"/>
                <w:color w:val="auto"/>
                <w:highlight w:val="none"/>
                <w:lang w:eastAsia="zh-CN"/>
              </w:rPr>
              <w:t>（</w:t>
            </w:r>
            <w:r>
              <w:rPr>
                <w:rFonts w:hint="eastAsia"/>
                <w:color w:val="auto"/>
                <w:highlight w:val="none"/>
              </w:rPr>
              <w:t>GB/T31962-2015</w:t>
            </w:r>
            <w:r>
              <w:rPr>
                <w:rFonts w:hint="eastAsia"/>
                <w:color w:val="auto"/>
                <w:highlight w:val="none"/>
                <w:lang w:eastAsia="zh-CN"/>
              </w:rPr>
              <w:t>）</w:t>
            </w:r>
            <w:r>
              <w:rPr>
                <w:rFonts w:hint="eastAsia"/>
                <w:color w:val="auto"/>
                <w:highlight w:val="none"/>
              </w:rPr>
              <w:t>中</w:t>
            </w:r>
            <w:r>
              <w:rPr>
                <w:rFonts w:hint="eastAsia"/>
                <w:color w:val="auto"/>
                <w:highlight w:val="none"/>
                <w:lang w:val="en-US" w:eastAsia="zh-CN"/>
              </w:rPr>
              <w:t>A</w:t>
            </w:r>
            <w:r>
              <w:rPr>
                <w:rFonts w:hint="eastAsia"/>
                <w:color w:val="auto"/>
                <w:highlight w:val="none"/>
              </w:rPr>
              <w:t>级标准</w:t>
            </w:r>
            <w:r>
              <w:rPr>
                <w:color w:val="auto"/>
                <w:highlight w:val="none"/>
              </w:rPr>
              <w:t>。</w:t>
            </w:r>
          </w:p>
          <w:p w14:paraId="2ADE65FB">
            <w:pPr>
              <w:jc w:val="center"/>
              <w:rPr>
                <w:b/>
                <w:color w:val="auto"/>
                <w:sz w:val="24"/>
                <w:szCs w:val="32"/>
                <w:highlight w:val="none"/>
              </w:rPr>
            </w:pPr>
            <w:r>
              <w:rPr>
                <w:b/>
                <w:color w:val="auto"/>
                <w:sz w:val="24"/>
                <w:szCs w:val="32"/>
                <w:highlight w:val="none"/>
              </w:rPr>
              <w:t>表3-</w:t>
            </w:r>
            <w:r>
              <w:rPr>
                <w:rFonts w:hint="eastAsia"/>
                <w:b/>
                <w:color w:val="auto"/>
                <w:sz w:val="24"/>
                <w:szCs w:val="32"/>
                <w:highlight w:val="none"/>
                <w:lang w:val="en-US" w:eastAsia="zh-CN"/>
              </w:rPr>
              <w:t>5</w:t>
            </w:r>
            <w:r>
              <w:rPr>
                <w:b/>
                <w:color w:val="auto"/>
                <w:sz w:val="24"/>
                <w:szCs w:val="32"/>
                <w:highlight w:val="none"/>
              </w:rPr>
              <w:t xml:space="preserve"> 污水排放标准限值</w:t>
            </w:r>
          </w:p>
          <w:tbl>
            <w:tblPr>
              <w:tblStyle w:val="24"/>
              <w:tblW w:w="48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9"/>
              <w:gridCol w:w="3055"/>
              <w:gridCol w:w="1564"/>
              <w:gridCol w:w="913"/>
              <w:gridCol w:w="1182"/>
            </w:tblGrid>
            <w:tr w14:paraId="6B4561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708" w:type="pct"/>
                  <w:noWrap w:val="0"/>
                  <w:vAlign w:val="center"/>
                </w:tcPr>
                <w:p w14:paraId="19337A19">
                  <w:pPr>
                    <w:jc w:val="center"/>
                    <w:rPr>
                      <w:b/>
                      <w:bCs/>
                      <w:color w:val="auto"/>
                      <w:highlight w:val="none"/>
                    </w:rPr>
                  </w:pPr>
                  <w:r>
                    <w:rPr>
                      <w:b/>
                      <w:bCs/>
                      <w:color w:val="auto"/>
                      <w:highlight w:val="none"/>
                    </w:rPr>
                    <w:t>排放口</w:t>
                  </w:r>
                </w:p>
                <w:p w14:paraId="6A0EAB93">
                  <w:pPr>
                    <w:jc w:val="center"/>
                    <w:rPr>
                      <w:b/>
                      <w:bCs/>
                      <w:color w:val="auto"/>
                      <w:highlight w:val="none"/>
                    </w:rPr>
                  </w:pPr>
                  <w:r>
                    <w:rPr>
                      <w:b/>
                      <w:bCs/>
                      <w:color w:val="auto"/>
                      <w:highlight w:val="none"/>
                    </w:rPr>
                    <w:t>名称</w:t>
                  </w:r>
                </w:p>
              </w:tc>
              <w:tc>
                <w:tcPr>
                  <w:tcW w:w="1952" w:type="pct"/>
                  <w:noWrap w:val="0"/>
                  <w:vAlign w:val="center"/>
                </w:tcPr>
                <w:p w14:paraId="4F1CB8B0">
                  <w:pPr>
                    <w:jc w:val="center"/>
                    <w:rPr>
                      <w:b/>
                      <w:bCs/>
                      <w:color w:val="auto"/>
                      <w:highlight w:val="none"/>
                    </w:rPr>
                  </w:pPr>
                  <w:r>
                    <w:rPr>
                      <w:b/>
                      <w:bCs/>
                      <w:color w:val="auto"/>
                      <w:highlight w:val="none"/>
                    </w:rPr>
                    <w:t>执行标准</w:t>
                  </w:r>
                </w:p>
              </w:tc>
              <w:tc>
                <w:tcPr>
                  <w:tcW w:w="999" w:type="pct"/>
                  <w:noWrap w:val="0"/>
                  <w:vAlign w:val="center"/>
                </w:tcPr>
                <w:p w14:paraId="70D7E7FF">
                  <w:pPr>
                    <w:jc w:val="center"/>
                    <w:rPr>
                      <w:b/>
                      <w:bCs/>
                      <w:color w:val="auto"/>
                      <w:highlight w:val="none"/>
                    </w:rPr>
                  </w:pPr>
                  <w:r>
                    <w:rPr>
                      <w:b/>
                      <w:bCs/>
                      <w:color w:val="auto"/>
                      <w:highlight w:val="none"/>
                    </w:rPr>
                    <w:t>污染物指标</w:t>
                  </w:r>
                </w:p>
              </w:tc>
              <w:tc>
                <w:tcPr>
                  <w:tcW w:w="583" w:type="pct"/>
                  <w:noWrap w:val="0"/>
                  <w:vAlign w:val="center"/>
                </w:tcPr>
                <w:p w14:paraId="183F411D">
                  <w:pPr>
                    <w:jc w:val="center"/>
                    <w:rPr>
                      <w:b/>
                      <w:bCs/>
                      <w:color w:val="auto"/>
                      <w:highlight w:val="none"/>
                    </w:rPr>
                  </w:pPr>
                  <w:r>
                    <w:rPr>
                      <w:b/>
                      <w:bCs/>
                      <w:color w:val="auto"/>
                      <w:highlight w:val="none"/>
                    </w:rPr>
                    <w:t>单位</w:t>
                  </w:r>
                </w:p>
              </w:tc>
              <w:tc>
                <w:tcPr>
                  <w:tcW w:w="755" w:type="pct"/>
                  <w:noWrap w:val="0"/>
                  <w:vAlign w:val="center"/>
                </w:tcPr>
                <w:p w14:paraId="25B7E53E">
                  <w:pPr>
                    <w:jc w:val="center"/>
                    <w:rPr>
                      <w:b/>
                      <w:bCs/>
                      <w:color w:val="auto"/>
                      <w:highlight w:val="none"/>
                    </w:rPr>
                  </w:pPr>
                  <w:r>
                    <w:rPr>
                      <w:b/>
                      <w:bCs/>
                      <w:color w:val="auto"/>
                      <w:highlight w:val="none"/>
                    </w:rPr>
                    <w:t>标准限值</w:t>
                  </w:r>
                </w:p>
              </w:tc>
            </w:tr>
            <w:tr w14:paraId="5F5384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restart"/>
                  <w:noWrap w:val="0"/>
                  <w:vAlign w:val="center"/>
                </w:tcPr>
                <w:p w14:paraId="3A4CA57E">
                  <w:pPr>
                    <w:jc w:val="center"/>
                    <w:rPr>
                      <w:color w:val="auto"/>
                      <w:highlight w:val="none"/>
                    </w:rPr>
                  </w:pPr>
                  <w:r>
                    <w:rPr>
                      <w:color w:val="auto"/>
                      <w:highlight w:val="none"/>
                    </w:rPr>
                    <w:t>废水排放口</w:t>
                  </w:r>
                </w:p>
              </w:tc>
              <w:tc>
                <w:tcPr>
                  <w:tcW w:w="1952" w:type="pct"/>
                  <w:vMerge w:val="restart"/>
                  <w:noWrap w:val="0"/>
                  <w:vAlign w:val="center"/>
                </w:tcPr>
                <w:p w14:paraId="67509D03">
                  <w:pPr>
                    <w:jc w:val="center"/>
                    <w:rPr>
                      <w:color w:val="auto"/>
                      <w:highlight w:val="none"/>
                    </w:rPr>
                  </w:pPr>
                  <w:r>
                    <w:rPr>
                      <w:color w:val="auto"/>
                      <w:highlight w:val="none"/>
                    </w:rPr>
                    <w:t>《污水综合排放标准》（GB8978-1996）</w:t>
                  </w:r>
                </w:p>
              </w:tc>
              <w:tc>
                <w:tcPr>
                  <w:tcW w:w="999" w:type="pct"/>
                  <w:noWrap w:val="0"/>
                  <w:vAlign w:val="center"/>
                </w:tcPr>
                <w:p w14:paraId="017BC0EF">
                  <w:pPr>
                    <w:jc w:val="center"/>
                    <w:rPr>
                      <w:color w:val="auto"/>
                      <w:highlight w:val="none"/>
                    </w:rPr>
                  </w:pPr>
                  <w:r>
                    <w:rPr>
                      <w:color w:val="auto"/>
                      <w:highlight w:val="none"/>
                    </w:rPr>
                    <w:t>pH</w:t>
                  </w:r>
                </w:p>
              </w:tc>
              <w:tc>
                <w:tcPr>
                  <w:tcW w:w="583" w:type="pct"/>
                  <w:noWrap w:val="0"/>
                  <w:vAlign w:val="center"/>
                </w:tcPr>
                <w:p w14:paraId="74A2BEAE">
                  <w:pPr>
                    <w:jc w:val="center"/>
                    <w:rPr>
                      <w:color w:val="auto"/>
                      <w:highlight w:val="none"/>
                    </w:rPr>
                  </w:pPr>
                  <w:r>
                    <w:rPr>
                      <w:color w:val="auto"/>
                      <w:highlight w:val="none"/>
                    </w:rPr>
                    <w:t>无量纲</w:t>
                  </w:r>
                </w:p>
              </w:tc>
              <w:tc>
                <w:tcPr>
                  <w:tcW w:w="755" w:type="pct"/>
                  <w:noWrap w:val="0"/>
                  <w:vAlign w:val="center"/>
                </w:tcPr>
                <w:p w14:paraId="756F867A">
                  <w:pPr>
                    <w:jc w:val="center"/>
                    <w:rPr>
                      <w:color w:val="auto"/>
                      <w:highlight w:val="none"/>
                    </w:rPr>
                  </w:pPr>
                  <w:r>
                    <w:rPr>
                      <w:color w:val="auto"/>
                      <w:highlight w:val="none"/>
                    </w:rPr>
                    <w:t>6-9</w:t>
                  </w:r>
                </w:p>
              </w:tc>
            </w:tr>
            <w:tr w14:paraId="493545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continue"/>
                  <w:noWrap w:val="0"/>
                  <w:vAlign w:val="center"/>
                </w:tcPr>
                <w:p w14:paraId="7B670A65">
                  <w:pPr>
                    <w:jc w:val="center"/>
                    <w:rPr>
                      <w:color w:val="auto"/>
                      <w:highlight w:val="none"/>
                    </w:rPr>
                  </w:pPr>
                </w:p>
              </w:tc>
              <w:tc>
                <w:tcPr>
                  <w:tcW w:w="1952" w:type="pct"/>
                  <w:vMerge w:val="continue"/>
                  <w:noWrap w:val="0"/>
                  <w:vAlign w:val="center"/>
                </w:tcPr>
                <w:p w14:paraId="088D99DD">
                  <w:pPr>
                    <w:jc w:val="center"/>
                    <w:rPr>
                      <w:color w:val="auto"/>
                      <w:highlight w:val="none"/>
                    </w:rPr>
                  </w:pPr>
                </w:p>
              </w:tc>
              <w:tc>
                <w:tcPr>
                  <w:tcW w:w="999" w:type="pct"/>
                  <w:noWrap w:val="0"/>
                  <w:vAlign w:val="center"/>
                </w:tcPr>
                <w:p w14:paraId="6AA7F229">
                  <w:pPr>
                    <w:jc w:val="center"/>
                    <w:rPr>
                      <w:color w:val="auto"/>
                      <w:highlight w:val="none"/>
                    </w:rPr>
                  </w:pPr>
                  <w:r>
                    <w:rPr>
                      <w:color w:val="auto"/>
                      <w:highlight w:val="none"/>
                    </w:rPr>
                    <w:t>COD</w:t>
                  </w:r>
                </w:p>
              </w:tc>
              <w:tc>
                <w:tcPr>
                  <w:tcW w:w="583" w:type="pct"/>
                  <w:vMerge w:val="restart"/>
                  <w:noWrap w:val="0"/>
                  <w:vAlign w:val="center"/>
                </w:tcPr>
                <w:p w14:paraId="4C2F8909">
                  <w:pPr>
                    <w:jc w:val="center"/>
                    <w:rPr>
                      <w:color w:val="auto"/>
                      <w:highlight w:val="none"/>
                    </w:rPr>
                  </w:pPr>
                  <w:r>
                    <w:rPr>
                      <w:color w:val="auto"/>
                      <w:highlight w:val="none"/>
                    </w:rPr>
                    <w:t>mg/L</w:t>
                  </w:r>
                </w:p>
              </w:tc>
              <w:tc>
                <w:tcPr>
                  <w:tcW w:w="755" w:type="pct"/>
                  <w:noWrap w:val="0"/>
                  <w:vAlign w:val="center"/>
                </w:tcPr>
                <w:p w14:paraId="6B8F2C15">
                  <w:pPr>
                    <w:jc w:val="center"/>
                    <w:rPr>
                      <w:color w:val="auto"/>
                      <w:highlight w:val="none"/>
                    </w:rPr>
                  </w:pPr>
                  <w:r>
                    <w:rPr>
                      <w:color w:val="auto"/>
                      <w:highlight w:val="none"/>
                    </w:rPr>
                    <w:t>500</w:t>
                  </w:r>
                </w:p>
              </w:tc>
            </w:tr>
            <w:tr w14:paraId="481D77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continue"/>
                  <w:noWrap w:val="0"/>
                  <w:vAlign w:val="center"/>
                </w:tcPr>
                <w:p w14:paraId="69D6516E">
                  <w:pPr>
                    <w:jc w:val="center"/>
                    <w:rPr>
                      <w:color w:val="auto"/>
                      <w:highlight w:val="none"/>
                    </w:rPr>
                  </w:pPr>
                </w:p>
              </w:tc>
              <w:tc>
                <w:tcPr>
                  <w:tcW w:w="1952" w:type="pct"/>
                  <w:vMerge w:val="continue"/>
                  <w:noWrap w:val="0"/>
                  <w:vAlign w:val="center"/>
                </w:tcPr>
                <w:p w14:paraId="24268389">
                  <w:pPr>
                    <w:jc w:val="center"/>
                    <w:rPr>
                      <w:color w:val="auto"/>
                      <w:highlight w:val="none"/>
                    </w:rPr>
                  </w:pPr>
                </w:p>
              </w:tc>
              <w:tc>
                <w:tcPr>
                  <w:tcW w:w="999" w:type="pct"/>
                  <w:noWrap w:val="0"/>
                  <w:vAlign w:val="center"/>
                </w:tcPr>
                <w:p w14:paraId="76AE6192">
                  <w:pPr>
                    <w:jc w:val="center"/>
                    <w:rPr>
                      <w:color w:val="auto"/>
                      <w:highlight w:val="none"/>
                    </w:rPr>
                  </w:pPr>
                  <w:r>
                    <w:rPr>
                      <w:color w:val="auto"/>
                      <w:highlight w:val="none"/>
                    </w:rPr>
                    <w:t>SS</w:t>
                  </w:r>
                </w:p>
              </w:tc>
              <w:tc>
                <w:tcPr>
                  <w:tcW w:w="583" w:type="pct"/>
                  <w:vMerge w:val="continue"/>
                  <w:noWrap w:val="0"/>
                  <w:vAlign w:val="center"/>
                </w:tcPr>
                <w:p w14:paraId="0F16D3EC">
                  <w:pPr>
                    <w:jc w:val="center"/>
                    <w:rPr>
                      <w:color w:val="auto"/>
                      <w:highlight w:val="none"/>
                    </w:rPr>
                  </w:pPr>
                </w:p>
              </w:tc>
              <w:tc>
                <w:tcPr>
                  <w:tcW w:w="755" w:type="pct"/>
                  <w:noWrap w:val="0"/>
                  <w:vAlign w:val="center"/>
                </w:tcPr>
                <w:p w14:paraId="6F34A26E">
                  <w:pPr>
                    <w:jc w:val="center"/>
                    <w:rPr>
                      <w:color w:val="auto"/>
                      <w:highlight w:val="none"/>
                    </w:rPr>
                  </w:pPr>
                  <w:r>
                    <w:rPr>
                      <w:color w:val="auto"/>
                      <w:highlight w:val="none"/>
                    </w:rPr>
                    <w:t>400</w:t>
                  </w:r>
                </w:p>
              </w:tc>
            </w:tr>
            <w:tr w14:paraId="585812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continue"/>
                  <w:noWrap w:val="0"/>
                  <w:vAlign w:val="center"/>
                </w:tcPr>
                <w:p w14:paraId="5F26A335">
                  <w:pPr>
                    <w:jc w:val="center"/>
                    <w:rPr>
                      <w:color w:val="auto"/>
                      <w:highlight w:val="none"/>
                    </w:rPr>
                  </w:pPr>
                </w:p>
              </w:tc>
              <w:tc>
                <w:tcPr>
                  <w:tcW w:w="1952" w:type="pct"/>
                  <w:vMerge w:val="continue"/>
                  <w:noWrap w:val="0"/>
                  <w:vAlign w:val="center"/>
                </w:tcPr>
                <w:p w14:paraId="27C415DA">
                  <w:pPr>
                    <w:jc w:val="center"/>
                    <w:rPr>
                      <w:color w:val="auto"/>
                      <w:highlight w:val="none"/>
                    </w:rPr>
                  </w:pPr>
                </w:p>
              </w:tc>
              <w:tc>
                <w:tcPr>
                  <w:tcW w:w="999" w:type="pct"/>
                  <w:noWrap w:val="0"/>
                  <w:vAlign w:val="center"/>
                </w:tcPr>
                <w:p w14:paraId="21A8ED52">
                  <w:pPr>
                    <w:jc w:val="center"/>
                    <w:rPr>
                      <w:color w:val="auto"/>
                      <w:highlight w:val="none"/>
                    </w:rPr>
                  </w:pPr>
                  <w:r>
                    <w:rPr>
                      <w:color w:val="auto"/>
                      <w:highlight w:val="none"/>
                    </w:rPr>
                    <w:t>BOD</w:t>
                  </w:r>
                  <w:r>
                    <w:rPr>
                      <w:color w:val="auto"/>
                      <w:highlight w:val="none"/>
                      <w:vertAlign w:val="subscript"/>
                    </w:rPr>
                    <w:t>5</w:t>
                  </w:r>
                </w:p>
              </w:tc>
              <w:tc>
                <w:tcPr>
                  <w:tcW w:w="583" w:type="pct"/>
                  <w:vMerge w:val="continue"/>
                  <w:noWrap w:val="0"/>
                  <w:vAlign w:val="center"/>
                </w:tcPr>
                <w:p w14:paraId="571D9E2C">
                  <w:pPr>
                    <w:jc w:val="center"/>
                    <w:rPr>
                      <w:color w:val="auto"/>
                      <w:highlight w:val="none"/>
                    </w:rPr>
                  </w:pPr>
                </w:p>
              </w:tc>
              <w:tc>
                <w:tcPr>
                  <w:tcW w:w="755" w:type="pct"/>
                  <w:noWrap w:val="0"/>
                  <w:vAlign w:val="center"/>
                </w:tcPr>
                <w:p w14:paraId="6FF28C6B">
                  <w:pPr>
                    <w:jc w:val="center"/>
                    <w:rPr>
                      <w:color w:val="auto"/>
                      <w:highlight w:val="none"/>
                    </w:rPr>
                  </w:pPr>
                  <w:r>
                    <w:rPr>
                      <w:color w:val="auto"/>
                      <w:highlight w:val="none"/>
                    </w:rPr>
                    <w:t>300</w:t>
                  </w:r>
                </w:p>
              </w:tc>
            </w:tr>
            <w:tr w14:paraId="75E634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continue"/>
                  <w:noWrap w:val="0"/>
                  <w:vAlign w:val="center"/>
                </w:tcPr>
                <w:p w14:paraId="0983EA07">
                  <w:pPr>
                    <w:jc w:val="center"/>
                    <w:rPr>
                      <w:color w:val="auto"/>
                      <w:highlight w:val="none"/>
                    </w:rPr>
                  </w:pPr>
                </w:p>
              </w:tc>
              <w:tc>
                <w:tcPr>
                  <w:tcW w:w="1952" w:type="pct"/>
                  <w:vMerge w:val="restart"/>
                  <w:noWrap w:val="0"/>
                  <w:vAlign w:val="center"/>
                </w:tcPr>
                <w:p w14:paraId="4278FB0B">
                  <w:pPr>
                    <w:jc w:val="center"/>
                    <w:rPr>
                      <w:color w:val="auto"/>
                      <w:highlight w:val="none"/>
                    </w:rPr>
                  </w:pPr>
                  <w:r>
                    <w:rPr>
                      <w:color w:val="auto"/>
                      <w:highlight w:val="none"/>
                    </w:rPr>
                    <w:t>《污水排入城镇下水道水质标准》（GB/T 31962-2015）</w:t>
                  </w:r>
                </w:p>
              </w:tc>
              <w:tc>
                <w:tcPr>
                  <w:tcW w:w="999" w:type="pct"/>
                  <w:noWrap w:val="0"/>
                  <w:vAlign w:val="center"/>
                </w:tcPr>
                <w:p w14:paraId="063DBCA7">
                  <w:pPr>
                    <w:jc w:val="center"/>
                    <w:rPr>
                      <w:color w:val="auto"/>
                      <w:highlight w:val="none"/>
                    </w:rPr>
                  </w:pPr>
                  <w:r>
                    <w:rPr>
                      <w:color w:val="auto"/>
                      <w:highlight w:val="none"/>
                    </w:rPr>
                    <w:t>氨氮</w:t>
                  </w:r>
                </w:p>
              </w:tc>
              <w:tc>
                <w:tcPr>
                  <w:tcW w:w="583" w:type="pct"/>
                  <w:vMerge w:val="continue"/>
                  <w:noWrap w:val="0"/>
                  <w:vAlign w:val="center"/>
                </w:tcPr>
                <w:p w14:paraId="53141F5D">
                  <w:pPr>
                    <w:jc w:val="center"/>
                    <w:rPr>
                      <w:color w:val="auto"/>
                      <w:highlight w:val="none"/>
                    </w:rPr>
                  </w:pPr>
                </w:p>
              </w:tc>
              <w:tc>
                <w:tcPr>
                  <w:tcW w:w="755" w:type="pct"/>
                  <w:noWrap w:val="0"/>
                  <w:vAlign w:val="center"/>
                </w:tcPr>
                <w:p w14:paraId="7811F898">
                  <w:pPr>
                    <w:jc w:val="center"/>
                    <w:rPr>
                      <w:color w:val="auto"/>
                      <w:highlight w:val="none"/>
                    </w:rPr>
                  </w:pPr>
                  <w:r>
                    <w:rPr>
                      <w:color w:val="auto"/>
                      <w:highlight w:val="none"/>
                    </w:rPr>
                    <w:t>45</w:t>
                  </w:r>
                </w:p>
              </w:tc>
            </w:tr>
            <w:tr w14:paraId="630B6A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8" w:type="pct"/>
                  <w:vMerge w:val="continue"/>
                  <w:noWrap w:val="0"/>
                  <w:vAlign w:val="center"/>
                </w:tcPr>
                <w:p w14:paraId="7CF1F908">
                  <w:pPr>
                    <w:rPr>
                      <w:color w:val="auto"/>
                      <w:highlight w:val="none"/>
                    </w:rPr>
                  </w:pPr>
                </w:p>
              </w:tc>
              <w:tc>
                <w:tcPr>
                  <w:tcW w:w="1952" w:type="pct"/>
                  <w:vMerge w:val="continue"/>
                  <w:noWrap w:val="0"/>
                  <w:vAlign w:val="center"/>
                </w:tcPr>
                <w:p w14:paraId="394905FF">
                  <w:pPr>
                    <w:rPr>
                      <w:color w:val="auto"/>
                      <w:highlight w:val="none"/>
                    </w:rPr>
                  </w:pPr>
                </w:p>
              </w:tc>
              <w:tc>
                <w:tcPr>
                  <w:tcW w:w="999" w:type="pct"/>
                  <w:noWrap w:val="0"/>
                  <w:vAlign w:val="center"/>
                </w:tcPr>
                <w:p w14:paraId="19BABCFF">
                  <w:pPr>
                    <w:jc w:val="center"/>
                    <w:rPr>
                      <w:color w:val="auto"/>
                      <w:highlight w:val="none"/>
                    </w:rPr>
                  </w:pPr>
                  <w:r>
                    <w:rPr>
                      <w:color w:val="auto"/>
                      <w:highlight w:val="none"/>
                    </w:rPr>
                    <w:t>总氮</w:t>
                  </w:r>
                </w:p>
              </w:tc>
              <w:tc>
                <w:tcPr>
                  <w:tcW w:w="583" w:type="pct"/>
                  <w:vMerge w:val="continue"/>
                  <w:noWrap w:val="0"/>
                  <w:vAlign w:val="center"/>
                </w:tcPr>
                <w:p w14:paraId="5475680A">
                  <w:pPr>
                    <w:jc w:val="center"/>
                    <w:rPr>
                      <w:color w:val="auto"/>
                      <w:highlight w:val="none"/>
                    </w:rPr>
                  </w:pPr>
                </w:p>
              </w:tc>
              <w:tc>
                <w:tcPr>
                  <w:tcW w:w="755" w:type="pct"/>
                  <w:noWrap w:val="0"/>
                  <w:vAlign w:val="center"/>
                </w:tcPr>
                <w:p w14:paraId="389C606E">
                  <w:pPr>
                    <w:jc w:val="center"/>
                    <w:rPr>
                      <w:color w:val="auto"/>
                      <w:highlight w:val="none"/>
                    </w:rPr>
                  </w:pPr>
                  <w:r>
                    <w:rPr>
                      <w:color w:val="auto"/>
                      <w:highlight w:val="none"/>
                    </w:rPr>
                    <w:t>70</w:t>
                  </w:r>
                </w:p>
              </w:tc>
            </w:tr>
            <w:tr w14:paraId="02C8A2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708" w:type="pct"/>
                  <w:vMerge w:val="continue"/>
                  <w:noWrap w:val="0"/>
                  <w:vAlign w:val="center"/>
                </w:tcPr>
                <w:p w14:paraId="0A711D52">
                  <w:pPr>
                    <w:rPr>
                      <w:color w:val="auto"/>
                      <w:highlight w:val="none"/>
                    </w:rPr>
                  </w:pPr>
                </w:p>
              </w:tc>
              <w:tc>
                <w:tcPr>
                  <w:tcW w:w="1952" w:type="pct"/>
                  <w:vMerge w:val="continue"/>
                  <w:noWrap w:val="0"/>
                  <w:vAlign w:val="center"/>
                </w:tcPr>
                <w:p w14:paraId="5773861A">
                  <w:pPr>
                    <w:rPr>
                      <w:color w:val="auto"/>
                      <w:highlight w:val="none"/>
                    </w:rPr>
                  </w:pPr>
                </w:p>
              </w:tc>
              <w:tc>
                <w:tcPr>
                  <w:tcW w:w="999" w:type="pct"/>
                  <w:noWrap w:val="0"/>
                  <w:vAlign w:val="center"/>
                </w:tcPr>
                <w:p w14:paraId="3FBB62A7">
                  <w:pPr>
                    <w:jc w:val="center"/>
                    <w:rPr>
                      <w:rFonts w:hint="eastAsia" w:eastAsia="宋体"/>
                      <w:color w:val="auto"/>
                      <w:highlight w:val="none"/>
                      <w:lang w:eastAsia="zh-CN"/>
                    </w:rPr>
                  </w:pPr>
                  <w:r>
                    <w:rPr>
                      <w:rFonts w:hint="eastAsia"/>
                      <w:color w:val="auto"/>
                      <w:highlight w:val="none"/>
                      <w:lang w:val="en-US" w:eastAsia="zh-CN"/>
                    </w:rPr>
                    <w:t>总磷</w:t>
                  </w:r>
                </w:p>
              </w:tc>
              <w:tc>
                <w:tcPr>
                  <w:tcW w:w="583" w:type="pct"/>
                  <w:vMerge w:val="continue"/>
                  <w:noWrap w:val="0"/>
                  <w:vAlign w:val="center"/>
                </w:tcPr>
                <w:p w14:paraId="50135D8B">
                  <w:pPr>
                    <w:jc w:val="center"/>
                    <w:rPr>
                      <w:color w:val="auto"/>
                      <w:highlight w:val="none"/>
                    </w:rPr>
                  </w:pPr>
                </w:p>
              </w:tc>
              <w:tc>
                <w:tcPr>
                  <w:tcW w:w="755" w:type="pct"/>
                  <w:noWrap w:val="0"/>
                  <w:vAlign w:val="center"/>
                </w:tcPr>
                <w:p w14:paraId="5E4B1E95">
                  <w:pPr>
                    <w:jc w:val="center"/>
                    <w:rPr>
                      <w:color w:val="auto"/>
                      <w:highlight w:val="none"/>
                    </w:rPr>
                  </w:pPr>
                  <w:r>
                    <w:rPr>
                      <w:color w:val="auto"/>
                      <w:highlight w:val="none"/>
                    </w:rPr>
                    <w:t>8</w:t>
                  </w:r>
                </w:p>
              </w:tc>
            </w:tr>
          </w:tbl>
          <w:p w14:paraId="01F79DA9">
            <w:pPr>
              <w:pStyle w:val="7"/>
              <w:ind w:firstLine="482"/>
              <w:rPr>
                <w:b/>
                <w:bCs/>
                <w:color w:val="auto"/>
                <w:highlight w:val="none"/>
              </w:rPr>
            </w:pPr>
            <w:r>
              <w:rPr>
                <w:b/>
                <w:bCs/>
                <w:color w:val="auto"/>
                <w:highlight w:val="none"/>
              </w:rPr>
              <w:t>3、噪声</w:t>
            </w:r>
          </w:p>
          <w:p w14:paraId="4E630613">
            <w:pPr>
              <w:pStyle w:val="7"/>
              <w:ind w:firstLine="480"/>
              <w:rPr>
                <w:rFonts w:hint="eastAsia" w:eastAsia="宋体"/>
                <w:color w:val="auto"/>
                <w:highlight w:val="none"/>
                <w:lang w:eastAsia="zh-CN"/>
              </w:rPr>
            </w:pPr>
            <w:r>
              <w:rPr>
                <w:rFonts w:hint="eastAsia"/>
                <w:color w:val="auto"/>
                <w:sz w:val="24"/>
                <w:highlight w:val="none"/>
              </w:rPr>
              <w:t>本项目施工期厂界噪声执行《建筑施工场界环境噪声排放标准》（GB12523-2011）</w:t>
            </w:r>
            <w:r>
              <w:rPr>
                <w:rFonts w:hint="eastAsia"/>
                <w:color w:val="auto"/>
                <w:sz w:val="24"/>
                <w:highlight w:val="none"/>
                <w:lang w:eastAsia="zh-CN"/>
              </w:rPr>
              <w:t>；</w:t>
            </w:r>
            <w:r>
              <w:rPr>
                <w:rFonts w:hint="eastAsia"/>
                <w:color w:val="auto"/>
                <w:sz w:val="24"/>
                <w:highlight w:val="none"/>
                <w:lang w:eastAsia="zh-CN"/>
              </w:rPr>
              <w:t>根据《西咸新区声环境功能区划方案》（陕西咸党政办字〔2022〕12号），本项目所在地为3类声环境功能区，项目运营期厂界噪声排放执行《工业企业厂界环境噪声排放标准》（GB12348-2008）3类标准限值</w:t>
            </w:r>
            <w:r>
              <w:rPr>
                <w:rFonts w:hint="eastAsia"/>
                <w:color w:val="auto"/>
                <w:highlight w:val="none"/>
              </w:rPr>
              <w:t>。</w:t>
            </w:r>
            <w:r>
              <w:rPr>
                <w:rFonts w:hint="eastAsia"/>
                <w:color w:val="auto"/>
                <w:highlight w:val="none"/>
              </w:rPr>
              <w:t>具体情况</w:t>
            </w:r>
            <w:r>
              <w:rPr>
                <w:rFonts w:hint="eastAsia"/>
                <w:color w:val="auto"/>
                <w:highlight w:val="none"/>
                <w:lang w:val="en-US" w:eastAsia="zh-CN"/>
              </w:rPr>
              <w:t>见</w:t>
            </w:r>
            <w:r>
              <w:rPr>
                <w:rFonts w:hint="eastAsia"/>
                <w:color w:val="auto"/>
                <w:highlight w:val="none"/>
              </w:rPr>
              <w:t>表</w:t>
            </w:r>
            <w:r>
              <w:rPr>
                <w:rFonts w:hint="eastAsia"/>
                <w:color w:val="auto"/>
                <w:highlight w:val="none"/>
                <w:lang w:val="en-US" w:eastAsia="zh-CN"/>
              </w:rPr>
              <w:t>3-6</w:t>
            </w:r>
            <w:r>
              <w:rPr>
                <w:rFonts w:hint="eastAsia"/>
                <w:color w:val="auto"/>
                <w:highlight w:val="none"/>
                <w:lang w:eastAsia="zh-CN"/>
              </w:rPr>
              <w:t>。</w:t>
            </w:r>
          </w:p>
          <w:p w14:paraId="00D6083D">
            <w:pPr>
              <w:pStyle w:val="7"/>
              <w:spacing w:line="240" w:lineRule="auto"/>
              <w:ind w:firstLine="0" w:firstLineChars="0"/>
              <w:jc w:val="center"/>
              <w:rPr>
                <w:b/>
                <w:bCs/>
                <w:color w:val="auto"/>
                <w:highlight w:val="none"/>
              </w:rPr>
            </w:pPr>
            <w:r>
              <w:rPr>
                <w:b/>
                <w:bCs/>
                <w:color w:val="auto"/>
                <w:highlight w:val="none"/>
              </w:rPr>
              <w:t>表3-</w:t>
            </w:r>
            <w:r>
              <w:rPr>
                <w:rFonts w:hint="eastAsia"/>
                <w:b/>
                <w:bCs/>
                <w:color w:val="auto"/>
                <w:highlight w:val="none"/>
                <w:lang w:val="en-US" w:eastAsia="zh-CN"/>
              </w:rPr>
              <w:t>6</w:t>
            </w:r>
            <w:r>
              <w:rPr>
                <w:b/>
                <w:bCs/>
                <w:color w:val="auto"/>
                <w:highlight w:val="none"/>
              </w:rPr>
              <w:t xml:space="preserve"> 环境噪声排放标准</w:t>
            </w:r>
          </w:p>
          <w:tbl>
            <w:tblPr>
              <w:tblStyle w:val="24"/>
              <w:tblW w:w="490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
            <w:tblGrid>
              <w:gridCol w:w="3458"/>
              <w:gridCol w:w="1780"/>
              <w:gridCol w:w="1334"/>
              <w:gridCol w:w="1278"/>
            </w:tblGrid>
            <w:tr w14:paraId="1D7AAA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170" w:hRule="atLeast"/>
                <w:jc w:val="center"/>
              </w:trPr>
              <w:tc>
                <w:tcPr>
                  <w:tcW w:w="2202" w:type="pct"/>
                  <w:vMerge w:val="restart"/>
                  <w:noWrap w:val="0"/>
                  <w:tcMar>
                    <w:top w:w="57" w:type="dxa"/>
                    <w:left w:w="57" w:type="dxa"/>
                    <w:bottom w:w="57" w:type="dxa"/>
                    <w:right w:w="57" w:type="dxa"/>
                  </w:tcMar>
                  <w:vAlign w:val="center"/>
                </w:tcPr>
                <w:p w14:paraId="5F8E7C03">
                  <w:pPr>
                    <w:jc w:val="center"/>
                    <w:rPr>
                      <w:b/>
                      <w:bCs/>
                      <w:color w:val="auto"/>
                      <w:highlight w:val="none"/>
                    </w:rPr>
                  </w:pPr>
                  <w:r>
                    <w:rPr>
                      <w:b/>
                      <w:bCs/>
                      <w:color w:val="auto"/>
                      <w:highlight w:val="none"/>
                    </w:rPr>
                    <w:t>标准名称</w:t>
                  </w:r>
                </w:p>
              </w:tc>
              <w:tc>
                <w:tcPr>
                  <w:tcW w:w="1133" w:type="pct"/>
                  <w:vMerge w:val="restart"/>
                  <w:noWrap w:val="0"/>
                  <w:tcMar>
                    <w:top w:w="57" w:type="dxa"/>
                    <w:left w:w="57" w:type="dxa"/>
                    <w:bottom w:w="57" w:type="dxa"/>
                    <w:right w:w="57" w:type="dxa"/>
                  </w:tcMar>
                  <w:vAlign w:val="center"/>
                </w:tcPr>
                <w:p w14:paraId="53BB703C">
                  <w:pPr>
                    <w:jc w:val="center"/>
                    <w:rPr>
                      <w:b/>
                      <w:bCs/>
                      <w:color w:val="auto"/>
                      <w:highlight w:val="none"/>
                    </w:rPr>
                  </w:pPr>
                  <w:r>
                    <w:rPr>
                      <w:b/>
                      <w:bCs/>
                      <w:color w:val="auto"/>
                      <w:highlight w:val="none"/>
                    </w:rPr>
                    <w:t>监测点</w:t>
                  </w:r>
                </w:p>
              </w:tc>
              <w:tc>
                <w:tcPr>
                  <w:tcW w:w="1663" w:type="pct"/>
                  <w:gridSpan w:val="2"/>
                  <w:noWrap w:val="0"/>
                  <w:tcMar>
                    <w:top w:w="57" w:type="dxa"/>
                    <w:left w:w="57" w:type="dxa"/>
                    <w:bottom w:w="57" w:type="dxa"/>
                    <w:right w:w="57" w:type="dxa"/>
                  </w:tcMar>
                  <w:vAlign w:val="center"/>
                </w:tcPr>
                <w:p w14:paraId="53355473">
                  <w:pPr>
                    <w:jc w:val="center"/>
                    <w:rPr>
                      <w:b/>
                      <w:bCs/>
                      <w:color w:val="auto"/>
                      <w:highlight w:val="none"/>
                    </w:rPr>
                  </w:pPr>
                  <w:r>
                    <w:rPr>
                      <w:b/>
                      <w:bCs/>
                      <w:color w:val="auto"/>
                      <w:highlight w:val="none"/>
                    </w:rPr>
                    <w:t>标准限值</w:t>
                  </w:r>
                  <w:r>
                    <w:rPr>
                      <w:b/>
                      <w:bCs/>
                      <w:color w:val="auto"/>
                      <w:highlight w:val="none"/>
                    </w:rPr>
                    <w:t>dB (A)</w:t>
                  </w:r>
                </w:p>
              </w:tc>
            </w:tr>
            <w:tr w14:paraId="503F69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227" w:hRule="atLeast"/>
                <w:jc w:val="center"/>
              </w:trPr>
              <w:tc>
                <w:tcPr>
                  <w:tcW w:w="2202" w:type="pct"/>
                  <w:vMerge w:val="continue"/>
                  <w:noWrap w:val="0"/>
                  <w:vAlign w:val="center"/>
                </w:tcPr>
                <w:p w14:paraId="6FB63721">
                  <w:pPr>
                    <w:widowControl/>
                    <w:jc w:val="center"/>
                    <w:rPr>
                      <w:b/>
                      <w:bCs/>
                      <w:color w:val="auto"/>
                      <w:szCs w:val="21"/>
                      <w:highlight w:val="none"/>
                    </w:rPr>
                  </w:pPr>
                </w:p>
              </w:tc>
              <w:tc>
                <w:tcPr>
                  <w:tcW w:w="1133" w:type="pct"/>
                  <w:vMerge w:val="continue"/>
                  <w:noWrap w:val="0"/>
                  <w:vAlign w:val="center"/>
                </w:tcPr>
                <w:p w14:paraId="2183EAD9">
                  <w:pPr>
                    <w:widowControl/>
                    <w:jc w:val="center"/>
                    <w:rPr>
                      <w:b/>
                      <w:bCs/>
                      <w:color w:val="auto"/>
                      <w:szCs w:val="21"/>
                      <w:highlight w:val="none"/>
                    </w:rPr>
                  </w:pPr>
                </w:p>
              </w:tc>
              <w:tc>
                <w:tcPr>
                  <w:tcW w:w="849" w:type="pct"/>
                  <w:noWrap w:val="0"/>
                  <w:tcMar>
                    <w:top w:w="57" w:type="dxa"/>
                    <w:left w:w="57" w:type="dxa"/>
                    <w:bottom w:w="57" w:type="dxa"/>
                    <w:right w:w="57" w:type="dxa"/>
                  </w:tcMar>
                  <w:vAlign w:val="center"/>
                </w:tcPr>
                <w:p w14:paraId="65B60624">
                  <w:pPr>
                    <w:jc w:val="center"/>
                    <w:rPr>
                      <w:b/>
                      <w:bCs/>
                      <w:color w:val="auto"/>
                      <w:highlight w:val="none"/>
                    </w:rPr>
                  </w:pPr>
                  <w:r>
                    <w:rPr>
                      <w:b/>
                      <w:bCs/>
                      <w:color w:val="auto"/>
                      <w:highlight w:val="none"/>
                    </w:rPr>
                    <w:t>昼间</w:t>
                  </w:r>
                </w:p>
              </w:tc>
              <w:tc>
                <w:tcPr>
                  <w:tcW w:w="814" w:type="pct"/>
                  <w:noWrap w:val="0"/>
                  <w:tcMar>
                    <w:top w:w="57" w:type="dxa"/>
                    <w:left w:w="57" w:type="dxa"/>
                    <w:bottom w:w="57" w:type="dxa"/>
                    <w:right w:w="57" w:type="dxa"/>
                  </w:tcMar>
                  <w:vAlign w:val="center"/>
                </w:tcPr>
                <w:p w14:paraId="1DEE7564">
                  <w:pPr>
                    <w:jc w:val="center"/>
                    <w:rPr>
                      <w:b/>
                      <w:bCs/>
                      <w:color w:val="auto"/>
                      <w:highlight w:val="none"/>
                    </w:rPr>
                  </w:pPr>
                  <w:r>
                    <w:rPr>
                      <w:b/>
                      <w:bCs/>
                      <w:color w:val="auto"/>
                      <w:highlight w:val="none"/>
                    </w:rPr>
                    <w:t>夜间</w:t>
                  </w:r>
                </w:p>
              </w:tc>
            </w:tr>
            <w:tr w14:paraId="4C183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420" w:hRule="atLeast"/>
                <w:jc w:val="center"/>
              </w:trPr>
              <w:tc>
                <w:tcPr>
                  <w:tcW w:w="2202" w:type="pct"/>
                  <w:noWrap w:val="0"/>
                  <w:vAlign w:val="center"/>
                </w:tcPr>
                <w:p w14:paraId="38B97535">
                  <w:pPr>
                    <w:widowControl/>
                    <w:jc w:val="center"/>
                    <w:rPr>
                      <w:b w:val="0"/>
                      <w:bCs w:val="0"/>
                      <w:color w:val="auto"/>
                      <w:szCs w:val="21"/>
                      <w:highlight w:val="none"/>
                    </w:rPr>
                  </w:pPr>
                  <w:r>
                    <w:rPr>
                      <w:rFonts w:hint="eastAsia"/>
                      <w:b w:val="0"/>
                      <w:bCs w:val="0"/>
                      <w:color w:val="auto"/>
                      <w:szCs w:val="21"/>
                      <w:highlight w:val="none"/>
                    </w:rPr>
                    <w:t>《建筑施工场界环境噪声排放标准》（GB12523-2011）</w:t>
                  </w:r>
                </w:p>
              </w:tc>
              <w:tc>
                <w:tcPr>
                  <w:tcW w:w="1133" w:type="pct"/>
                  <w:noWrap w:val="0"/>
                  <w:vAlign w:val="center"/>
                </w:tcPr>
                <w:p w14:paraId="1673CFA5">
                  <w:pPr>
                    <w:widowControl/>
                    <w:jc w:val="center"/>
                    <w:rPr>
                      <w:b w:val="0"/>
                      <w:bCs w:val="0"/>
                      <w:color w:val="auto"/>
                      <w:szCs w:val="21"/>
                      <w:highlight w:val="none"/>
                    </w:rPr>
                  </w:pPr>
                  <w:r>
                    <w:rPr>
                      <w:rFonts w:hint="eastAsia"/>
                      <w:color w:val="auto"/>
                      <w:highlight w:val="none"/>
                    </w:rPr>
                    <w:t>厂界</w:t>
                  </w:r>
                </w:p>
              </w:tc>
              <w:tc>
                <w:tcPr>
                  <w:tcW w:w="849" w:type="pct"/>
                  <w:noWrap w:val="0"/>
                  <w:tcMar>
                    <w:top w:w="57" w:type="dxa"/>
                    <w:left w:w="57" w:type="dxa"/>
                    <w:bottom w:w="57" w:type="dxa"/>
                    <w:right w:w="57" w:type="dxa"/>
                  </w:tcMar>
                  <w:vAlign w:val="center"/>
                </w:tcPr>
                <w:p w14:paraId="2BC41742">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70</w:t>
                  </w:r>
                </w:p>
              </w:tc>
              <w:tc>
                <w:tcPr>
                  <w:tcW w:w="814" w:type="pct"/>
                  <w:noWrap w:val="0"/>
                  <w:tcMar>
                    <w:top w:w="57" w:type="dxa"/>
                    <w:left w:w="57" w:type="dxa"/>
                    <w:bottom w:w="57" w:type="dxa"/>
                    <w:right w:w="57" w:type="dxa"/>
                  </w:tcMar>
                  <w:vAlign w:val="center"/>
                </w:tcPr>
                <w:p w14:paraId="2AE46B90">
                  <w:pPr>
                    <w:jc w:val="center"/>
                    <w:rPr>
                      <w:rFonts w:hint="default" w:eastAsia="宋体"/>
                      <w:b w:val="0"/>
                      <w:bCs w:val="0"/>
                      <w:color w:val="auto"/>
                      <w:highlight w:val="none"/>
                      <w:lang w:val="en-US" w:eastAsia="zh-CN"/>
                    </w:rPr>
                  </w:pPr>
                  <w:r>
                    <w:rPr>
                      <w:rFonts w:hint="eastAsia"/>
                      <w:b w:val="0"/>
                      <w:bCs w:val="0"/>
                      <w:color w:val="auto"/>
                      <w:highlight w:val="none"/>
                      <w:lang w:val="en-US" w:eastAsia="zh-CN"/>
                    </w:rPr>
                    <w:t>55</w:t>
                  </w:r>
                </w:p>
              </w:tc>
            </w:tr>
            <w:tr w14:paraId="318020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644" w:hRule="atLeast"/>
                <w:jc w:val="center"/>
              </w:trPr>
              <w:tc>
                <w:tcPr>
                  <w:tcW w:w="2202" w:type="pct"/>
                  <w:noWrap w:val="0"/>
                  <w:tcMar>
                    <w:top w:w="57" w:type="dxa"/>
                    <w:left w:w="57" w:type="dxa"/>
                    <w:bottom w:w="57" w:type="dxa"/>
                    <w:right w:w="57" w:type="dxa"/>
                  </w:tcMar>
                  <w:vAlign w:val="center"/>
                </w:tcPr>
                <w:p w14:paraId="26D7F3CC">
                  <w:pPr>
                    <w:jc w:val="center"/>
                    <w:rPr>
                      <w:b/>
                      <w:bCs/>
                      <w:color w:val="auto"/>
                      <w:highlight w:val="none"/>
                    </w:rPr>
                  </w:pPr>
                  <w:r>
                    <w:rPr>
                      <w:color w:val="auto"/>
                      <w:highlight w:val="none"/>
                    </w:rPr>
                    <w:t>《工业企业厂界环境噪声排放标准》（GB</w:t>
                  </w:r>
                  <w:r>
                    <w:rPr>
                      <w:rFonts w:hint="eastAsia"/>
                      <w:color w:val="auto"/>
                      <w:highlight w:val="none"/>
                    </w:rPr>
                    <w:t>12348</w:t>
                  </w:r>
                  <w:r>
                    <w:rPr>
                      <w:color w:val="auto"/>
                      <w:highlight w:val="none"/>
                    </w:rPr>
                    <w:t>-2008）中的</w:t>
                  </w:r>
                  <w:r>
                    <w:rPr>
                      <w:rFonts w:hint="eastAsia"/>
                      <w:color w:val="auto"/>
                      <w:highlight w:val="none"/>
                      <w:lang w:val="en-US" w:eastAsia="zh-CN"/>
                    </w:rPr>
                    <w:t>3</w:t>
                  </w:r>
                  <w:r>
                    <w:rPr>
                      <w:color w:val="auto"/>
                      <w:highlight w:val="none"/>
                    </w:rPr>
                    <w:t>类标准</w:t>
                  </w:r>
                </w:p>
              </w:tc>
              <w:tc>
                <w:tcPr>
                  <w:tcW w:w="1133" w:type="pct"/>
                  <w:noWrap w:val="0"/>
                  <w:tcMar>
                    <w:top w:w="57" w:type="dxa"/>
                    <w:left w:w="57" w:type="dxa"/>
                    <w:bottom w:w="57" w:type="dxa"/>
                    <w:right w:w="57" w:type="dxa"/>
                  </w:tcMar>
                  <w:vAlign w:val="center"/>
                </w:tcPr>
                <w:p w14:paraId="77EDE7F2">
                  <w:pPr>
                    <w:jc w:val="center"/>
                    <w:rPr>
                      <w:b/>
                      <w:bCs/>
                      <w:color w:val="auto"/>
                      <w:highlight w:val="none"/>
                    </w:rPr>
                  </w:pPr>
                  <w:r>
                    <w:rPr>
                      <w:rFonts w:hint="eastAsia"/>
                      <w:color w:val="auto"/>
                      <w:highlight w:val="none"/>
                    </w:rPr>
                    <w:t>厂界</w:t>
                  </w:r>
                </w:p>
              </w:tc>
              <w:tc>
                <w:tcPr>
                  <w:tcW w:w="849" w:type="pct"/>
                  <w:noWrap w:val="0"/>
                  <w:tcMar>
                    <w:top w:w="57" w:type="dxa"/>
                    <w:left w:w="57" w:type="dxa"/>
                    <w:bottom w:w="57" w:type="dxa"/>
                    <w:right w:w="57" w:type="dxa"/>
                  </w:tcMar>
                  <w:vAlign w:val="center"/>
                </w:tcPr>
                <w:p w14:paraId="4298BD5B">
                  <w:pPr>
                    <w:jc w:val="center"/>
                    <w:rPr>
                      <w:color w:val="auto"/>
                      <w:highlight w:val="none"/>
                    </w:rPr>
                  </w:pPr>
                  <w:r>
                    <w:rPr>
                      <w:rFonts w:hint="eastAsia"/>
                      <w:color w:val="auto"/>
                      <w:highlight w:val="none"/>
                      <w:lang w:val="en-US" w:eastAsia="zh-CN"/>
                    </w:rPr>
                    <w:t>65</w:t>
                  </w:r>
                </w:p>
              </w:tc>
              <w:tc>
                <w:tcPr>
                  <w:tcW w:w="814" w:type="pct"/>
                  <w:noWrap w:val="0"/>
                  <w:tcMar>
                    <w:top w:w="57" w:type="dxa"/>
                    <w:left w:w="57" w:type="dxa"/>
                    <w:bottom w:w="57" w:type="dxa"/>
                    <w:right w:w="57" w:type="dxa"/>
                  </w:tcMar>
                  <w:vAlign w:val="center"/>
                </w:tcPr>
                <w:p w14:paraId="7B81A0A3">
                  <w:pPr>
                    <w:jc w:val="center"/>
                    <w:rPr>
                      <w:color w:val="auto"/>
                      <w:highlight w:val="none"/>
                    </w:rPr>
                  </w:pPr>
                  <w:r>
                    <w:rPr>
                      <w:rFonts w:hint="eastAsia"/>
                      <w:color w:val="auto"/>
                      <w:highlight w:val="none"/>
                      <w:lang w:val="en-US" w:eastAsia="zh-CN"/>
                    </w:rPr>
                    <w:t>55</w:t>
                  </w:r>
                </w:p>
              </w:tc>
            </w:tr>
          </w:tbl>
          <w:p w14:paraId="2801D2B2">
            <w:pPr>
              <w:pStyle w:val="7"/>
              <w:ind w:firstLine="482"/>
              <w:rPr>
                <w:b/>
                <w:bCs/>
                <w:color w:val="auto"/>
                <w:highlight w:val="none"/>
              </w:rPr>
            </w:pPr>
            <w:r>
              <w:rPr>
                <w:b/>
                <w:bCs/>
                <w:color w:val="auto"/>
                <w:highlight w:val="none"/>
              </w:rPr>
              <w:t>4、固废</w:t>
            </w:r>
          </w:p>
          <w:p w14:paraId="3C457106">
            <w:pPr>
              <w:pStyle w:val="7"/>
              <w:ind w:firstLine="480"/>
              <w:rPr>
                <w:rFonts w:ascii="宋体" w:hAnsi="宋体" w:cs="宋体"/>
                <w:color w:val="auto"/>
                <w:szCs w:val="21"/>
                <w:highlight w:val="none"/>
              </w:rPr>
            </w:pPr>
            <w:r>
              <w:rPr>
                <w:rFonts w:hint="eastAsia"/>
                <w:color w:val="auto"/>
                <w:highlight w:val="none"/>
              </w:rPr>
              <w:t>一般固体废物执行《一般工业固体废物贮存和填埋污染控制标准》（GB18599-2020）；危险废物执行《危险废物贮存污染控制标准》（GB 18597-2023）</w:t>
            </w:r>
            <w:r>
              <w:rPr>
                <w:color w:val="auto"/>
                <w:highlight w:val="none"/>
              </w:rPr>
              <w:t>。</w:t>
            </w:r>
          </w:p>
        </w:tc>
      </w:tr>
      <w:tr w14:paraId="042D8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800" w:type="dxa"/>
            <w:noWrap w:val="0"/>
            <w:vAlign w:val="center"/>
          </w:tcPr>
          <w:p w14:paraId="4F1E8CCC">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总量</w:t>
            </w:r>
          </w:p>
          <w:p w14:paraId="0BF61E8C">
            <w:pPr>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控制</w:t>
            </w:r>
          </w:p>
          <w:p w14:paraId="56FC6E43">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指标</w:t>
            </w:r>
          </w:p>
        </w:tc>
        <w:tc>
          <w:tcPr>
            <w:tcW w:w="8213" w:type="dxa"/>
            <w:noWrap w:val="0"/>
            <w:vAlign w:val="center"/>
          </w:tcPr>
          <w:p w14:paraId="331594EF">
            <w:pPr>
              <w:pStyle w:val="7"/>
              <w:ind w:firstLine="480"/>
              <w:rPr>
                <w:rFonts w:hint="eastAsia"/>
                <w:color w:val="auto"/>
                <w:sz w:val="24"/>
                <w:szCs w:val="32"/>
                <w:highlight w:val="none"/>
              </w:rPr>
            </w:pPr>
          </w:p>
          <w:p w14:paraId="7725C7F9">
            <w:pPr>
              <w:pStyle w:val="7"/>
              <w:ind w:firstLine="480"/>
              <w:rPr>
                <w:rFonts w:hint="eastAsia"/>
                <w:color w:val="auto"/>
                <w:sz w:val="24"/>
                <w:szCs w:val="32"/>
                <w:highlight w:val="none"/>
              </w:rPr>
            </w:pPr>
          </w:p>
          <w:p w14:paraId="01E3AEBF">
            <w:pPr>
              <w:pStyle w:val="7"/>
              <w:ind w:firstLine="480"/>
              <w:rPr>
                <w:rFonts w:hint="eastAsia"/>
                <w:color w:val="auto"/>
                <w:sz w:val="24"/>
                <w:szCs w:val="32"/>
                <w:highlight w:val="none"/>
              </w:rPr>
            </w:pPr>
          </w:p>
          <w:p w14:paraId="490B36D7">
            <w:pPr>
              <w:pStyle w:val="7"/>
              <w:ind w:firstLine="480"/>
              <w:rPr>
                <w:rFonts w:hint="eastAsia"/>
                <w:color w:val="auto"/>
                <w:sz w:val="24"/>
                <w:szCs w:val="32"/>
                <w:highlight w:val="none"/>
              </w:rPr>
            </w:pPr>
          </w:p>
          <w:p w14:paraId="384B2B1A">
            <w:pPr>
              <w:pStyle w:val="7"/>
              <w:ind w:firstLine="480"/>
              <w:rPr>
                <w:rFonts w:hint="eastAsia"/>
                <w:color w:val="auto"/>
                <w:sz w:val="24"/>
                <w:szCs w:val="32"/>
                <w:highlight w:val="none"/>
              </w:rPr>
            </w:pPr>
          </w:p>
          <w:p w14:paraId="65C82F07">
            <w:pPr>
              <w:pStyle w:val="7"/>
              <w:ind w:firstLine="480"/>
              <w:rPr>
                <w:rFonts w:hint="eastAsia"/>
                <w:color w:val="auto"/>
                <w:sz w:val="24"/>
                <w:szCs w:val="32"/>
                <w:highlight w:val="none"/>
              </w:rPr>
            </w:pPr>
          </w:p>
          <w:p w14:paraId="1BBD9A68">
            <w:pPr>
              <w:pStyle w:val="7"/>
              <w:ind w:firstLine="480"/>
              <w:rPr>
                <w:rFonts w:hint="eastAsia" w:eastAsia="宋体"/>
                <w:color w:val="auto"/>
                <w:highlight w:val="none"/>
                <w:lang w:eastAsia="zh-CN"/>
              </w:rPr>
            </w:pPr>
            <w:r>
              <w:rPr>
                <w:rFonts w:hint="eastAsia"/>
                <w:color w:val="auto"/>
                <w:sz w:val="24"/>
                <w:szCs w:val="32"/>
                <w:highlight w:val="none"/>
              </w:rPr>
              <w:t>根据《“十四五”节能减排综合工作方案》，我国“十四五”期间对COD、氨氮、VOC</w:t>
            </w:r>
            <w:r>
              <w:rPr>
                <w:rFonts w:hint="eastAsia"/>
                <w:color w:val="auto"/>
                <w:sz w:val="24"/>
                <w:szCs w:val="32"/>
                <w:highlight w:val="none"/>
                <w:vertAlign w:val="subscript"/>
              </w:rPr>
              <w:t>S</w:t>
            </w:r>
            <w:r>
              <w:rPr>
                <w:rFonts w:hint="eastAsia"/>
                <w:color w:val="auto"/>
                <w:sz w:val="24"/>
                <w:szCs w:val="32"/>
                <w:highlight w:val="none"/>
              </w:rPr>
              <w:t>、NO</w:t>
            </w:r>
            <w:r>
              <w:rPr>
                <w:rFonts w:hint="eastAsia"/>
                <w:color w:val="auto"/>
                <w:sz w:val="24"/>
                <w:szCs w:val="32"/>
                <w:highlight w:val="none"/>
                <w:vertAlign w:val="subscript"/>
              </w:rPr>
              <w:t>X</w:t>
            </w:r>
            <w:r>
              <w:rPr>
                <w:rFonts w:hint="eastAsia"/>
                <w:color w:val="auto"/>
                <w:sz w:val="24"/>
                <w:szCs w:val="32"/>
                <w:highlight w:val="none"/>
              </w:rPr>
              <w:t>这4种污染物实行排放总量控制。建议本项目总量控制指标为</w:t>
            </w:r>
            <w:r>
              <w:rPr>
                <w:rFonts w:hint="eastAsia"/>
                <w:color w:val="auto"/>
                <w:sz w:val="24"/>
                <w:szCs w:val="32"/>
                <w:highlight w:val="none"/>
                <w:lang w:eastAsia="zh-CN"/>
              </w:rPr>
              <w:t>：</w:t>
            </w:r>
          </w:p>
          <w:p w14:paraId="01EB6079">
            <w:pPr>
              <w:pStyle w:val="7"/>
              <w:ind w:firstLine="480"/>
              <w:rPr>
                <w:color w:val="auto"/>
                <w:highlight w:val="none"/>
              </w:rPr>
            </w:pPr>
            <w:r>
              <w:rPr>
                <w:rFonts w:hint="eastAsia"/>
                <w:color w:val="auto"/>
                <w:highlight w:val="none"/>
              </w:rPr>
              <w:t>大气</w:t>
            </w:r>
            <w:r>
              <w:rPr>
                <w:color w:val="auto"/>
                <w:highlight w:val="none"/>
              </w:rPr>
              <w:t>污染物控制指标</w:t>
            </w:r>
            <w:r>
              <w:rPr>
                <w:rFonts w:hint="eastAsia"/>
                <w:color w:val="auto"/>
                <w:highlight w:val="none"/>
              </w:rPr>
              <w:t>：</w:t>
            </w:r>
            <w:r>
              <w:rPr>
                <w:color w:val="auto"/>
                <w:highlight w:val="none"/>
              </w:rPr>
              <w:t>非甲烷总烃为</w:t>
            </w:r>
            <w:r>
              <w:rPr>
                <w:rFonts w:hint="eastAsia"/>
                <w:color w:val="auto"/>
                <w:highlight w:val="none"/>
                <w:lang w:val="en-US" w:eastAsia="zh-CN"/>
              </w:rPr>
              <w:t>0.037</w:t>
            </w:r>
            <w:r>
              <w:rPr>
                <w:color w:val="auto"/>
                <w:highlight w:val="none"/>
              </w:rPr>
              <w:t>t/a。</w:t>
            </w:r>
          </w:p>
          <w:p w14:paraId="274BE3CC">
            <w:pPr>
              <w:pStyle w:val="7"/>
              <w:ind w:firstLine="480"/>
              <w:rPr>
                <w:color w:val="auto"/>
                <w:highlight w:val="none"/>
              </w:rPr>
            </w:pPr>
            <w:r>
              <w:rPr>
                <w:rFonts w:hint="eastAsia"/>
                <w:color w:val="auto"/>
                <w:highlight w:val="none"/>
              </w:rPr>
              <w:t>水污染物纳管总量指标：COD为</w:t>
            </w:r>
            <w:r>
              <w:rPr>
                <w:rFonts w:hint="eastAsia"/>
                <w:color w:val="auto"/>
                <w:highlight w:val="none"/>
                <w:lang w:val="en-US" w:eastAsia="zh-CN"/>
              </w:rPr>
              <w:t>0.036</w:t>
            </w:r>
            <w:r>
              <w:rPr>
                <w:rFonts w:hint="eastAsia"/>
                <w:color w:val="auto"/>
                <w:highlight w:val="none"/>
              </w:rPr>
              <w:t>t/a；氨氮为</w:t>
            </w:r>
            <w:r>
              <w:rPr>
                <w:rFonts w:hint="eastAsia"/>
                <w:color w:val="auto"/>
                <w:highlight w:val="none"/>
                <w:lang w:val="en-US" w:eastAsia="zh-CN"/>
              </w:rPr>
              <w:t>0.003</w:t>
            </w:r>
            <w:r>
              <w:rPr>
                <w:rFonts w:hint="eastAsia"/>
                <w:color w:val="auto"/>
                <w:highlight w:val="none"/>
              </w:rPr>
              <w:t>t/a。</w:t>
            </w:r>
          </w:p>
          <w:p w14:paraId="748DF71B">
            <w:pPr>
              <w:pStyle w:val="7"/>
              <w:ind w:firstLine="480"/>
              <w:rPr>
                <w:color w:val="auto"/>
                <w:highlight w:val="none"/>
              </w:rPr>
            </w:pPr>
          </w:p>
          <w:p w14:paraId="24ED8870">
            <w:pPr>
              <w:pStyle w:val="7"/>
              <w:ind w:firstLine="480"/>
              <w:rPr>
                <w:rFonts w:hint="eastAsia"/>
                <w:color w:val="auto"/>
                <w:sz w:val="24"/>
                <w:szCs w:val="32"/>
                <w:highlight w:val="none"/>
              </w:rPr>
            </w:pPr>
          </w:p>
          <w:p w14:paraId="3BC32865">
            <w:pPr>
              <w:pStyle w:val="7"/>
              <w:ind w:firstLine="480"/>
              <w:rPr>
                <w:rFonts w:hint="eastAsia"/>
                <w:color w:val="auto"/>
                <w:sz w:val="24"/>
                <w:szCs w:val="32"/>
                <w:highlight w:val="none"/>
              </w:rPr>
            </w:pPr>
          </w:p>
          <w:p w14:paraId="350CC747">
            <w:pPr>
              <w:pStyle w:val="7"/>
              <w:ind w:firstLine="480"/>
              <w:rPr>
                <w:rFonts w:hint="eastAsia"/>
                <w:color w:val="auto"/>
                <w:sz w:val="24"/>
                <w:szCs w:val="32"/>
                <w:highlight w:val="none"/>
              </w:rPr>
            </w:pPr>
          </w:p>
          <w:p w14:paraId="7542E8EE">
            <w:pPr>
              <w:pStyle w:val="7"/>
              <w:ind w:firstLine="480"/>
              <w:rPr>
                <w:color w:val="auto"/>
                <w:highlight w:val="none"/>
              </w:rPr>
            </w:pPr>
          </w:p>
          <w:p w14:paraId="1CB8A4FD">
            <w:pPr>
              <w:pStyle w:val="13"/>
              <w:widowControl w:val="0"/>
              <w:numPr>
                <w:ilvl w:val="0"/>
                <w:numId w:val="0"/>
              </w:numPr>
              <w:adjustRightInd w:val="0"/>
              <w:snapToGrid w:val="0"/>
              <w:jc w:val="both"/>
              <w:rPr>
                <w:color w:val="auto"/>
                <w:highlight w:val="none"/>
              </w:rPr>
            </w:pPr>
          </w:p>
          <w:p w14:paraId="66DED8F9">
            <w:pPr>
              <w:pStyle w:val="13"/>
              <w:widowControl w:val="0"/>
              <w:numPr>
                <w:ilvl w:val="0"/>
                <w:numId w:val="0"/>
              </w:numPr>
              <w:adjustRightInd w:val="0"/>
              <w:snapToGrid w:val="0"/>
              <w:jc w:val="both"/>
              <w:rPr>
                <w:color w:val="auto"/>
                <w:highlight w:val="none"/>
              </w:rPr>
            </w:pPr>
          </w:p>
          <w:p w14:paraId="213F0449">
            <w:pPr>
              <w:pStyle w:val="13"/>
              <w:widowControl w:val="0"/>
              <w:numPr>
                <w:ilvl w:val="0"/>
                <w:numId w:val="0"/>
              </w:numPr>
              <w:adjustRightInd w:val="0"/>
              <w:snapToGrid w:val="0"/>
              <w:jc w:val="both"/>
              <w:rPr>
                <w:color w:val="auto"/>
                <w:highlight w:val="none"/>
              </w:rPr>
            </w:pPr>
          </w:p>
          <w:p w14:paraId="50FBA28E">
            <w:pPr>
              <w:pStyle w:val="13"/>
              <w:widowControl w:val="0"/>
              <w:numPr>
                <w:ilvl w:val="0"/>
                <w:numId w:val="0"/>
              </w:numPr>
              <w:adjustRightInd w:val="0"/>
              <w:snapToGrid w:val="0"/>
              <w:jc w:val="both"/>
              <w:rPr>
                <w:color w:val="auto"/>
                <w:highlight w:val="none"/>
              </w:rPr>
            </w:pPr>
          </w:p>
          <w:p w14:paraId="515A169B">
            <w:pPr>
              <w:pStyle w:val="7"/>
              <w:ind w:firstLine="0" w:firstLineChars="0"/>
              <w:rPr>
                <w:color w:val="auto"/>
                <w:highlight w:val="none"/>
              </w:rPr>
            </w:pPr>
          </w:p>
        </w:tc>
      </w:tr>
    </w:tbl>
    <w:p w14:paraId="58D7DA56">
      <w:pPr>
        <w:pStyle w:val="21"/>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8203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7A954AE8">
            <w:pPr>
              <w:pStyle w:val="21"/>
              <w:spacing w:before="0" w:beforeAutospacing="0" w:after="0" w:afterAutospacing="0"/>
              <w:jc w:val="center"/>
              <w:rPr>
                <w:rFonts w:hint="eastAsia" w:cs="宋体"/>
                <w:color w:val="auto"/>
                <w:kern w:val="2"/>
                <w:sz w:val="24"/>
                <w:szCs w:val="24"/>
                <w:highlight w:val="none"/>
              </w:rPr>
            </w:pPr>
            <w:r>
              <w:rPr>
                <w:rFonts w:hint="eastAsia" w:cs="宋体"/>
                <w:color w:val="auto"/>
                <w:kern w:val="2"/>
                <w:sz w:val="24"/>
                <w:szCs w:val="24"/>
                <w:highlight w:val="none"/>
              </w:rPr>
              <w:t>施工</w:t>
            </w:r>
          </w:p>
          <w:p w14:paraId="7FD99703">
            <w:pPr>
              <w:pStyle w:val="21"/>
              <w:spacing w:before="0" w:beforeAutospacing="0" w:after="0" w:afterAutospacing="0"/>
              <w:jc w:val="center"/>
              <w:rPr>
                <w:rFonts w:hint="eastAsia" w:cs="宋体"/>
                <w:color w:val="auto"/>
                <w:kern w:val="2"/>
                <w:sz w:val="24"/>
                <w:szCs w:val="24"/>
                <w:highlight w:val="none"/>
              </w:rPr>
            </w:pPr>
            <w:r>
              <w:rPr>
                <w:rFonts w:hint="eastAsia" w:cs="宋体"/>
                <w:color w:val="auto"/>
                <w:kern w:val="2"/>
                <w:sz w:val="24"/>
                <w:szCs w:val="24"/>
                <w:highlight w:val="none"/>
              </w:rPr>
              <w:t>期环</w:t>
            </w:r>
          </w:p>
          <w:p w14:paraId="51AD31C1">
            <w:pPr>
              <w:pStyle w:val="21"/>
              <w:spacing w:before="0" w:beforeAutospacing="0" w:after="0" w:afterAutospacing="0"/>
              <w:jc w:val="center"/>
              <w:rPr>
                <w:rFonts w:hint="eastAsia" w:cs="宋体"/>
                <w:color w:val="auto"/>
                <w:kern w:val="2"/>
                <w:sz w:val="24"/>
                <w:szCs w:val="24"/>
                <w:highlight w:val="none"/>
              </w:rPr>
            </w:pPr>
            <w:r>
              <w:rPr>
                <w:rFonts w:hint="eastAsia" w:cs="宋体"/>
                <w:color w:val="auto"/>
                <w:kern w:val="2"/>
                <w:sz w:val="24"/>
                <w:szCs w:val="24"/>
                <w:highlight w:val="none"/>
              </w:rPr>
              <w:t>境保</w:t>
            </w:r>
          </w:p>
          <w:p w14:paraId="7E1A05CB">
            <w:pPr>
              <w:pStyle w:val="21"/>
              <w:spacing w:before="0" w:beforeAutospacing="0" w:after="0" w:afterAutospacing="0"/>
              <w:jc w:val="center"/>
              <w:rPr>
                <w:rFonts w:hint="eastAsia" w:cs="宋体"/>
                <w:color w:val="auto"/>
                <w:kern w:val="2"/>
                <w:sz w:val="24"/>
                <w:szCs w:val="24"/>
                <w:highlight w:val="none"/>
              </w:rPr>
            </w:pPr>
            <w:r>
              <w:rPr>
                <w:rFonts w:hint="eastAsia" w:cs="宋体"/>
                <w:color w:val="auto"/>
                <w:kern w:val="2"/>
                <w:sz w:val="24"/>
                <w:szCs w:val="24"/>
                <w:highlight w:val="none"/>
              </w:rPr>
              <w:t>护措</w:t>
            </w:r>
          </w:p>
          <w:p w14:paraId="3E61290A">
            <w:pPr>
              <w:pStyle w:val="21"/>
              <w:spacing w:before="0" w:beforeAutospacing="0" w:after="0" w:afterAutospacing="0"/>
              <w:jc w:val="center"/>
              <w:rPr>
                <w:rFonts w:hint="eastAsia" w:cs="宋体"/>
                <w:bCs/>
                <w:color w:val="auto"/>
                <w:kern w:val="2"/>
                <w:sz w:val="21"/>
                <w:szCs w:val="21"/>
                <w:highlight w:val="none"/>
              </w:rPr>
            </w:pPr>
            <w:r>
              <w:rPr>
                <w:rFonts w:hint="eastAsia" w:cs="宋体"/>
                <w:color w:val="auto"/>
                <w:kern w:val="2"/>
                <w:sz w:val="24"/>
                <w:szCs w:val="24"/>
                <w:highlight w:val="none"/>
              </w:rPr>
              <w:t>施</w:t>
            </w:r>
          </w:p>
        </w:tc>
        <w:tc>
          <w:tcPr>
            <w:tcW w:w="8162" w:type="dxa"/>
            <w:noWrap w:val="0"/>
            <w:vAlign w:val="center"/>
          </w:tcPr>
          <w:p w14:paraId="0E2B2AF3">
            <w:pPr>
              <w:pStyle w:val="7"/>
              <w:spacing w:before="120" w:beforeLines="50"/>
              <w:ind w:firstLine="480"/>
              <w:rPr>
                <w:color w:val="auto"/>
                <w:highlight w:val="none"/>
              </w:rPr>
            </w:pPr>
            <w:r>
              <w:rPr>
                <w:rFonts w:hint="eastAsia"/>
                <w:color w:val="auto"/>
                <w:highlight w:val="none"/>
              </w:rPr>
              <w:t>陕西中昊永欣科技有限公司租赁陕西力拓重工机械有限公司现有空置三号厂房建设本项目，本项目施工期不涉及土方施工，仅需进行设备安装及相关配套设施搭建。</w:t>
            </w:r>
          </w:p>
          <w:p w14:paraId="17155A77">
            <w:pPr>
              <w:pStyle w:val="7"/>
              <w:ind w:firstLine="482"/>
              <w:rPr>
                <w:rFonts w:hint="eastAsia"/>
                <w:b/>
                <w:bCs/>
                <w:color w:val="auto"/>
                <w:highlight w:val="none"/>
              </w:rPr>
            </w:pPr>
            <w:r>
              <w:rPr>
                <w:rFonts w:hint="eastAsia"/>
                <w:b/>
                <w:bCs/>
                <w:color w:val="auto"/>
                <w:highlight w:val="none"/>
              </w:rPr>
              <w:t>1、施工期大气污染保护措施</w:t>
            </w:r>
          </w:p>
          <w:p w14:paraId="433A87EA">
            <w:pPr>
              <w:pStyle w:val="7"/>
              <w:ind w:firstLine="480"/>
              <w:rPr>
                <w:color w:val="auto"/>
                <w:highlight w:val="none"/>
              </w:rPr>
            </w:pPr>
            <w:r>
              <w:rPr>
                <w:rFonts w:hint="eastAsia"/>
                <w:color w:val="auto"/>
                <w:highlight w:val="none"/>
              </w:rPr>
              <w:t>施工过程中产生的废气主要为钻孔、切割、焊接等工序产生的粉尘。</w:t>
            </w:r>
          </w:p>
          <w:p w14:paraId="3491AD71">
            <w:pPr>
              <w:pStyle w:val="7"/>
              <w:ind w:firstLine="480"/>
              <w:rPr>
                <w:rFonts w:hint="eastAsia"/>
                <w:color w:val="auto"/>
                <w:highlight w:val="none"/>
              </w:rPr>
            </w:pPr>
            <w:r>
              <w:rPr>
                <w:rFonts w:hint="eastAsia"/>
                <w:color w:val="auto"/>
                <w:highlight w:val="none"/>
              </w:rPr>
              <w:t>本项目施工场地位于现有已建成的厂房内，项目施工期短，产生的扬尘经过施工现场的自然沉降和厂房的阻隔，不会对项目周边产生较大的影响。</w:t>
            </w:r>
          </w:p>
          <w:p w14:paraId="149A90AE">
            <w:pPr>
              <w:pStyle w:val="7"/>
              <w:ind w:firstLine="482"/>
              <w:rPr>
                <w:rFonts w:hint="eastAsia"/>
                <w:color w:val="auto"/>
                <w:highlight w:val="none"/>
              </w:rPr>
            </w:pPr>
            <w:r>
              <w:rPr>
                <w:rFonts w:hint="eastAsia"/>
                <w:b/>
                <w:bCs/>
                <w:color w:val="auto"/>
                <w:highlight w:val="none"/>
              </w:rPr>
              <w:t>2、施工期声环境污染保护措施</w:t>
            </w:r>
          </w:p>
          <w:p w14:paraId="3B424F6F">
            <w:pPr>
              <w:pStyle w:val="7"/>
              <w:ind w:firstLine="480"/>
              <w:rPr>
                <w:rFonts w:hint="eastAsia"/>
                <w:color w:val="auto"/>
                <w:highlight w:val="none"/>
              </w:rPr>
            </w:pPr>
            <w:r>
              <w:rPr>
                <w:rFonts w:hint="eastAsia"/>
                <w:color w:val="auto"/>
                <w:highlight w:val="none"/>
              </w:rPr>
              <w:t>装修期间噪声主要为钻孔、切割、焊接等产生的噪声。通过严格控制高噪声设备的作业时间、禁止夜间进行施工作业、尽量采取低噪声机械进行作业、加强环境管理等方法最大限度地减少噪声对环境的影响。</w:t>
            </w:r>
          </w:p>
          <w:p w14:paraId="1EA8A665">
            <w:pPr>
              <w:pStyle w:val="7"/>
              <w:ind w:firstLine="482"/>
              <w:rPr>
                <w:rFonts w:hint="eastAsia"/>
                <w:b/>
                <w:bCs/>
                <w:color w:val="auto"/>
                <w:highlight w:val="none"/>
              </w:rPr>
            </w:pPr>
            <w:r>
              <w:rPr>
                <w:rFonts w:hint="eastAsia"/>
                <w:b/>
                <w:bCs/>
                <w:color w:val="auto"/>
                <w:highlight w:val="none"/>
              </w:rPr>
              <w:t>3、施工期水污染保护措施</w:t>
            </w:r>
          </w:p>
          <w:p w14:paraId="70278544">
            <w:pPr>
              <w:pStyle w:val="7"/>
              <w:ind w:firstLine="480"/>
              <w:rPr>
                <w:rFonts w:hint="eastAsia"/>
                <w:color w:val="auto"/>
                <w:highlight w:val="none"/>
              </w:rPr>
            </w:pPr>
            <w:r>
              <w:rPr>
                <w:rFonts w:hint="eastAsia"/>
                <w:color w:val="auto"/>
                <w:highlight w:val="none"/>
              </w:rPr>
              <w:t>施工过程中产生的废水主要为施工人员排放的生活污水。</w:t>
            </w:r>
          </w:p>
          <w:p w14:paraId="2048F288">
            <w:pPr>
              <w:pStyle w:val="7"/>
              <w:ind w:firstLine="480"/>
              <w:rPr>
                <w:color w:val="auto"/>
                <w:highlight w:val="none"/>
              </w:rPr>
            </w:pPr>
            <w:r>
              <w:rPr>
                <w:rFonts w:hint="eastAsia"/>
                <w:color w:val="auto"/>
                <w:highlight w:val="none"/>
              </w:rPr>
              <w:t>本项目施工期生活污水依托现有已建成厂房配套的化粪池收集处理，不会对周边环境造成较大影响。</w:t>
            </w:r>
          </w:p>
          <w:p w14:paraId="403BCC8C">
            <w:pPr>
              <w:pStyle w:val="7"/>
              <w:ind w:firstLine="482"/>
              <w:rPr>
                <w:rFonts w:hint="eastAsia"/>
                <w:b/>
                <w:bCs/>
                <w:color w:val="auto"/>
                <w:highlight w:val="none"/>
              </w:rPr>
            </w:pPr>
            <w:r>
              <w:rPr>
                <w:rFonts w:hint="eastAsia"/>
                <w:b/>
                <w:bCs/>
                <w:color w:val="auto"/>
                <w:highlight w:val="none"/>
              </w:rPr>
              <w:t>4、固体废物污染防治措施</w:t>
            </w:r>
          </w:p>
          <w:p w14:paraId="00802C25">
            <w:pPr>
              <w:pStyle w:val="7"/>
              <w:ind w:firstLine="480"/>
              <w:rPr>
                <w:rFonts w:hint="eastAsia"/>
                <w:color w:val="auto"/>
                <w:highlight w:val="none"/>
              </w:rPr>
            </w:pPr>
            <w:r>
              <w:rPr>
                <w:rFonts w:hint="eastAsia"/>
                <w:color w:val="auto"/>
                <w:highlight w:val="none"/>
              </w:rPr>
              <w:t>本项目施工期产生的固体废物主要为建筑垃圾及施工人员的生活垃圾等。</w:t>
            </w:r>
          </w:p>
          <w:p w14:paraId="2C20B9E3">
            <w:pPr>
              <w:pStyle w:val="7"/>
              <w:ind w:firstLine="480"/>
              <w:rPr>
                <w:rFonts w:hint="eastAsia"/>
                <w:color w:val="auto"/>
                <w:highlight w:val="none"/>
              </w:rPr>
            </w:pPr>
            <w:r>
              <w:rPr>
                <w:rFonts w:hint="eastAsia"/>
                <w:color w:val="auto"/>
                <w:highlight w:val="none"/>
              </w:rPr>
              <w:t>施工期建筑垃圾收集后统一堆放于指定地点，由施工方统一清运；生活垃圾依托环卫部门清运。</w:t>
            </w:r>
          </w:p>
          <w:p w14:paraId="1E59CDE7">
            <w:pPr>
              <w:pStyle w:val="7"/>
              <w:ind w:firstLine="480"/>
              <w:rPr>
                <w:rFonts w:hint="eastAsia"/>
                <w:color w:val="auto"/>
                <w:highlight w:val="none"/>
                <w:lang w:eastAsia="zh-CN"/>
              </w:rPr>
            </w:pPr>
            <w:r>
              <w:rPr>
                <w:rFonts w:hint="eastAsia"/>
                <w:color w:val="auto"/>
                <w:highlight w:val="none"/>
              </w:rPr>
              <w:t>本项目施工期时间较短，施工期结束后，产生的少量污染物随之消散，对外环境无明显影响</w:t>
            </w:r>
            <w:r>
              <w:rPr>
                <w:rFonts w:hint="eastAsia"/>
                <w:color w:val="auto"/>
                <w:highlight w:val="none"/>
                <w:lang w:eastAsia="zh-CN"/>
              </w:rPr>
              <w:t>。</w:t>
            </w:r>
          </w:p>
          <w:p w14:paraId="5D2F4A86">
            <w:pPr>
              <w:pStyle w:val="7"/>
              <w:ind w:left="0" w:leftChars="0" w:firstLine="0" w:firstLineChars="0"/>
              <w:rPr>
                <w:rFonts w:ascii="宋体" w:hAnsi="宋体" w:cs="宋体"/>
                <w:bCs/>
                <w:color w:val="auto"/>
                <w:spacing w:val="-10"/>
                <w:szCs w:val="21"/>
                <w:highlight w:val="none"/>
              </w:rPr>
            </w:pPr>
          </w:p>
          <w:p w14:paraId="1595EC8F">
            <w:pPr>
              <w:pStyle w:val="7"/>
              <w:ind w:left="0" w:leftChars="0" w:firstLine="0" w:firstLineChars="0"/>
              <w:rPr>
                <w:rFonts w:ascii="宋体" w:hAnsi="宋体" w:cs="宋体"/>
                <w:bCs/>
                <w:color w:val="auto"/>
                <w:spacing w:val="-10"/>
                <w:szCs w:val="21"/>
                <w:highlight w:val="none"/>
              </w:rPr>
            </w:pPr>
          </w:p>
          <w:p w14:paraId="3D9DA7A4">
            <w:pPr>
              <w:pStyle w:val="13"/>
              <w:widowControl w:val="0"/>
              <w:numPr>
                <w:ilvl w:val="0"/>
                <w:numId w:val="0"/>
              </w:numPr>
              <w:adjustRightInd w:val="0"/>
              <w:snapToGrid w:val="0"/>
              <w:jc w:val="both"/>
              <w:rPr>
                <w:rFonts w:ascii="宋体" w:hAnsi="宋体" w:cs="宋体"/>
                <w:bCs/>
                <w:color w:val="auto"/>
                <w:spacing w:val="-10"/>
                <w:szCs w:val="21"/>
                <w:highlight w:val="none"/>
              </w:rPr>
            </w:pPr>
          </w:p>
        </w:tc>
      </w:tr>
    </w:tbl>
    <w:p w14:paraId="19030BBC">
      <w:pPr>
        <w:pStyle w:val="7"/>
        <w:ind w:firstLine="562"/>
        <w:rPr>
          <w:rFonts w:hint="eastAsia" w:ascii="宋体" w:cs="宋体"/>
          <w:b/>
          <w:color w:val="auto"/>
          <w:sz w:val="28"/>
          <w:szCs w:val="28"/>
          <w:highlight w:val="none"/>
        </w:rPr>
      </w:pPr>
    </w:p>
    <w:p w14:paraId="04DE2D32">
      <w:pPr>
        <w:pStyle w:val="7"/>
        <w:ind w:firstLine="562"/>
        <w:rPr>
          <w:rFonts w:hint="eastAsia" w:ascii="宋体" w:cs="宋体"/>
          <w:b/>
          <w:color w:val="auto"/>
          <w:sz w:val="28"/>
          <w:szCs w:val="28"/>
          <w:highlight w:val="none"/>
        </w:rPr>
        <w:sectPr>
          <w:pgSz w:w="11907" w:h="16840"/>
          <w:pgMar w:top="1701" w:right="1531" w:bottom="2127" w:left="1531" w:header="851" w:footer="851" w:gutter="0"/>
          <w:cols w:space="720" w:num="1"/>
          <w:docGrid w:linePitch="312" w:charSpace="0"/>
        </w:sectPr>
      </w:pPr>
    </w:p>
    <w:tbl>
      <w:tblPr>
        <w:tblStyle w:val="24"/>
        <w:tblW w:w="50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43"/>
      </w:tblGrid>
      <w:tr w14:paraId="62A29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48" w:type="pct"/>
            <w:noWrap w:val="0"/>
            <w:tcMar>
              <w:left w:w="28" w:type="dxa"/>
              <w:right w:w="28" w:type="dxa"/>
            </w:tcMar>
            <w:vAlign w:val="center"/>
          </w:tcPr>
          <w:p w14:paraId="11F3AC0A">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运营</w:t>
            </w:r>
          </w:p>
          <w:p w14:paraId="16FA02F1">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期环</w:t>
            </w:r>
          </w:p>
          <w:p w14:paraId="3FB30CCD">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境影</w:t>
            </w:r>
          </w:p>
          <w:p w14:paraId="431194DC">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响和</w:t>
            </w:r>
          </w:p>
          <w:p w14:paraId="65EBBA59">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保护</w:t>
            </w:r>
          </w:p>
          <w:p w14:paraId="28C24C57">
            <w:pPr>
              <w:jc w:val="center"/>
              <w:rPr>
                <w:rFonts w:ascii="宋体" w:hAnsi="宋体" w:cs="宋体"/>
                <w:bCs/>
                <w:color w:val="auto"/>
                <w:szCs w:val="21"/>
                <w:highlight w:val="none"/>
              </w:rPr>
            </w:pPr>
            <w:r>
              <w:rPr>
                <w:rFonts w:hint="eastAsia" w:ascii="宋体" w:hAnsi="宋体" w:cs="宋体"/>
                <w:bCs/>
                <w:color w:val="auto"/>
                <w:sz w:val="24"/>
                <w:szCs w:val="24"/>
                <w:highlight w:val="none"/>
              </w:rPr>
              <w:t>措施</w:t>
            </w:r>
          </w:p>
        </w:tc>
        <w:tc>
          <w:tcPr>
            <w:tcW w:w="4751" w:type="pct"/>
            <w:noWrap w:val="0"/>
            <w:vAlign w:val="center"/>
          </w:tcPr>
          <w:p w14:paraId="2BF1CE64">
            <w:pPr>
              <w:pStyle w:val="7"/>
              <w:ind w:firstLine="482"/>
              <w:rPr>
                <w:rFonts w:hint="eastAsia"/>
                <w:b/>
                <w:bCs/>
                <w:color w:val="auto"/>
                <w:highlight w:val="none"/>
              </w:rPr>
            </w:pPr>
            <w:r>
              <w:rPr>
                <w:rFonts w:hint="eastAsia"/>
                <w:b/>
                <w:bCs/>
                <w:color w:val="auto"/>
                <w:highlight w:val="none"/>
              </w:rPr>
              <w:t>一、废气</w:t>
            </w:r>
          </w:p>
          <w:p w14:paraId="2F2AB0CF">
            <w:pPr>
              <w:pStyle w:val="7"/>
              <w:ind w:firstLine="482"/>
              <w:rPr>
                <w:rFonts w:hint="eastAsia"/>
                <w:b/>
                <w:bCs/>
                <w:color w:val="auto"/>
                <w:highlight w:val="none"/>
              </w:rPr>
            </w:pPr>
            <w:r>
              <w:rPr>
                <w:rFonts w:hint="eastAsia"/>
                <w:b/>
                <w:bCs/>
                <w:color w:val="auto"/>
                <w:highlight w:val="none"/>
              </w:rPr>
              <w:t>1、源强核算</w:t>
            </w:r>
          </w:p>
          <w:p w14:paraId="0D3557EC">
            <w:pPr>
              <w:pStyle w:val="42"/>
              <w:spacing w:line="240" w:lineRule="auto"/>
              <w:ind w:firstLine="0" w:firstLineChars="0"/>
              <w:jc w:val="center"/>
              <w:rPr>
                <w:rFonts w:hAnsi="Times New Roman" w:cs="Times New Roman"/>
                <w:b/>
                <w:bCs/>
                <w:color w:val="auto"/>
                <w:kern w:val="21"/>
                <w:highlight w:val="none"/>
              </w:rPr>
            </w:pPr>
            <w:r>
              <w:rPr>
                <w:rFonts w:hAnsi="Times New Roman" w:cs="Times New Roman"/>
                <w:b/>
                <w:bCs/>
                <w:color w:val="auto"/>
                <w:kern w:val="21"/>
                <w:highlight w:val="none"/>
              </w:rPr>
              <w:t>表4-</w:t>
            </w:r>
            <w:r>
              <w:rPr>
                <w:rFonts w:hint="eastAsia" w:hAnsi="Times New Roman" w:cs="Times New Roman"/>
                <w:b/>
                <w:bCs/>
                <w:color w:val="auto"/>
                <w:kern w:val="21"/>
                <w:highlight w:val="none"/>
              </w:rPr>
              <w:t>1  本</w:t>
            </w:r>
            <w:r>
              <w:rPr>
                <w:rFonts w:hAnsi="Times New Roman" w:cs="Times New Roman"/>
                <w:b/>
                <w:bCs/>
                <w:color w:val="auto"/>
                <w:kern w:val="21"/>
                <w:highlight w:val="none"/>
              </w:rPr>
              <w:t>项目废气产排情况一览表</w:t>
            </w:r>
          </w:p>
          <w:tbl>
            <w:tblPr>
              <w:tblStyle w:val="24"/>
              <w:tblW w:w="1250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91"/>
              <w:gridCol w:w="495"/>
              <w:gridCol w:w="716"/>
              <w:gridCol w:w="888"/>
              <w:gridCol w:w="1085"/>
              <w:gridCol w:w="1154"/>
              <w:gridCol w:w="933"/>
              <w:gridCol w:w="589"/>
              <w:gridCol w:w="761"/>
              <w:gridCol w:w="716"/>
              <w:gridCol w:w="830"/>
              <w:gridCol w:w="826"/>
              <w:gridCol w:w="692"/>
              <w:gridCol w:w="669"/>
              <w:gridCol w:w="964"/>
            </w:tblGrid>
            <w:tr w14:paraId="718B18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476" w:type="pct"/>
                  <w:vMerge w:val="restart"/>
                  <w:noWrap w:val="0"/>
                  <w:vAlign w:val="center"/>
                </w:tcPr>
                <w:p w14:paraId="334962C9">
                  <w:pPr>
                    <w:jc w:val="center"/>
                    <w:rPr>
                      <w:b/>
                      <w:bCs/>
                      <w:color w:val="auto"/>
                      <w:szCs w:val="21"/>
                      <w:highlight w:val="none"/>
                    </w:rPr>
                  </w:pPr>
                  <w:r>
                    <w:rPr>
                      <w:rFonts w:hint="eastAsia"/>
                      <w:b/>
                      <w:bCs/>
                      <w:color w:val="auto"/>
                      <w:szCs w:val="21"/>
                      <w:highlight w:val="none"/>
                    </w:rPr>
                    <w:t>污染源</w:t>
                  </w:r>
                </w:p>
              </w:tc>
              <w:tc>
                <w:tcPr>
                  <w:tcW w:w="197" w:type="pct"/>
                  <w:vMerge w:val="restart"/>
                  <w:noWrap w:val="0"/>
                  <w:vAlign w:val="center"/>
                </w:tcPr>
                <w:p w14:paraId="3936E241">
                  <w:pPr>
                    <w:jc w:val="center"/>
                    <w:rPr>
                      <w:b/>
                      <w:bCs/>
                      <w:color w:val="auto"/>
                      <w:szCs w:val="21"/>
                      <w:highlight w:val="none"/>
                    </w:rPr>
                  </w:pPr>
                  <w:r>
                    <w:rPr>
                      <w:b/>
                      <w:bCs/>
                      <w:color w:val="auto"/>
                      <w:szCs w:val="21"/>
                      <w:highlight w:val="none"/>
                    </w:rPr>
                    <w:t>污染物</w:t>
                  </w:r>
                </w:p>
              </w:tc>
              <w:tc>
                <w:tcPr>
                  <w:tcW w:w="1536" w:type="pct"/>
                  <w:gridSpan w:val="4"/>
                  <w:noWrap w:val="0"/>
                  <w:vAlign w:val="center"/>
                </w:tcPr>
                <w:p w14:paraId="021F7B32">
                  <w:pPr>
                    <w:jc w:val="center"/>
                    <w:rPr>
                      <w:b/>
                      <w:bCs/>
                      <w:color w:val="auto"/>
                      <w:szCs w:val="21"/>
                      <w:highlight w:val="none"/>
                    </w:rPr>
                  </w:pPr>
                  <w:r>
                    <w:rPr>
                      <w:b/>
                      <w:bCs/>
                      <w:color w:val="auto"/>
                      <w:szCs w:val="21"/>
                      <w:highlight w:val="none"/>
                    </w:rPr>
                    <w:t>污染物产生</w:t>
                  </w:r>
                </w:p>
              </w:tc>
              <w:tc>
                <w:tcPr>
                  <w:tcW w:w="1198" w:type="pct"/>
                  <w:gridSpan w:val="4"/>
                  <w:noWrap w:val="0"/>
                  <w:vAlign w:val="center"/>
                </w:tcPr>
                <w:p w14:paraId="6B15DBB4">
                  <w:pPr>
                    <w:jc w:val="center"/>
                    <w:rPr>
                      <w:b/>
                      <w:bCs/>
                      <w:color w:val="auto"/>
                      <w:szCs w:val="21"/>
                      <w:highlight w:val="none"/>
                    </w:rPr>
                  </w:pPr>
                  <w:r>
                    <w:rPr>
                      <w:b/>
                      <w:bCs/>
                      <w:color w:val="auto"/>
                      <w:szCs w:val="21"/>
                      <w:highlight w:val="none"/>
                    </w:rPr>
                    <w:t>治理措施</w:t>
                  </w:r>
                </w:p>
              </w:tc>
              <w:tc>
                <w:tcPr>
                  <w:tcW w:w="938" w:type="pct"/>
                  <w:gridSpan w:val="3"/>
                  <w:noWrap w:val="0"/>
                  <w:vAlign w:val="center"/>
                </w:tcPr>
                <w:p w14:paraId="7BC86CDF">
                  <w:pPr>
                    <w:jc w:val="center"/>
                    <w:rPr>
                      <w:b/>
                      <w:bCs/>
                      <w:color w:val="auto"/>
                      <w:szCs w:val="21"/>
                      <w:highlight w:val="none"/>
                    </w:rPr>
                  </w:pPr>
                  <w:r>
                    <w:rPr>
                      <w:b/>
                      <w:bCs/>
                      <w:color w:val="auto"/>
                      <w:szCs w:val="21"/>
                      <w:highlight w:val="none"/>
                    </w:rPr>
                    <w:t>污染物排放</w:t>
                  </w:r>
                </w:p>
              </w:tc>
              <w:tc>
                <w:tcPr>
                  <w:tcW w:w="267" w:type="pct"/>
                  <w:vMerge w:val="restart"/>
                  <w:noWrap w:val="0"/>
                  <w:vAlign w:val="center"/>
                </w:tcPr>
                <w:p w14:paraId="37998E74">
                  <w:pPr>
                    <w:jc w:val="center"/>
                    <w:rPr>
                      <w:b/>
                      <w:bCs/>
                      <w:color w:val="auto"/>
                      <w:szCs w:val="21"/>
                      <w:highlight w:val="none"/>
                    </w:rPr>
                  </w:pPr>
                  <w:r>
                    <w:rPr>
                      <w:b/>
                      <w:bCs/>
                      <w:color w:val="auto"/>
                      <w:szCs w:val="21"/>
                      <w:highlight w:val="none"/>
                    </w:rPr>
                    <w:t>排放时间</w:t>
                  </w:r>
                </w:p>
              </w:tc>
              <w:tc>
                <w:tcPr>
                  <w:tcW w:w="385" w:type="pct"/>
                  <w:vMerge w:val="restart"/>
                  <w:noWrap w:val="0"/>
                  <w:vAlign w:val="center"/>
                </w:tcPr>
                <w:p w14:paraId="6DD59061">
                  <w:pPr>
                    <w:jc w:val="center"/>
                    <w:rPr>
                      <w:b/>
                      <w:bCs/>
                      <w:color w:val="auto"/>
                      <w:szCs w:val="21"/>
                      <w:highlight w:val="none"/>
                    </w:rPr>
                  </w:pPr>
                  <w:r>
                    <w:rPr>
                      <w:b/>
                      <w:bCs/>
                      <w:color w:val="auto"/>
                      <w:szCs w:val="21"/>
                      <w:highlight w:val="none"/>
                    </w:rPr>
                    <w:t>排放标准限值</w:t>
                  </w:r>
                </w:p>
              </w:tc>
            </w:tr>
            <w:tr w14:paraId="2A60DA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476" w:type="pct"/>
                  <w:vMerge w:val="continue"/>
                  <w:noWrap w:val="0"/>
                  <w:vAlign w:val="center"/>
                </w:tcPr>
                <w:p w14:paraId="5592AC9A">
                  <w:pPr>
                    <w:jc w:val="center"/>
                    <w:rPr>
                      <w:b/>
                      <w:bCs/>
                      <w:color w:val="auto"/>
                      <w:szCs w:val="21"/>
                      <w:highlight w:val="none"/>
                    </w:rPr>
                  </w:pPr>
                </w:p>
              </w:tc>
              <w:tc>
                <w:tcPr>
                  <w:tcW w:w="197" w:type="pct"/>
                  <w:vMerge w:val="continue"/>
                  <w:noWrap w:val="0"/>
                  <w:vAlign w:val="center"/>
                </w:tcPr>
                <w:p w14:paraId="632391BA">
                  <w:pPr>
                    <w:jc w:val="center"/>
                    <w:rPr>
                      <w:b/>
                      <w:bCs/>
                      <w:color w:val="auto"/>
                      <w:szCs w:val="21"/>
                      <w:highlight w:val="none"/>
                    </w:rPr>
                  </w:pPr>
                </w:p>
              </w:tc>
              <w:tc>
                <w:tcPr>
                  <w:tcW w:w="286" w:type="pct"/>
                  <w:vMerge w:val="restart"/>
                  <w:noWrap w:val="0"/>
                  <w:vAlign w:val="center"/>
                </w:tcPr>
                <w:p w14:paraId="345405B5">
                  <w:pPr>
                    <w:jc w:val="center"/>
                    <w:rPr>
                      <w:b/>
                      <w:bCs/>
                      <w:color w:val="auto"/>
                      <w:szCs w:val="21"/>
                      <w:highlight w:val="none"/>
                    </w:rPr>
                  </w:pPr>
                  <w:r>
                    <w:rPr>
                      <w:b/>
                      <w:bCs/>
                      <w:color w:val="auto"/>
                      <w:szCs w:val="21"/>
                      <w:highlight w:val="none"/>
                    </w:rPr>
                    <w:t>排放方式</w:t>
                  </w:r>
                </w:p>
              </w:tc>
              <w:tc>
                <w:tcPr>
                  <w:tcW w:w="354" w:type="pct"/>
                  <w:noWrap w:val="0"/>
                  <w:vAlign w:val="center"/>
                </w:tcPr>
                <w:p w14:paraId="075AE2CC">
                  <w:pPr>
                    <w:jc w:val="center"/>
                    <w:rPr>
                      <w:b/>
                      <w:bCs/>
                      <w:color w:val="auto"/>
                      <w:szCs w:val="21"/>
                      <w:highlight w:val="none"/>
                    </w:rPr>
                  </w:pPr>
                  <w:r>
                    <w:rPr>
                      <w:b/>
                      <w:bCs/>
                      <w:color w:val="auto"/>
                      <w:szCs w:val="21"/>
                      <w:highlight w:val="none"/>
                    </w:rPr>
                    <w:t>产生浓度</w:t>
                  </w:r>
                </w:p>
              </w:tc>
              <w:tc>
                <w:tcPr>
                  <w:tcW w:w="433" w:type="pct"/>
                  <w:noWrap w:val="0"/>
                  <w:vAlign w:val="center"/>
                </w:tcPr>
                <w:p w14:paraId="3453BE57">
                  <w:pPr>
                    <w:jc w:val="center"/>
                    <w:rPr>
                      <w:b/>
                      <w:bCs/>
                      <w:color w:val="auto"/>
                      <w:szCs w:val="21"/>
                      <w:highlight w:val="none"/>
                    </w:rPr>
                  </w:pPr>
                  <w:r>
                    <w:rPr>
                      <w:b/>
                      <w:bCs/>
                      <w:color w:val="auto"/>
                      <w:szCs w:val="21"/>
                      <w:highlight w:val="none"/>
                    </w:rPr>
                    <w:t>产生速率</w:t>
                  </w:r>
                </w:p>
              </w:tc>
              <w:tc>
                <w:tcPr>
                  <w:tcW w:w="461" w:type="pct"/>
                  <w:noWrap w:val="0"/>
                  <w:vAlign w:val="center"/>
                </w:tcPr>
                <w:p w14:paraId="26B3F467">
                  <w:pPr>
                    <w:jc w:val="center"/>
                    <w:rPr>
                      <w:b/>
                      <w:bCs/>
                      <w:color w:val="auto"/>
                      <w:szCs w:val="21"/>
                      <w:highlight w:val="none"/>
                    </w:rPr>
                  </w:pPr>
                  <w:r>
                    <w:rPr>
                      <w:b/>
                      <w:bCs/>
                      <w:color w:val="auto"/>
                      <w:szCs w:val="21"/>
                      <w:highlight w:val="none"/>
                    </w:rPr>
                    <w:t>产生量</w:t>
                  </w:r>
                </w:p>
              </w:tc>
              <w:tc>
                <w:tcPr>
                  <w:tcW w:w="372" w:type="pct"/>
                  <w:vMerge w:val="restart"/>
                  <w:noWrap w:val="0"/>
                  <w:vAlign w:val="center"/>
                </w:tcPr>
                <w:p w14:paraId="7AE07677">
                  <w:pPr>
                    <w:jc w:val="center"/>
                    <w:rPr>
                      <w:b/>
                      <w:bCs/>
                      <w:color w:val="auto"/>
                      <w:szCs w:val="21"/>
                      <w:highlight w:val="none"/>
                    </w:rPr>
                  </w:pPr>
                  <w:r>
                    <w:rPr>
                      <w:b/>
                      <w:bCs/>
                      <w:color w:val="auto"/>
                      <w:szCs w:val="21"/>
                      <w:highlight w:val="none"/>
                    </w:rPr>
                    <w:t>工艺</w:t>
                  </w:r>
                </w:p>
              </w:tc>
              <w:tc>
                <w:tcPr>
                  <w:tcW w:w="235" w:type="pct"/>
                  <w:noWrap w:val="0"/>
                  <w:vAlign w:val="center"/>
                </w:tcPr>
                <w:p w14:paraId="53452B8B">
                  <w:pPr>
                    <w:jc w:val="center"/>
                    <w:rPr>
                      <w:b/>
                      <w:bCs/>
                      <w:color w:val="auto"/>
                      <w:szCs w:val="21"/>
                      <w:highlight w:val="none"/>
                    </w:rPr>
                  </w:pPr>
                  <w:r>
                    <w:rPr>
                      <w:rFonts w:hint="eastAsia"/>
                      <w:b/>
                      <w:bCs/>
                      <w:color w:val="auto"/>
                      <w:szCs w:val="21"/>
                      <w:highlight w:val="none"/>
                      <w:lang w:val="en-US" w:eastAsia="zh-CN"/>
                    </w:rPr>
                    <w:t>收集</w:t>
                  </w:r>
                  <w:r>
                    <w:rPr>
                      <w:b/>
                      <w:bCs/>
                      <w:color w:val="auto"/>
                      <w:szCs w:val="21"/>
                      <w:highlight w:val="none"/>
                    </w:rPr>
                    <w:t>效率</w:t>
                  </w:r>
                </w:p>
              </w:tc>
              <w:tc>
                <w:tcPr>
                  <w:tcW w:w="304" w:type="pct"/>
                  <w:noWrap w:val="0"/>
                  <w:vAlign w:val="center"/>
                </w:tcPr>
                <w:p w14:paraId="6991B4B8">
                  <w:pPr>
                    <w:jc w:val="center"/>
                    <w:rPr>
                      <w:b/>
                      <w:bCs/>
                      <w:color w:val="auto"/>
                      <w:szCs w:val="21"/>
                      <w:highlight w:val="none"/>
                    </w:rPr>
                  </w:pPr>
                  <w:r>
                    <w:rPr>
                      <w:rFonts w:hint="eastAsia"/>
                      <w:b/>
                      <w:bCs/>
                      <w:color w:val="auto"/>
                      <w:szCs w:val="21"/>
                      <w:highlight w:val="none"/>
                    </w:rPr>
                    <w:t>治理工艺去除率</w:t>
                  </w:r>
                </w:p>
              </w:tc>
              <w:tc>
                <w:tcPr>
                  <w:tcW w:w="286" w:type="pct"/>
                  <w:vMerge w:val="restart"/>
                  <w:noWrap w:val="0"/>
                  <w:vAlign w:val="center"/>
                </w:tcPr>
                <w:p w14:paraId="4472F467">
                  <w:pPr>
                    <w:jc w:val="center"/>
                    <w:rPr>
                      <w:b/>
                      <w:bCs/>
                      <w:color w:val="auto"/>
                      <w:szCs w:val="21"/>
                      <w:highlight w:val="none"/>
                    </w:rPr>
                  </w:pPr>
                  <w:r>
                    <w:rPr>
                      <w:b/>
                      <w:bCs/>
                      <w:color w:val="auto"/>
                      <w:szCs w:val="21"/>
                      <w:highlight w:val="none"/>
                    </w:rPr>
                    <w:t>是否为可行技术</w:t>
                  </w:r>
                </w:p>
              </w:tc>
              <w:tc>
                <w:tcPr>
                  <w:tcW w:w="331" w:type="pct"/>
                  <w:noWrap w:val="0"/>
                  <w:vAlign w:val="center"/>
                </w:tcPr>
                <w:p w14:paraId="57D5B8CF">
                  <w:pPr>
                    <w:jc w:val="center"/>
                    <w:rPr>
                      <w:b/>
                      <w:bCs/>
                      <w:color w:val="auto"/>
                      <w:szCs w:val="21"/>
                      <w:highlight w:val="none"/>
                    </w:rPr>
                  </w:pPr>
                  <w:r>
                    <w:rPr>
                      <w:b/>
                      <w:bCs/>
                      <w:color w:val="auto"/>
                      <w:szCs w:val="21"/>
                      <w:highlight w:val="none"/>
                    </w:rPr>
                    <w:t>排放浓度</w:t>
                  </w:r>
                </w:p>
              </w:tc>
              <w:tc>
                <w:tcPr>
                  <w:tcW w:w="330" w:type="pct"/>
                  <w:noWrap w:val="0"/>
                  <w:vAlign w:val="center"/>
                </w:tcPr>
                <w:p w14:paraId="18EAD950">
                  <w:pPr>
                    <w:jc w:val="center"/>
                    <w:rPr>
                      <w:b/>
                      <w:bCs/>
                      <w:color w:val="auto"/>
                      <w:szCs w:val="21"/>
                      <w:highlight w:val="none"/>
                    </w:rPr>
                  </w:pPr>
                  <w:r>
                    <w:rPr>
                      <w:b/>
                      <w:bCs/>
                      <w:color w:val="auto"/>
                      <w:szCs w:val="21"/>
                      <w:highlight w:val="none"/>
                    </w:rPr>
                    <w:t>排放速率</w:t>
                  </w:r>
                </w:p>
              </w:tc>
              <w:tc>
                <w:tcPr>
                  <w:tcW w:w="276" w:type="pct"/>
                  <w:noWrap w:val="0"/>
                  <w:vAlign w:val="center"/>
                </w:tcPr>
                <w:p w14:paraId="1D1DAEFE">
                  <w:pPr>
                    <w:jc w:val="center"/>
                    <w:rPr>
                      <w:b/>
                      <w:bCs/>
                      <w:color w:val="auto"/>
                      <w:szCs w:val="21"/>
                      <w:highlight w:val="none"/>
                    </w:rPr>
                  </w:pPr>
                  <w:r>
                    <w:rPr>
                      <w:b/>
                      <w:bCs/>
                      <w:color w:val="auto"/>
                      <w:szCs w:val="21"/>
                      <w:highlight w:val="none"/>
                    </w:rPr>
                    <w:t>排放量</w:t>
                  </w:r>
                </w:p>
              </w:tc>
              <w:tc>
                <w:tcPr>
                  <w:tcW w:w="267" w:type="pct"/>
                  <w:vMerge w:val="continue"/>
                  <w:noWrap w:val="0"/>
                  <w:vAlign w:val="center"/>
                </w:tcPr>
                <w:p w14:paraId="719299D5">
                  <w:pPr>
                    <w:jc w:val="center"/>
                    <w:rPr>
                      <w:b/>
                      <w:bCs/>
                      <w:color w:val="auto"/>
                      <w:szCs w:val="21"/>
                      <w:highlight w:val="none"/>
                    </w:rPr>
                  </w:pPr>
                </w:p>
              </w:tc>
              <w:tc>
                <w:tcPr>
                  <w:tcW w:w="385" w:type="pct"/>
                  <w:vMerge w:val="continue"/>
                  <w:noWrap w:val="0"/>
                  <w:vAlign w:val="center"/>
                </w:tcPr>
                <w:p w14:paraId="68B95D38">
                  <w:pPr>
                    <w:jc w:val="center"/>
                    <w:rPr>
                      <w:b/>
                      <w:bCs/>
                      <w:color w:val="auto"/>
                      <w:szCs w:val="21"/>
                      <w:highlight w:val="none"/>
                    </w:rPr>
                  </w:pPr>
                </w:p>
              </w:tc>
            </w:tr>
            <w:tr w14:paraId="6F1648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749" w:hRule="atLeast"/>
                <w:jc w:val="center"/>
              </w:trPr>
              <w:tc>
                <w:tcPr>
                  <w:tcW w:w="476" w:type="pct"/>
                  <w:vMerge w:val="continue"/>
                  <w:noWrap w:val="0"/>
                  <w:vAlign w:val="center"/>
                </w:tcPr>
                <w:p w14:paraId="1333E95A">
                  <w:pPr>
                    <w:jc w:val="center"/>
                    <w:rPr>
                      <w:b/>
                      <w:bCs/>
                      <w:color w:val="auto"/>
                      <w:szCs w:val="21"/>
                      <w:highlight w:val="none"/>
                    </w:rPr>
                  </w:pPr>
                </w:p>
              </w:tc>
              <w:tc>
                <w:tcPr>
                  <w:tcW w:w="197" w:type="pct"/>
                  <w:vMerge w:val="continue"/>
                  <w:noWrap w:val="0"/>
                  <w:vAlign w:val="center"/>
                </w:tcPr>
                <w:p w14:paraId="6106E1A6">
                  <w:pPr>
                    <w:jc w:val="center"/>
                    <w:rPr>
                      <w:b/>
                      <w:bCs/>
                      <w:color w:val="auto"/>
                      <w:szCs w:val="21"/>
                      <w:highlight w:val="none"/>
                    </w:rPr>
                  </w:pPr>
                </w:p>
              </w:tc>
              <w:tc>
                <w:tcPr>
                  <w:tcW w:w="286" w:type="pct"/>
                  <w:vMerge w:val="continue"/>
                  <w:noWrap w:val="0"/>
                  <w:vAlign w:val="center"/>
                </w:tcPr>
                <w:p w14:paraId="0BF42BC6">
                  <w:pPr>
                    <w:jc w:val="center"/>
                    <w:rPr>
                      <w:b/>
                      <w:bCs/>
                      <w:color w:val="auto"/>
                      <w:szCs w:val="21"/>
                      <w:highlight w:val="none"/>
                    </w:rPr>
                  </w:pPr>
                </w:p>
              </w:tc>
              <w:tc>
                <w:tcPr>
                  <w:tcW w:w="354" w:type="pct"/>
                  <w:noWrap w:val="0"/>
                  <w:vAlign w:val="center"/>
                </w:tcPr>
                <w:p w14:paraId="063B8F30">
                  <w:pPr>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433" w:type="pct"/>
                  <w:noWrap w:val="0"/>
                  <w:vAlign w:val="center"/>
                </w:tcPr>
                <w:p w14:paraId="7CC0BA75">
                  <w:pPr>
                    <w:jc w:val="center"/>
                    <w:rPr>
                      <w:b/>
                      <w:bCs/>
                      <w:color w:val="auto"/>
                      <w:szCs w:val="21"/>
                      <w:highlight w:val="none"/>
                    </w:rPr>
                  </w:pPr>
                  <w:r>
                    <w:rPr>
                      <w:b/>
                      <w:bCs/>
                      <w:color w:val="auto"/>
                      <w:szCs w:val="21"/>
                      <w:highlight w:val="none"/>
                    </w:rPr>
                    <w:t>kg/h</w:t>
                  </w:r>
                </w:p>
              </w:tc>
              <w:tc>
                <w:tcPr>
                  <w:tcW w:w="461" w:type="pct"/>
                  <w:noWrap w:val="0"/>
                  <w:vAlign w:val="center"/>
                </w:tcPr>
                <w:p w14:paraId="40944EC9">
                  <w:pPr>
                    <w:jc w:val="center"/>
                    <w:rPr>
                      <w:b/>
                      <w:bCs/>
                      <w:color w:val="auto"/>
                      <w:szCs w:val="21"/>
                      <w:highlight w:val="none"/>
                    </w:rPr>
                  </w:pPr>
                  <w:r>
                    <w:rPr>
                      <w:b/>
                      <w:bCs/>
                      <w:color w:val="auto"/>
                      <w:szCs w:val="21"/>
                      <w:highlight w:val="none"/>
                    </w:rPr>
                    <w:t>t/a</w:t>
                  </w:r>
                </w:p>
              </w:tc>
              <w:tc>
                <w:tcPr>
                  <w:tcW w:w="372" w:type="pct"/>
                  <w:vMerge w:val="continue"/>
                  <w:noWrap w:val="0"/>
                  <w:vAlign w:val="center"/>
                </w:tcPr>
                <w:p w14:paraId="7B469D42">
                  <w:pPr>
                    <w:jc w:val="center"/>
                    <w:rPr>
                      <w:b/>
                      <w:bCs/>
                      <w:color w:val="auto"/>
                      <w:szCs w:val="21"/>
                      <w:highlight w:val="none"/>
                    </w:rPr>
                  </w:pPr>
                </w:p>
              </w:tc>
              <w:tc>
                <w:tcPr>
                  <w:tcW w:w="235" w:type="pct"/>
                  <w:noWrap w:val="0"/>
                  <w:vAlign w:val="center"/>
                </w:tcPr>
                <w:p w14:paraId="177AF8FC">
                  <w:pPr>
                    <w:jc w:val="center"/>
                    <w:rPr>
                      <w:b/>
                      <w:bCs/>
                      <w:color w:val="auto"/>
                      <w:szCs w:val="21"/>
                      <w:highlight w:val="none"/>
                    </w:rPr>
                  </w:pPr>
                  <w:r>
                    <w:rPr>
                      <w:b/>
                      <w:bCs/>
                      <w:color w:val="auto"/>
                      <w:szCs w:val="21"/>
                      <w:highlight w:val="none"/>
                    </w:rPr>
                    <w:t>%</w:t>
                  </w:r>
                </w:p>
              </w:tc>
              <w:tc>
                <w:tcPr>
                  <w:tcW w:w="304" w:type="pct"/>
                  <w:noWrap w:val="0"/>
                  <w:vAlign w:val="center"/>
                </w:tcPr>
                <w:p w14:paraId="462C1B75">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w:t>
                  </w:r>
                </w:p>
              </w:tc>
              <w:tc>
                <w:tcPr>
                  <w:tcW w:w="286" w:type="pct"/>
                  <w:vMerge w:val="continue"/>
                  <w:noWrap w:val="0"/>
                  <w:vAlign w:val="center"/>
                </w:tcPr>
                <w:p w14:paraId="35B7FDF0">
                  <w:pPr>
                    <w:jc w:val="center"/>
                    <w:rPr>
                      <w:b/>
                      <w:bCs/>
                      <w:color w:val="auto"/>
                      <w:szCs w:val="21"/>
                      <w:highlight w:val="none"/>
                    </w:rPr>
                  </w:pPr>
                </w:p>
              </w:tc>
              <w:tc>
                <w:tcPr>
                  <w:tcW w:w="331" w:type="pct"/>
                  <w:noWrap w:val="0"/>
                  <w:vAlign w:val="center"/>
                </w:tcPr>
                <w:p w14:paraId="5AAF93F2">
                  <w:pPr>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330" w:type="pct"/>
                  <w:noWrap w:val="0"/>
                  <w:vAlign w:val="center"/>
                </w:tcPr>
                <w:p w14:paraId="28BEA972">
                  <w:pPr>
                    <w:jc w:val="center"/>
                    <w:rPr>
                      <w:b/>
                      <w:bCs/>
                      <w:color w:val="auto"/>
                      <w:szCs w:val="21"/>
                      <w:highlight w:val="none"/>
                    </w:rPr>
                  </w:pPr>
                  <w:r>
                    <w:rPr>
                      <w:b/>
                      <w:bCs/>
                      <w:color w:val="auto"/>
                      <w:szCs w:val="21"/>
                      <w:highlight w:val="none"/>
                    </w:rPr>
                    <w:t>kg/h</w:t>
                  </w:r>
                </w:p>
              </w:tc>
              <w:tc>
                <w:tcPr>
                  <w:tcW w:w="276" w:type="pct"/>
                  <w:noWrap w:val="0"/>
                  <w:vAlign w:val="center"/>
                </w:tcPr>
                <w:p w14:paraId="0EBB55F6">
                  <w:pPr>
                    <w:jc w:val="center"/>
                    <w:rPr>
                      <w:b/>
                      <w:bCs/>
                      <w:color w:val="auto"/>
                      <w:szCs w:val="21"/>
                      <w:highlight w:val="none"/>
                    </w:rPr>
                  </w:pPr>
                  <w:r>
                    <w:rPr>
                      <w:b/>
                      <w:bCs/>
                      <w:color w:val="auto"/>
                      <w:szCs w:val="21"/>
                      <w:highlight w:val="none"/>
                    </w:rPr>
                    <w:t>t/a</w:t>
                  </w:r>
                </w:p>
              </w:tc>
              <w:tc>
                <w:tcPr>
                  <w:tcW w:w="267" w:type="pct"/>
                  <w:noWrap w:val="0"/>
                  <w:vAlign w:val="center"/>
                </w:tcPr>
                <w:p w14:paraId="25CD8A08">
                  <w:pPr>
                    <w:jc w:val="center"/>
                    <w:rPr>
                      <w:b/>
                      <w:bCs/>
                      <w:color w:val="auto"/>
                      <w:szCs w:val="21"/>
                      <w:highlight w:val="none"/>
                    </w:rPr>
                  </w:pPr>
                  <w:r>
                    <w:rPr>
                      <w:b/>
                      <w:bCs/>
                      <w:color w:val="auto"/>
                      <w:szCs w:val="21"/>
                      <w:highlight w:val="none"/>
                    </w:rPr>
                    <w:t>h</w:t>
                  </w:r>
                </w:p>
              </w:tc>
              <w:tc>
                <w:tcPr>
                  <w:tcW w:w="385" w:type="pct"/>
                  <w:noWrap w:val="0"/>
                  <w:vAlign w:val="center"/>
                </w:tcPr>
                <w:p w14:paraId="5745E0E4">
                  <w:pPr>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r>
            <w:tr w14:paraId="618A93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76" w:type="pct"/>
                  <w:noWrap w:val="0"/>
                  <w:vAlign w:val="center"/>
                </w:tcPr>
                <w:p w14:paraId="4DF24462">
                  <w:pPr>
                    <w:jc w:val="center"/>
                    <w:rPr>
                      <w:rFonts w:hint="eastAsia" w:eastAsia="宋体"/>
                      <w:color w:val="auto"/>
                      <w:szCs w:val="21"/>
                      <w:highlight w:val="none"/>
                      <w:lang w:eastAsia="zh-CN"/>
                    </w:rPr>
                  </w:pPr>
                  <w:r>
                    <w:rPr>
                      <w:rFonts w:hint="eastAsia"/>
                      <w:color w:val="auto"/>
                      <w:szCs w:val="21"/>
                      <w:highlight w:val="none"/>
                      <w:lang w:val="en-US" w:eastAsia="zh-CN"/>
                    </w:rPr>
                    <w:t>上料粉尘</w:t>
                  </w:r>
                </w:p>
              </w:tc>
              <w:tc>
                <w:tcPr>
                  <w:tcW w:w="197" w:type="pct"/>
                  <w:noWrap w:val="0"/>
                  <w:vAlign w:val="center"/>
                </w:tcPr>
                <w:p w14:paraId="778079A5">
                  <w:pPr>
                    <w:jc w:val="center"/>
                    <w:rPr>
                      <w:rFonts w:hint="default" w:eastAsia="宋体"/>
                      <w:color w:val="auto"/>
                      <w:szCs w:val="21"/>
                      <w:highlight w:val="none"/>
                      <w:lang w:val="en-US" w:eastAsia="zh-CN"/>
                    </w:rPr>
                  </w:pPr>
                  <w:r>
                    <w:rPr>
                      <w:rFonts w:hint="eastAsia"/>
                      <w:color w:val="auto"/>
                      <w:szCs w:val="21"/>
                      <w:highlight w:val="none"/>
                      <w:lang w:val="en-US" w:eastAsia="zh-CN"/>
                    </w:rPr>
                    <w:t>颗粒物</w:t>
                  </w:r>
                </w:p>
              </w:tc>
              <w:tc>
                <w:tcPr>
                  <w:tcW w:w="286" w:type="pct"/>
                  <w:noWrap w:val="0"/>
                  <w:vAlign w:val="center"/>
                </w:tcPr>
                <w:p w14:paraId="431C8906">
                  <w:pPr>
                    <w:jc w:val="center"/>
                    <w:rPr>
                      <w:color w:val="auto"/>
                      <w:szCs w:val="21"/>
                      <w:highlight w:val="none"/>
                    </w:rPr>
                  </w:pPr>
                  <w:r>
                    <w:rPr>
                      <w:rFonts w:hint="eastAsia"/>
                      <w:color w:val="auto"/>
                      <w:szCs w:val="21"/>
                      <w:highlight w:val="none"/>
                    </w:rPr>
                    <w:t>无组织</w:t>
                  </w:r>
                </w:p>
              </w:tc>
              <w:tc>
                <w:tcPr>
                  <w:tcW w:w="354" w:type="pct"/>
                  <w:shd w:val="clear" w:color="auto" w:fill="auto"/>
                  <w:noWrap w:val="0"/>
                  <w:vAlign w:val="center"/>
                </w:tcPr>
                <w:p w14:paraId="4E15D87A">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3" w:type="pct"/>
                  <w:shd w:val="clear" w:color="auto" w:fill="auto"/>
                  <w:noWrap w:val="0"/>
                  <w:vAlign w:val="center"/>
                </w:tcPr>
                <w:p w14:paraId="34F70EF8">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0.00019</w:t>
                  </w:r>
                </w:p>
              </w:tc>
              <w:tc>
                <w:tcPr>
                  <w:tcW w:w="461" w:type="pct"/>
                  <w:shd w:val="clear" w:color="auto" w:fill="auto"/>
                  <w:noWrap w:val="0"/>
                  <w:vAlign w:val="center"/>
                </w:tcPr>
                <w:p w14:paraId="4B3FA9B5">
                  <w:pPr>
                    <w:pStyle w:val="9"/>
                    <w:spacing w:before="0" w:beforeAutospacing="0" w:after="0" w:afterAutospacing="0"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0.00011</w:t>
                  </w:r>
                </w:p>
              </w:tc>
              <w:tc>
                <w:tcPr>
                  <w:tcW w:w="372" w:type="pct"/>
                  <w:noWrap w:val="0"/>
                  <w:vAlign w:val="center"/>
                </w:tcPr>
                <w:p w14:paraId="56CC01A4">
                  <w:pPr>
                    <w:jc w:val="center"/>
                    <w:rPr>
                      <w:color w:val="auto"/>
                      <w:szCs w:val="21"/>
                      <w:highlight w:val="none"/>
                    </w:rPr>
                  </w:pPr>
                  <w:r>
                    <w:rPr>
                      <w:rFonts w:hint="eastAsia"/>
                      <w:color w:val="auto"/>
                      <w:szCs w:val="21"/>
                      <w:highlight w:val="none"/>
                    </w:rPr>
                    <w:t>脉冲净化器</w:t>
                  </w:r>
                </w:p>
              </w:tc>
              <w:tc>
                <w:tcPr>
                  <w:tcW w:w="235" w:type="pct"/>
                  <w:noWrap w:val="0"/>
                  <w:vAlign w:val="center"/>
                </w:tcPr>
                <w:p w14:paraId="4C34FDFC">
                  <w:pPr>
                    <w:jc w:val="center"/>
                    <w:rPr>
                      <w:rFonts w:hint="default" w:eastAsia="宋体"/>
                      <w:color w:val="auto"/>
                      <w:szCs w:val="21"/>
                      <w:highlight w:val="none"/>
                      <w:lang w:val="en-US" w:eastAsia="zh-CN"/>
                    </w:rPr>
                  </w:pPr>
                  <w:r>
                    <w:rPr>
                      <w:rFonts w:hint="eastAsia"/>
                      <w:color w:val="auto"/>
                      <w:szCs w:val="21"/>
                      <w:highlight w:val="none"/>
                      <w:lang w:val="en-US" w:eastAsia="zh-CN"/>
                    </w:rPr>
                    <w:t>85</w:t>
                  </w:r>
                </w:p>
              </w:tc>
              <w:tc>
                <w:tcPr>
                  <w:tcW w:w="304" w:type="pct"/>
                  <w:noWrap w:val="0"/>
                  <w:vAlign w:val="center"/>
                </w:tcPr>
                <w:p w14:paraId="6F59B0EC">
                  <w:pPr>
                    <w:jc w:val="center"/>
                    <w:rPr>
                      <w:rFonts w:hint="default"/>
                      <w:color w:val="auto"/>
                      <w:szCs w:val="21"/>
                      <w:highlight w:val="none"/>
                      <w:lang w:val="en-US" w:eastAsia="zh-CN"/>
                    </w:rPr>
                  </w:pPr>
                  <w:r>
                    <w:rPr>
                      <w:rFonts w:hint="eastAsia"/>
                      <w:color w:val="auto"/>
                      <w:szCs w:val="21"/>
                      <w:highlight w:val="none"/>
                      <w:lang w:val="en-US" w:eastAsia="zh-CN"/>
                    </w:rPr>
                    <w:t>99</w:t>
                  </w:r>
                </w:p>
              </w:tc>
              <w:tc>
                <w:tcPr>
                  <w:tcW w:w="286" w:type="pct"/>
                  <w:noWrap w:val="0"/>
                  <w:vAlign w:val="center"/>
                </w:tcPr>
                <w:p w14:paraId="50AE622C">
                  <w:pPr>
                    <w:jc w:val="center"/>
                    <w:rPr>
                      <w:color w:val="auto"/>
                      <w:szCs w:val="21"/>
                      <w:highlight w:val="none"/>
                    </w:rPr>
                  </w:pPr>
                  <w:r>
                    <w:rPr>
                      <w:rFonts w:hint="eastAsia"/>
                      <w:color w:val="auto"/>
                      <w:szCs w:val="21"/>
                      <w:highlight w:val="none"/>
                    </w:rPr>
                    <w:t>是</w:t>
                  </w:r>
                </w:p>
              </w:tc>
              <w:tc>
                <w:tcPr>
                  <w:tcW w:w="331" w:type="pct"/>
                  <w:shd w:val="clear" w:color="auto" w:fill="auto"/>
                  <w:noWrap w:val="0"/>
                  <w:vAlign w:val="center"/>
                </w:tcPr>
                <w:p w14:paraId="5FC716F4">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30" w:type="pct"/>
                  <w:shd w:val="clear" w:color="auto" w:fill="auto"/>
                  <w:noWrap w:val="0"/>
                  <w:vAlign w:val="center"/>
                </w:tcPr>
                <w:p w14:paraId="7B51A6E0">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0.000030</w:t>
                  </w:r>
                </w:p>
              </w:tc>
              <w:tc>
                <w:tcPr>
                  <w:tcW w:w="276" w:type="pct"/>
                  <w:shd w:val="clear" w:color="auto" w:fill="auto"/>
                  <w:noWrap w:val="0"/>
                  <w:vAlign w:val="center"/>
                </w:tcPr>
                <w:p w14:paraId="156C29BD">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0.000018</w:t>
                  </w:r>
                </w:p>
              </w:tc>
              <w:tc>
                <w:tcPr>
                  <w:tcW w:w="267" w:type="pct"/>
                  <w:noWrap w:val="0"/>
                  <w:vAlign w:val="center"/>
                </w:tcPr>
                <w:p w14:paraId="28BFFC31">
                  <w:pPr>
                    <w:jc w:val="center"/>
                    <w:rPr>
                      <w:rFonts w:hint="default" w:eastAsia="宋体"/>
                      <w:color w:val="auto"/>
                      <w:szCs w:val="21"/>
                      <w:highlight w:val="none"/>
                      <w:lang w:val="en-US" w:eastAsia="zh-CN"/>
                    </w:rPr>
                  </w:pPr>
                  <w:r>
                    <w:rPr>
                      <w:rFonts w:hint="eastAsia"/>
                      <w:color w:val="auto"/>
                      <w:szCs w:val="21"/>
                      <w:highlight w:val="none"/>
                      <w:lang w:val="en-US" w:eastAsia="zh-CN"/>
                    </w:rPr>
                    <w:t>600</w:t>
                  </w:r>
                </w:p>
              </w:tc>
              <w:tc>
                <w:tcPr>
                  <w:tcW w:w="385" w:type="pct"/>
                  <w:noWrap w:val="0"/>
                  <w:vAlign w:val="center"/>
                </w:tcPr>
                <w:p w14:paraId="2E5660EA">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14:paraId="7787E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76" w:type="pct"/>
                  <w:vMerge w:val="restart"/>
                  <w:noWrap w:val="0"/>
                  <w:vAlign w:val="center"/>
                </w:tcPr>
                <w:p w14:paraId="1D87834E">
                  <w:pPr>
                    <w:jc w:val="center"/>
                    <w:rPr>
                      <w:rFonts w:hint="eastAsia"/>
                      <w:color w:val="auto"/>
                      <w:szCs w:val="21"/>
                      <w:highlight w:val="none"/>
                      <w:lang w:val="en-US" w:eastAsia="zh-CN"/>
                    </w:rPr>
                  </w:pPr>
                  <w:r>
                    <w:rPr>
                      <w:rFonts w:hint="eastAsia"/>
                      <w:color w:val="auto"/>
                      <w:szCs w:val="21"/>
                      <w:highlight w:val="none"/>
                      <w:lang w:val="en-US" w:eastAsia="zh-CN"/>
                    </w:rPr>
                    <w:t>有机废气</w:t>
                  </w:r>
                </w:p>
                <w:p w14:paraId="189DC1F9">
                  <w:pPr>
                    <w:jc w:val="center"/>
                    <w:rPr>
                      <w:rFonts w:hint="default" w:eastAsia="宋体"/>
                      <w:color w:val="auto"/>
                      <w:szCs w:val="21"/>
                      <w:highlight w:val="none"/>
                      <w:lang w:val="en-US" w:eastAsia="zh-CN"/>
                    </w:rPr>
                  </w:pPr>
                  <w:r>
                    <w:rPr>
                      <w:rFonts w:hint="eastAsia"/>
                      <w:color w:val="auto"/>
                      <w:szCs w:val="21"/>
                      <w:highlight w:val="none"/>
                      <w:lang w:val="en-US" w:eastAsia="zh-CN"/>
                    </w:rPr>
                    <w:t>（DA001）</w:t>
                  </w:r>
                </w:p>
              </w:tc>
              <w:tc>
                <w:tcPr>
                  <w:tcW w:w="197" w:type="pct"/>
                  <w:vMerge w:val="restart"/>
                  <w:noWrap w:val="0"/>
                  <w:vAlign w:val="center"/>
                </w:tcPr>
                <w:p w14:paraId="3BE70697">
                  <w:pPr>
                    <w:jc w:val="center"/>
                    <w:rPr>
                      <w:color w:val="auto"/>
                      <w:szCs w:val="21"/>
                      <w:highlight w:val="none"/>
                    </w:rPr>
                  </w:pPr>
                  <w:r>
                    <w:rPr>
                      <w:rFonts w:hint="eastAsia"/>
                      <w:color w:val="auto"/>
                      <w:szCs w:val="21"/>
                      <w:highlight w:val="none"/>
                    </w:rPr>
                    <w:t>非甲烷总烃</w:t>
                  </w:r>
                </w:p>
              </w:tc>
              <w:tc>
                <w:tcPr>
                  <w:tcW w:w="286" w:type="pct"/>
                  <w:noWrap w:val="0"/>
                  <w:vAlign w:val="center"/>
                </w:tcPr>
                <w:p w14:paraId="48D73C59">
                  <w:pPr>
                    <w:jc w:val="center"/>
                    <w:rPr>
                      <w:color w:val="auto"/>
                      <w:szCs w:val="21"/>
                      <w:highlight w:val="none"/>
                    </w:rPr>
                  </w:pPr>
                  <w:r>
                    <w:rPr>
                      <w:rFonts w:hint="eastAsia"/>
                      <w:color w:val="auto"/>
                      <w:szCs w:val="21"/>
                      <w:highlight w:val="none"/>
                    </w:rPr>
                    <w:t>有组织</w:t>
                  </w:r>
                </w:p>
              </w:tc>
              <w:tc>
                <w:tcPr>
                  <w:tcW w:w="354" w:type="pct"/>
                  <w:noWrap w:val="0"/>
                  <w:vAlign w:val="center"/>
                </w:tcPr>
                <w:p w14:paraId="605BC518">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6.64</w:t>
                  </w:r>
                </w:p>
              </w:tc>
              <w:tc>
                <w:tcPr>
                  <w:tcW w:w="433" w:type="pct"/>
                  <w:noWrap w:val="0"/>
                  <w:vAlign w:val="center"/>
                </w:tcPr>
                <w:p w14:paraId="512707E2">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0.027</w:t>
                  </w:r>
                </w:p>
              </w:tc>
              <w:tc>
                <w:tcPr>
                  <w:tcW w:w="461" w:type="pct"/>
                  <w:noWrap w:val="0"/>
                  <w:vAlign w:val="center"/>
                </w:tcPr>
                <w:p w14:paraId="0FEEA3C6">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0.032</w:t>
                  </w:r>
                </w:p>
              </w:tc>
              <w:tc>
                <w:tcPr>
                  <w:tcW w:w="372" w:type="pct"/>
                  <w:vMerge w:val="restart"/>
                  <w:noWrap w:val="0"/>
                  <w:vAlign w:val="center"/>
                </w:tcPr>
                <w:p w14:paraId="6CC559F3">
                  <w:pPr>
                    <w:jc w:val="center"/>
                    <w:rPr>
                      <w:rFonts w:hint="eastAsia" w:eastAsia="宋体"/>
                      <w:color w:val="auto"/>
                      <w:szCs w:val="21"/>
                      <w:highlight w:val="none"/>
                      <w:lang w:val="en-US" w:eastAsia="zh-CN"/>
                    </w:rPr>
                  </w:pPr>
                  <w:r>
                    <w:rPr>
                      <w:rFonts w:hint="eastAsia"/>
                      <w:color w:val="auto"/>
                      <w:szCs w:val="21"/>
                      <w:highlight w:val="none"/>
                    </w:rPr>
                    <w:t>活性炭</w:t>
                  </w:r>
                  <w:r>
                    <w:rPr>
                      <w:rFonts w:hint="eastAsia"/>
                      <w:color w:val="auto"/>
                      <w:szCs w:val="21"/>
                      <w:highlight w:val="none"/>
                      <w:lang w:val="en-US" w:eastAsia="zh-CN"/>
                    </w:rPr>
                    <w:t>装置</w:t>
                  </w:r>
                </w:p>
              </w:tc>
              <w:tc>
                <w:tcPr>
                  <w:tcW w:w="235" w:type="pct"/>
                  <w:noWrap w:val="0"/>
                  <w:vAlign w:val="center"/>
                </w:tcPr>
                <w:p w14:paraId="4FF85585">
                  <w:pPr>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304" w:type="pct"/>
                  <w:noWrap w:val="0"/>
                  <w:vAlign w:val="center"/>
                </w:tcPr>
                <w:p w14:paraId="10F85DA0">
                  <w:pPr>
                    <w:jc w:val="center"/>
                    <w:rPr>
                      <w:rFonts w:hint="default"/>
                      <w:color w:val="auto"/>
                      <w:szCs w:val="21"/>
                      <w:highlight w:val="none"/>
                      <w:lang w:val="en-US" w:eastAsia="zh-CN"/>
                    </w:rPr>
                  </w:pPr>
                  <w:r>
                    <w:rPr>
                      <w:rFonts w:hint="eastAsia"/>
                      <w:color w:val="auto"/>
                      <w:szCs w:val="21"/>
                      <w:highlight w:val="none"/>
                      <w:lang w:val="en-US" w:eastAsia="zh-CN"/>
                    </w:rPr>
                    <w:t>50</w:t>
                  </w:r>
                </w:p>
              </w:tc>
              <w:tc>
                <w:tcPr>
                  <w:tcW w:w="286" w:type="pct"/>
                  <w:vMerge w:val="restart"/>
                  <w:noWrap w:val="0"/>
                  <w:vAlign w:val="center"/>
                </w:tcPr>
                <w:p w14:paraId="32965B6C">
                  <w:pPr>
                    <w:jc w:val="center"/>
                    <w:rPr>
                      <w:color w:val="auto"/>
                      <w:szCs w:val="21"/>
                      <w:highlight w:val="none"/>
                    </w:rPr>
                  </w:pPr>
                  <w:r>
                    <w:rPr>
                      <w:rFonts w:hint="eastAsia"/>
                      <w:color w:val="auto"/>
                      <w:szCs w:val="21"/>
                      <w:highlight w:val="none"/>
                    </w:rPr>
                    <w:t>是</w:t>
                  </w:r>
                </w:p>
              </w:tc>
              <w:tc>
                <w:tcPr>
                  <w:tcW w:w="331" w:type="pct"/>
                  <w:noWrap w:val="0"/>
                  <w:vAlign w:val="center"/>
                </w:tcPr>
                <w:p w14:paraId="64B00FE8">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3.32</w:t>
                  </w:r>
                </w:p>
              </w:tc>
              <w:tc>
                <w:tcPr>
                  <w:tcW w:w="330" w:type="pct"/>
                  <w:noWrap w:val="0"/>
                  <w:vAlign w:val="center"/>
                </w:tcPr>
                <w:p w14:paraId="41119528">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0.013</w:t>
                  </w:r>
                </w:p>
              </w:tc>
              <w:tc>
                <w:tcPr>
                  <w:tcW w:w="276" w:type="pct"/>
                  <w:noWrap w:val="0"/>
                  <w:vAlign w:val="center"/>
                </w:tcPr>
                <w:p w14:paraId="599B18F6">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0.016</w:t>
                  </w:r>
                </w:p>
              </w:tc>
              <w:tc>
                <w:tcPr>
                  <w:tcW w:w="267" w:type="pct"/>
                  <w:vMerge w:val="restart"/>
                  <w:noWrap w:val="0"/>
                  <w:vAlign w:val="center"/>
                </w:tcPr>
                <w:p w14:paraId="30EF190D">
                  <w:pPr>
                    <w:jc w:val="center"/>
                    <w:rPr>
                      <w:rFonts w:hint="default" w:eastAsia="宋体"/>
                      <w:color w:val="auto"/>
                      <w:szCs w:val="21"/>
                      <w:highlight w:val="none"/>
                      <w:lang w:val="en-US" w:eastAsia="zh-CN"/>
                    </w:rPr>
                  </w:pPr>
                  <w:r>
                    <w:rPr>
                      <w:rFonts w:hint="eastAsia"/>
                      <w:color w:val="auto"/>
                      <w:szCs w:val="21"/>
                      <w:highlight w:val="none"/>
                      <w:lang w:val="en-US" w:eastAsia="zh-CN"/>
                    </w:rPr>
                    <w:t>1200</w:t>
                  </w:r>
                </w:p>
              </w:tc>
              <w:tc>
                <w:tcPr>
                  <w:tcW w:w="385" w:type="pct"/>
                  <w:noWrap w:val="0"/>
                  <w:vAlign w:val="center"/>
                </w:tcPr>
                <w:p w14:paraId="4859DA3E">
                  <w:pPr>
                    <w:jc w:val="center"/>
                    <w:rPr>
                      <w:rFonts w:hint="default" w:eastAsia="宋体"/>
                      <w:color w:val="auto"/>
                      <w:szCs w:val="21"/>
                      <w:highlight w:val="none"/>
                      <w:lang w:val="en-US" w:eastAsia="zh-CN"/>
                    </w:rPr>
                  </w:pPr>
                  <w:r>
                    <w:rPr>
                      <w:rFonts w:hint="eastAsia"/>
                      <w:color w:val="auto"/>
                      <w:szCs w:val="21"/>
                      <w:highlight w:val="none"/>
                      <w:lang w:val="en-US" w:eastAsia="zh-CN"/>
                    </w:rPr>
                    <w:t>14.9（kg/h）</w:t>
                  </w:r>
                </w:p>
              </w:tc>
            </w:tr>
            <w:tr w14:paraId="2BE2C0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4" w:hRule="atLeast"/>
                <w:jc w:val="center"/>
              </w:trPr>
              <w:tc>
                <w:tcPr>
                  <w:tcW w:w="476" w:type="pct"/>
                  <w:vMerge w:val="continue"/>
                  <w:noWrap w:val="0"/>
                  <w:vAlign w:val="center"/>
                </w:tcPr>
                <w:p w14:paraId="5606064F">
                  <w:pPr>
                    <w:jc w:val="center"/>
                    <w:rPr>
                      <w:color w:val="auto"/>
                      <w:szCs w:val="21"/>
                      <w:highlight w:val="none"/>
                    </w:rPr>
                  </w:pPr>
                </w:p>
              </w:tc>
              <w:tc>
                <w:tcPr>
                  <w:tcW w:w="197" w:type="pct"/>
                  <w:vMerge w:val="continue"/>
                  <w:noWrap w:val="0"/>
                  <w:vAlign w:val="center"/>
                </w:tcPr>
                <w:p w14:paraId="6163246C">
                  <w:pPr>
                    <w:jc w:val="center"/>
                    <w:rPr>
                      <w:color w:val="auto"/>
                      <w:szCs w:val="21"/>
                      <w:highlight w:val="none"/>
                    </w:rPr>
                  </w:pPr>
                </w:p>
              </w:tc>
              <w:tc>
                <w:tcPr>
                  <w:tcW w:w="286" w:type="pct"/>
                  <w:noWrap w:val="0"/>
                  <w:vAlign w:val="center"/>
                </w:tcPr>
                <w:p w14:paraId="38AECE2E">
                  <w:pPr>
                    <w:jc w:val="center"/>
                    <w:rPr>
                      <w:color w:val="auto"/>
                      <w:szCs w:val="21"/>
                      <w:highlight w:val="none"/>
                    </w:rPr>
                  </w:pPr>
                  <w:r>
                    <w:rPr>
                      <w:rFonts w:hint="eastAsia"/>
                      <w:color w:val="auto"/>
                      <w:szCs w:val="21"/>
                      <w:highlight w:val="none"/>
                    </w:rPr>
                    <w:t>无组织</w:t>
                  </w:r>
                </w:p>
              </w:tc>
              <w:tc>
                <w:tcPr>
                  <w:tcW w:w="354" w:type="pct"/>
                  <w:noWrap w:val="0"/>
                  <w:vAlign w:val="center"/>
                </w:tcPr>
                <w:p w14:paraId="5CEF57E8">
                  <w:pPr>
                    <w:pStyle w:val="9"/>
                    <w:spacing w:before="0" w:beforeAutospacing="0" w:after="0" w:afterAutospacing="0" w:line="240" w:lineRule="auto"/>
                    <w:ind w:firstLine="0" w:firstLineChars="0"/>
                    <w:jc w:val="center"/>
                    <w:rPr>
                      <w:color w:val="auto"/>
                      <w:sz w:val="21"/>
                      <w:szCs w:val="21"/>
                      <w:highlight w:val="none"/>
                    </w:rPr>
                  </w:pPr>
                  <w:r>
                    <w:rPr>
                      <w:rFonts w:hint="eastAsia"/>
                      <w:color w:val="auto"/>
                      <w:kern w:val="0"/>
                      <w:sz w:val="21"/>
                      <w:szCs w:val="21"/>
                      <w:highlight w:val="none"/>
                      <w:lang w:val="en-US" w:eastAsia="zh-CN"/>
                    </w:rPr>
                    <w:t>/</w:t>
                  </w:r>
                </w:p>
              </w:tc>
              <w:tc>
                <w:tcPr>
                  <w:tcW w:w="433" w:type="pct"/>
                  <w:noWrap w:val="0"/>
                  <w:vAlign w:val="center"/>
                </w:tcPr>
                <w:p w14:paraId="0772B551">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0.018</w:t>
                  </w:r>
                </w:p>
              </w:tc>
              <w:tc>
                <w:tcPr>
                  <w:tcW w:w="461" w:type="pct"/>
                  <w:noWrap w:val="0"/>
                  <w:vAlign w:val="center"/>
                </w:tcPr>
                <w:p w14:paraId="662CCDC0">
                  <w:pPr>
                    <w:pStyle w:val="9"/>
                    <w:spacing w:before="0" w:beforeAutospacing="0" w:after="0" w:afterAutospacing="0"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0.021</w:t>
                  </w:r>
                </w:p>
              </w:tc>
              <w:tc>
                <w:tcPr>
                  <w:tcW w:w="372" w:type="pct"/>
                  <w:vMerge w:val="continue"/>
                  <w:noWrap w:val="0"/>
                  <w:vAlign w:val="center"/>
                </w:tcPr>
                <w:p w14:paraId="6B03C180">
                  <w:pPr>
                    <w:jc w:val="center"/>
                    <w:rPr>
                      <w:color w:val="auto"/>
                      <w:szCs w:val="21"/>
                      <w:highlight w:val="none"/>
                    </w:rPr>
                  </w:pPr>
                </w:p>
              </w:tc>
              <w:tc>
                <w:tcPr>
                  <w:tcW w:w="235" w:type="pct"/>
                  <w:noWrap w:val="0"/>
                  <w:vAlign w:val="center"/>
                </w:tcPr>
                <w:p w14:paraId="34550AED">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304" w:type="pct"/>
                  <w:noWrap w:val="0"/>
                  <w:vAlign w:val="center"/>
                </w:tcPr>
                <w:p w14:paraId="4F62F41D">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86" w:type="pct"/>
                  <w:vMerge w:val="continue"/>
                  <w:noWrap w:val="0"/>
                  <w:vAlign w:val="center"/>
                </w:tcPr>
                <w:p w14:paraId="0F991DEA">
                  <w:pPr>
                    <w:jc w:val="center"/>
                    <w:rPr>
                      <w:color w:val="auto"/>
                      <w:szCs w:val="21"/>
                      <w:highlight w:val="none"/>
                    </w:rPr>
                  </w:pPr>
                </w:p>
              </w:tc>
              <w:tc>
                <w:tcPr>
                  <w:tcW w:w="331" w:type="pct"/>
                  <w:noWrap w:val="0"/>
                  <w:vAlign w:val="center"/>
                </w:tcPr>
                <w:p w14:paraId="5F1E44CD">
                  <w:pPr>
                    <w:pStyle w:val="9"/>
                    <w:spacing w:before="0" w:beforeAutospacing="0" w:after="0" w:afterAutospacing="0"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330" w:type="pct"/>
                  <w:noWrap w:val="0"/>
                  <w:vAlign w:val="center"/>
                </w:tcPr>
                <w:p w14:paraId="12DDA8F8">
                  <w:pPr>
                    <w:pStyle w:val="9"/>
                    <w:spacing w:before="0" w:beforeAutospacing="0" w:after="0" w:afterAutospacing="0" w:line="240" w:lineRule="auto"/>
                    <w:ind w:firstLine="0" w:firstLineChars="0"/>
                    <w:jc w:val="center"/>
                    <w:rPr>
                      <w:rFonts w:hint="default"/>
                      <w:color w:val="auto"/>
                      <w:sz w:val="21"/>
                      <w:szCs w:val="21"/>
                      <w:highlight w:val="none"/>
                      <w:lang w:val="en-US"/>
                    </w:rPr>
                  </w:pPr>
                  <w:r>
                    <w:rPr>
                      <w:rFonts w:hint="eastAsia"/>
                      <w:color w:val="auto"/>
                      <w:sz w:val="21"/>
                      <w:szCs w:val="21"/>
                      <w:highlight w:val="none"/>
                      <w:lang w:val="en-US" w:eastAsia="zh-CN"/>
                    </w:rPr>
                    <w:t>0.018</w:t>
                  </w:r>
                </w:p>
              </w:tc>
              <w:tc>
                <w:tcPr>
                  <w:tcW w:w="276" w:type="pct"/>
                  <w:noWrap w:val="0"/>
                  <w:vAlign w:val="center"/>
                </w:tcPr>
                <w:p w14:paraId="2FEE00B6">
                  <w:pPr>
                    <w:pStyle w:val="9"/>
                    <w:spacing w:before="0" w:beforeAutospacing="0" w:after="0" w:afterAutospacing="0" w:line="240" w:lineRule="auto"/>
                    <w:ind w:firstLine="0" w:firstLineChars="0"/>
                    <w:jc w:val="center"/>
                    <w:rPr>
                      <w:color w:val="auto"/>
                      <w:sz w:val="21"/>
                      <w:szCs w:val="21"/>
                      <w:highlight w:val="none"/>
                    </w:rPr>
                  </w:pPr>
                  <w:r>
                    <w:rPr>
                      <w:rFonts w:hint="eastAsia"/>
                      <w:color w:val="auto"/>
                      <w:sz w:val="21"/>
                      <w:szCs w:val="21"/>
                      <w:highlight w:val="none"/>
                      <w:lang w:val="en-US" w:eastAsia="zh-CN"/>
                    </w:rPr>
                    <w:t>0.021</w:t>
                  </w:r>
                </w:p>
              </w:tc>
              <w:tc>
                <w:tcPr>
                  <w:tcW w:w="267" w:type="pct"/>
                  <w:vMerge w:val="continue"/>
                  <w:noWrap w:val="0"/>
                  <w:vAlign w:val="center"/>
                </w:tcPr>
                <w:p w14:paraId="09E66DE0">
                  <w:pPr>
                    <w:jc w:val="center"/>
                    <w:rPr>
                      <w:color w:val="auto"/>
                      <w:szCs w:val="21"/>
                      <w:highlight w:val="none"/>
                    </w:rPr>
                  </w:pPr>
                </w:p>
              </w:tc>
              <w:tc>
                <w:tcPr>
                  <w:tcW w:w="385" w:type="pct"/>
                  <w:noWrap w:val="0"/>
                  <w:vAlign w:val="center"/>
                </w:tcPr>
                <w:p w14:paraId="4FA038D3">
                  <w:pPr>
                    <w:jc w:val="center"/>
                    <w:rPr>
                      <w:rFonts w:hint="default" w:eastAsia="宋体"/>
                      <w:color w:val="auto"/>
                      <w:szCs w:val="21"/>
                      <w:highlight w:val="none"/>
                      <w:lang w:val="en-US" w:eastAsia="zh-CN"/>
                    </w:rPr>
                  </w:pPr>
                  <w:r>
                    <w:rPr>
                      <w:rFonts w:hint="eastAsia"/>
                      <w:color w:val="auto"/>
                      <w:szCs w:val="21"/>
                      <w:highlight w:val="none"/>
                      <w:lang w:val="en-US" w:eastAsia="zh-CN"/>
                    </w:rPr>
                    <w:t>4.0</w:t>
                  </w:r>
                </w:p>
              </w:tc>
            </w:tr>
          </w:tbl>
          <w:p w14:paraId="3005438B">
            <w:pPr>
              <w:pStyle w:val="7"/>
              <w:ind w:firstLine="482"/>
              <w:rPr>
                <w:b/>
                <w:bCs/>
                <w:color w:val="auto"/>
                <w:highlight w:val="none"/>
              </w:rPr>
            </w:pPr>
          </w:p>
          <w:p w14:paraId="6B75B707">
            <w:pPr>
              <w:pStyle w:val="13"/>
              <w:widowControl w:val="0"/>
              <w:numPr>
                <w:ilvl w:val="0"/>
                <w:numId w:val="0"/>
              </w:numPr>
              <w:adjustRightInd w:val="0"/>
              <w:snapToGrid w:val="0"/>
              <w:jc w:val="both"/>
              <w:rPr>
                <w:b/>
                <w:bCs/>
                <w:color w:val="auto"/>
                <w:highlight w:val="none"/>
              </w:rPr>
            </w:pPr>
          </w:p>
          <w:p w14:paraId="321CA947">
            <w:pPr>
              <w:pStyle w:val="13"/>
              <w:widowControl w:val="0"/>
              <w:numPr>
                <w:ilvl w:val="0"/>
                <w:numId w:val="0"/>
              </w:numPr>
              <w:adjustRightInd w:val="0"/>
              <w:snapToGrid w:val="0"/>
              <w:jc w:val="both"/>
              <w:rPr>
                <w:b/>
                <w:bCs/>
                <w:color w:val="auto"/>
                <w:highlight w:val="none"/>
              </w:rPr>
            </w:pPr>
          </w:p>
          <w:p w14:paraId="6AE31409">
            <w:pPr>
              <w:pStyle w:val="13"/>
              <w:widowControl w:val="0"/>
              <w:numPr>
                <w:ilvl w:val="0"/>
                <w:numId w:val="0"/>
              </w:numPr>
              <w:adjustRightInd w:val="0"/>
              <w:snapToGrid w:val="0"/>
              <w:jc w:val="both"/>
              <w:rPr>
                <w:b/>
                <w:bCs/>
                <w:color w:val="auto"/>
                <w:highlight w:val="none"/>
              </w:rPr>
            </w:pPr>
          </w:p>
          <w:p w14:paraId="0AFBFB02">
            <w:pPr>
              <w:pStyle w:val="13"/>
              <w:widowControl w:val="0"/>
              <w:numPr>
                <w:ilvl w:val="0"/>
                <w:numId w:val="0"/>
              </w:numPr>
              <w:adjustRightInd w:val="0"/>
              <w:snapToGrid w:val="0"/>
              <w:jc w:val="both"/>
              <w:rPr>
                <w:b/>
                <w:bCs/>
                <w:color w:val="auto"/>
                <w:highlight w:val="none"/>
              </w:rPr>
            </w:pPr>
          </w:p>
          <w:p w14:paraId="417461D3">
            <w:pPr>
              <w:pStyle w:val="13"/>
              <w:widowControl w:val="0"/>
              <w:numPr>
                <w:ilvl w:val="0"/>
                <w:numId w:val="0"/>
              </w:numPr>
              <w:adjustRightInd w:val="0"/>
              <w:snapToGrid w:val="0"/>
              <w:jc w:val="both"/>
              <w:rPr>
                <w:b/>
                <w:bCs/>
                <w:color w:val="auto"/>
                <w:highlight w:val="none"/>
              </w:rPr>
            </w:pPr>
          </w:p>
          <w:p w14:paraId="38711813">
            <w:pPr>
              <w:pStyle w:val="13"/>
              <w:widowControl w:val="0"/>
              <w:numPr>
                <w:ilvl w:val="0"/>
                <w:numId w:val="0"/>
              </w:numPr>
              <w:adjustRightInd w:val="0"/>
              <w:snapToGrid w:val="0"/>
              <w:jc w:val="both"/>
              <w:rPr>
                <w:b/>
                <w:bCs/>
                <w:color w:val="auto"/>
                <w:highlight w:val="none"/>
              </w:rPr>
            </w:pPr>
          </w:p>
          <w:p w14:paraId="4289BDED">
            <w:pPr>
              <w:pStyle w:val="13"/>
              <w:widowControl w:val="0"/>
              <w:numPr>
                <w:ilvl w:val="0"/>
                <w:numId w:val="0"/>
              </w:numPr>
              <w:adjustRightInd w:val="0"/>
              <w:snapToGrid w:val="0"/>
              <w:jc w:val="both"/>
              <w:rPr>
                <w:b/>
                <w:bCs/>
                <w:color w:val="auto"/>
                <w:highlight w:val="none"/>
              </w:rPr>
            </w:pPr>
          </w:p>
          <w:p w14:paraId="5C3D0AEE">
            <w:pPr>
              <w:pStyle w:val="13"/>
              <w:widowControl w:val="0"/>
              <w:numPr>
                <w:ilvl w:val="0"/>
                <w:numId w:val="0"/>
              </w:numPr>
              <w:adjustRightInd w:val="0"/>
              <w:snapToGrid w:val="0"/>
              <w:jc w:val="both"/>
              <w:rPr>
                <w:b/>
                <w:bCs/>
                <w:color w:val="auto"/>
                <w:highlight w:val="none"/>
              </w:rPr>
            </w:pPr>
          </w:p>
          <w:p w14:paraId="563AE440">
            <w:pPr>
              <w:pStyle w:val="13"/>
              <w:widowControl w:val="0"/>
              <w:numPr>
                <w:ilvl w:val="0"/>
                <w:numId w:val="0"/>
              </w:numPr>
              <w:adjustRightInd w:val="0"/>
              <w:snapToGrid w:val="0"/>
              <w:jc w:val="both"/>
              <w:rPr>
                <w:b/>
                <w:bCs/>
                <w:color w:val="auto"/>
                <w:highlight w:val="none"/>
              </w:rPr>
            </w:pPr>
          </w:p>
          <w:p w14:paraId="5B10D1B2">
            <w:pPr>
              <w:pStyle w:val="13"/>
              <w:widowControl w:val="0"/>
              <w:numPr>
                <w:ilvl w:val="0"/>
                <w:numId w:val="0"/>
              </w:numPr>
              <w:adjustRightInd w:val="0"/>
              <w:snapToGrid w:val="0"/>
              <w:jc w:val="both"/>
              <w:rPr>
                <w:b/>
                <w:bCs/>
                <w:color w:val="auto"/>
                <w:highlight w:val="none"/>
              </w:rPr>
            </w:pPr>
          </w:p>
        </w:tc>
      </w:tr>
    </w:tbl>
    <w:p w14:paraId="01DB62FC">
      <w:pPr>
        <w:pStyle w:val="7"/>
        <w:ind w:firstLine="0" w:firstLineChars="0"/>
        <w:rPr>
          <w:rFonts w:hint="eastAsia" w:ascii="宋体" w:cs="宋体"/>
          <w:b/>
          <w:color w:val="auto"/>
          <w:sz w:val="28"/>
          <w:szCs w:val="28"/>
          <w:highlight w:val="none"/>
        </w:rPr>
        <w:sectPr>
          <w:pgSz w:w="16840" w:h="11907" w:orient="landscape"/>
          <w:pgMar w:top="1531" w:right="1701" w:bottom="1531" w:left="2127" w:header="851" w:footer="851" w:gutter="0"/>
          <w:cols w:space="720" w:num="1"/>
          <w:docGrid w:linePitch="312" w:charSpace="0"/>
        </w:sectPr>
      </w:pPr>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9"/>
      </w:tblGrid>
      <w:tr w14:paraId="15B25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2" w:type="dxa"/>
            <w:noWrap w:val="0"/>
            <w:tcMar>
              <w:left w:w="28" w:type="dxa"/>
              <w:right w:w="28" w:type="dxa"/>
            </w:tcMar>
            <w:vAlign w:val="center"/>
          </w:tcPr>
          <w:p w14:paraId="0718EE7B">
            <w:pPr>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14:paraId="2EEA6FD7">
            <w:pPr>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14:paraId="3F7BC295">
            <w:pPr>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14:paraId="0FD88931">
            <w:pPr>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14:paraId="59697285">
            <w:pPr>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14:paraId="03C7A355">
            <w:pPr>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629" w:type="dxa"/>
            <w:noWrap w:val="0"/>
            <w:vAlign w:val="center"/>
          </w:tcPr>
          <w:p w14:paraId="3EAB590F">
            <w:pPr>
              <w:pStyle w:val="7"/>
              <w:ind w:firstLine="480"/>
              <w:rPr>
                <w:rFonts w:hint="default" w:eastAsia="宋体"/>
                <w:color w:val="auto"/>
                <w:highlight w:val="none"/>
                <w:lang w:val="en-US" w:eastAsia="zh-CN"/>
              </w:rPr>
            </w:pPr>
            <w:r>
              <w:rPr>
                <w:rFonts w:hint="eastAsia"/>
                <w:color w:val="auto"/>
                <w:highlight w:val="none"/>
              </w:rPr>
              <w:t>本项目废气主要为</w:t>
            </w:r>
            <w:r>
              <w:rPr>
                <w:rFonts w:hint="eastAsia"/>
                <w:color w:val="auto"/>
                <w:highlight w:val="none"/>
                <w:lang w:val="en-US" w:eastAsia="zh-CN"/>
              </w:rPr>
              <w:t>上料粉尘、有机废气。</w:t>
            </w:r>
          </w:p>
          <w:p w14:paraId="1DC3A631">
            <w:pPr>
              <w:pStyle w:val="7"/>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上料粉尘</w:t>
            </w:r>
          </w:p>
          <w:p w14:paraId="53DBEFC6">
            <w:pPr>
              <w:pStyle w:val="7"/>
              <w:ind w:firstLine="480"/>
              <w:rPr>
                <w:rFonts w:hint="eastAsia" w:eastAsia="宋体"/>
                <w:b w:val="0"/>
                <w:bCs w:val="0"/>
                <w:color w:val="auto"/>
                <w:sz w:val="24"/>
                <w:szCs w:val="24"/>
                <w:highlight w:val="none"/>
                <w:lang w:eastAsia="zh-CN"/>
              </w:rPr>
            </w:pPr>
            <w:r>
              <w:rPr>
                <w:rFonts w:hint="eastAsia"/>
                <w:color w:val="auto"/>
                <w:highlight w:val="none"/>
                <w:lang w:val="en-US" w:eastAsia="zh-CN"/>
              </w:rPr>
              <w:t>本项目上料时会产生粉尘，涉及的原辅料有：碳化硅颗粒（5t/a）、聚乙烯醇粉末（0.1t/a）、氧化钇粉末（0.05t/a）、</w:t>
            </w:r>
            <w:r>
              <w:rPr>
                <w:rFonts w:hint="eastAsia"/>
                <w:color w:val="auto"/>
                <w:szCs w:val="21"/>
                <w:highlight w:val="none"/>
                <w:lang w:val="en-US" w:eastAsia="zh-CN"/>
              </w:rPr>
              <w:t>氧化铝</w:t>
            </w:r>
            <w:r>
              <w:rPr>
                <w:rFonts w:hint="eastAsia"/>
                <w:color w:val="auto"/>
                <w:szCs w:val="21"/>
                <w:highlight w:val="none"/>
                <w:lang w:val="en-US" w:eastAsia="zh-CN"/>
              </w:rPr>
              <w:t>粉末（0.2</w:t>
            </w:r>
            <w:r>
              <w:rPr>
                <w:rFonts w:hint="eastAsia"/>
                <w:color w:val="auto"/>
                <w:highlight w:val="none"/>
                <w:lang w:val="en-US" w:eastAsia="zh-CN"/>
              </w:rPr>
              <w:t>t/a</w:t>
            </w:r>
            <w:r>
              <w:rPr>
                <w:rFonts w:hint="eastAsia"/>
                <w:color w:val="auto"/>
                <w:szCs w:val="21"/>
                <w:highlight w:val="none"/>
                <w:lang w:val="en-US" w:eastAsia="zh-CN"/>
              </w:rPr>
              <w:t>）、</w:t>
            </w:r>
            <w:r>
              <w:rPr>
                <w:rFonts w:hint="eastAsia"/>
                <w:color w:val="auto"/>
                <w:szCs w:val="21"/>
                <w:highlight w:val="none"/>
                <w:lang w:val="en-US" w:eastAsia="zh-CN"/>
              </w:rPr>
              <w:t>氧化锆</w:t>
            </w:r>
            <w:r>
              <w:rPr>
                <w:rFonts w:hint="eastAsia"/>
                <w:color w:val="auto"/>
                <w:szCs w:val="21"/>
                <w:highlight w:val="none"/>
                <w:lang w:val="en-US" w:eastAsia="zh-CN"/>
              </w:rPr>
              <w:t>粉末（0.2</w:t>
            </w:r>
            <w:r>
              <w:rPr>
                <w:rFonts w:hint="eastAsia"/>
                <w:color w:val="auto"/>
                <w:highlight w:val="none"/>
                <w:lang w:val="en-US" w:eastAsia="zh-CN"/>
              </w:rPr>
              <w:t>t/a</w:t>
            </w:r>
            <w:r>
              <w:rPr>
                <w:rFonts w:hint="eastAsia"/>
                <w:color w:val="auto"/>
                <w:szCs w:val="21"/>
                <w:highlight w:val="none"/>
                <w:lang w:val="en-US" w:eastAsia="zh-CN"/>
              </w:rPr>
              <w:t>）、</w:t>
            </w:r>
            <w:r>
              <w:rPr>
                <w:rFonts w:hint="eastAsia"/>
                <w:color w:val="auto"/>
                <w:szCs w:val="21"/>
                <w:highlight w:val="none"/>
                <w:lang w:val="en-US" w:eastAsia="zh-CN"/>
              </w:rPr>
              <w:t>氧化锌</w:t>
            </w:r>
            <w:r>
              <w:rPr>
                <w:rFonts w:hint="eastAsia"/>
                <w:color w:val="auto"/>
                <w:szCs w:val="21"/>
                <w:highlight w:val="none"/>
                <w:lang w:val="en-US" w:eastAsia="zh-CN"/>
              </w:rPr>
              <w:t>粉末</w:t>
            </w:r>
            <w:r>
              <w:rPr>
                <w:rFonts w:hint="eastAsia"/>
                <w:color w:val="auto"/>
                <w:highlight w:val="none"/>
                <w:lang w:val="en-US" w:eastAsia="zh-CN"/>
              </w:rPr>
              <w:t>（0.05t/a）。参考《逸散性工业粉尘控制技术》“表22-1混凝土分批搅拌厂的散逸尘排放因子”中“装水泥、粒料入搅拌机”产污系数0.02kg/t物料。上料粉尘经</w:t>
            </w:r>
            <w:r>
              <w:rPr>
                <w:rFonts w:hint="eastAsia"/>
                <w:color w:val="auto"/>
                <w:szCs w:val="21"/>
                <w:highlight w:val="none"/>
              </w:rPr>
              <w:t>脉冲净化器</w:t>
            </w:r>
            <w:r>
              <w:rPr>
                <w:rFonts w:hint="eastAsia"/>
                <w:color w:val="auto"/>
                <w:highlight w:val="none"/>
                <w:lang w:val="en-US" w:eastAsia="zh-CN"/>
              </w:rPr>
              <w:t>配套喇叭口收集进入</w:t>
            </w:r>
            <w:r>
              <w:rPr>
                <w:rFonts w:hint="eastAsia"/>
                <w:color w:val="auto"/>
                <w:szCs w:val="21"/>
                <w:highlight w:val="none"/>
              </w:rPr>
              <w:t>脉冲净化器</w:t>
            </w:r>
            <w:r>
              <w:rPr>
                <w:rFonts w:hint="eastAsia"/>
                <w:color w:val="auto"/>
                <w:highlight w:val="none"/>
                <w:lang w:val="en-US" w:eastAsia="zh-CN"/>
              </w:rPr>
              <w:t>处理后车间无组织排放。</w:t>
            </w:r>
            <w:r>
              <w:rPr>
                <w:rFonts w:hint="eastAsia"/>
                <w:b w:val="0"/>
                <w:bCs w:val="0"/>
                <w:color w:val="auto"/>
                <w:sz w:val="24"/>
                <w:szCs w:val="24"/>
                <w:highlight w:val="none"/>
              </w:rPr>
              <w:t>参照《局部排风罩的高温尘源捕集效率研究》（任改霞等），本次</w:t>
            </w:r>
            <w:r>
              <w:rPr>
                <w:rFonts w:hint="eastAsia"/>
                <w:color w:val="auto"/>
                <w:szCs w:val="21"/>
                <w:highlight w:val="none"/>
              </w:rPr>
              <w:t>脉冲净化器</w:t>
            </w:r>
            <w:r>
              <w:rPr>
                <w:rFonts w:hint="eastAsia"/>
                <w:color w:val="auto"/>
                <w:highlight w:val="none"/>
                <w:lang w:val="en-US" w:eastAsia="zh-CN"/>
              </w:rPr>
              <w:t>配套喇叭口收集率取85%</w:t>
            </w:r>
            <w:r>
              <w:rPr>
                <w:rFonts w:hint="eastAsia"/>
                <w:b w:val="0"/>
                <w:bCs w:val="0"/>
                <w:color w:val="auto"/>
                <w:sz w:val="24"/>
                <w:szCs w:val="24"/>
                <w:highlight w:val="none"/>
                <w:lang w:eastAsia="zh-CN"/>
              </w:rPr>
              <w:t>。</w:t>
            </w:r>
            <w:r>
              <w:rPr>
                <w:rFonts w:hint="eastAsia"/>
                <w:color w:val="auto"/>
                <w:szCs w:val="21"/>
                <w:highlight w:val="none"/>
              </w:rPr>
              <w:t>脉冲净化器</w:t>
            </w:r>
            <w:r>
              <w:rPr>
                <w:rFonts w:hint="eastAsia"/>
                <w:color w:val="auto"/>
                <w:szCs w:val="21"/>
                <w:highlight w:val="none"/>
                <w:lang w:eastAsia="zh-CN"/>
              </w:rPr>
              <w:t>是在袋式除尘器的基础上改进的新型高效脉冲除尘器，</w:t>
            </w:r>
            <w:r>
              <w:rPr>
                <w:rFonts w:hint="eastAsia"/>
                <w:color w:val="auto"/>
                <w:szCs w:val="21"/>
                <w:highlight w:val="none"/>
              </w:rPr>
              <w:t>脉冲净化器</w:t>
            </w:r>
            <w:r>
              <w:rPr>
                <w:rFonts w:hint="eastAsia"/>
                <w:color w:val="auto"/>
                <w:szCs w:val="21"/>
                <w:highlight w:val="none"/>
                <w:lang w:val="en-US" w:eastAsia="zh-CN"/>
              </w:rPr>
              <w:t>配套集气装置为喇叭口，喇叭口面积约0.18m</w:t>
            </w:r>
            <w:r>
              <w:rPr>
                <w:rFonts w:hint="eastAsia"/>
                <w:color w:val="auto"/>
                <w:szCs w:val="21"/>
                <w:highlight w:val="none"/>
                <w:vertAlign w:val="superscript"/>
                <w:lang w:val="en-US" w:eastAsia="zh-CN"/>
              </w:rPr>
              <w:t>2</w:t>
            </w:r>
            <w:r>
              <w:rPr>
                <w:rFonts w:hint="eastAsia"/>
                <w:color w:val="auto"/>
                <w:szCs w:val="21"/>
                <w:highlight w:val="none"/>
                <w:lang w:eastAsia="zh-CN"/>
              </w:rPr>
              <w:t>，</w:t>
            </w:r>
            <w:r>
              <w:rPr>
                <w:rFonts w:hint="eastAsia"/>
                <w:color w:val="auto"/>
                <w:szCs w:val="21"/>
                <w:highlight w:val="none"/>
                <w:lang w:val="en-US" w:eastAsia="zh-CN"/>
              </w:rPr>
              <w:t>距离投料口约0.15-0.3m，喇叭口四周不设围挡。</w:t>
            </w:r>
            <w:r>
              <w:rPr>
                <w:rFonts w:hint="eastAsia"/>
                <w:b w:val="0"/>
                <w:bCs w:val="0"/>
                <w:color w:val="auto"/>
                <w:sz w:val="24"/>
                <w:szCs w:val="24"/>
                <w:highlight w:val="none"/>
                <w:lang w:val="en-US" w:eastAsia="zh-CN"/>
              </w:rPr>
              <w:t>根据</w:t>
            </w:r>
            <w:r>
              <w:rPr>
                <w:rFonts w:hint="eastAsia"/>
                <w:b w:val="0"/>
                <w:bCs w:val="0"/>
                <w:color w:val="auto"/>
                <w:sz w:val="24"/>
                <w:szCs w:val="24"/>
                <w:highlight w:val="none"/>
              </w:rPr>
              <w:t>《袋式除尘器和旋风除尘器的性能及其应用的比较》（宋凤敏，环境科学与管理，2012）等，本项目</w:t>
            </w:r>
            <w:r>
              <w:rPr>
                <w:rFonts w:hint="eastAsia"/>
                <w:color w:val="auto"/>
                <w:szCs w:val="21"/>
                <w:highlight w:val="none"/>
              </w:rPr>
              <w:t>脉冲净化器</w:t>
            </w:r>
            <w:r>
              <w:rPr>
                <w:rFonts w:hint="eastAsia"/>
                <w:b w:val="0"/>
                <w:bCs w:val="0"/>
                <w:color w:val="auto"/>
                <w:sz w:val="24"/>
                <w:szCs w:val="24"/>
                <w:highlight w:val="none"/>
              </w:rPr>
              <w:t>去除效率取</w:t>
            </w:r>
            <w:r>
              <w:rPr>
                <w:rFonts w:hint="eastAsia"/>
                <w:b w:val="0"/>
                <w:bCs w:val="0"/>
                <w:color w:val="auto"/>
                <w:sz w:val="24"/>
                <w:szCs w:val="24"/>
                <w:highlight w:val="none"/>
                <w:lang w:val="en-US" w:eastAsia="zh-CN"/>
              </w:rPr>
              <w:t>99</w:t>
            </w:r>
            <w:r>
              <w:rPr>
                <w:rFonts w:hint="eastAsia"/>
                <w:b w:val="0"/>
                <w:bCs w:val="0"/>
                <w:color w:val="auto"/>
                <w:sz w:val="24"/>
                <w:szCs w:val="24"/>
                <w:highlight w:val="none"/>
              </w:rPr>
              <w:t>%</w:t>
            </w:r>
            <w:r>
              <w:rPr>
                <w:rFonts w:hint="eastAsia"/>
                <w:b w:val="0"/>
                <w:bCs w:val="0"/>
                <w:color w:val="auto"/>
                <w:sz w:val="24"/>
                <w:szCs w:val="24"/>
                <w:highlight w:val="none"/>
                <w:lang w:eastAsia="zh-CN"/>
              </w:rPr>
              <w:t>。</w:t>
            </w:r>
          </w:p>
          <w:p w14:paraId="058D6EE4">
            <w:pPr>
              <w:pStyle w:val="7"/>
              <w:ind w:firstLine="48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综上，本项目上料粉尘产排情况见表4-2。</w:t>
            </w:r>
          </w:p>
          <w:p w14:paraId="52E0E304">
            <w:pPr>
              <w:pStyle w:val="9"/>
              <w:spacing w:before="0" w:beforeAutospacing="0" w:after="0" w:afterAutospacing="0" w:line="240" w:lineRule="auto"/>
              <w:ind w:firstLine="0" w:firstLineChars="0"/>
              <w:jc w:val="center"/>
              <w:rPr>
                <w:rFonts w:hint="eastAsia"/>
                <w:b/>
                <w:bCs/>
                <w:color w:val="auto"/>
                <w:kern w:val="0"/>
                <w:highlight w:val="none"/>
              </w:rPr>
            </w:pPr>
            <w:r>
              <w:rPr>
                <w:rFonts w:hint="eastAsia"/>
                <w:b/>
                <w:bCs/>
                <w:color w:val="auto"/>
                <w:kern w:val="0"/>
                <w:highlight w:val="none"/>
              </w:rPr>
              <w:t>表4-</w:t>
            </w:r>
            <w:r>
              <w:rPr>
                <w:rFonts w:hint="eastAsia"/>
                <w:b/>
                <w:bCs/>
                <w:color w:val="auto"/>
                <w:kern w:val="0"/>
                <w:highlight w:val="none"/>
                <w:lang w:val="en-US" w:eastAsia="zh-CN"/>
              </w:rPr>
              <w:t xml:space="preserve">2 </w:t>
            </w:r>
            <w:r>
              <w:rPr>
                <w:rFonts w:hint="eastAsia"/>
                <w:b/>
                <w:bCs/>
                <w:color w:val="auto"/>
                <w:kern w:val="0"/>
                <w:highlight w:val="none"/>
              </w:rPr>
              <w:t xml:space="preserve"> 上料粉尘产排情况一览表</w:t>
            </w:r>
          </w:p>
          <w:tbl>
            <w:tblPr>
              <w:tblStyle w:val="24"/>
              <w:tblW w:w="49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832"/>
              <w:gridCol w:w="1521"/>
              <w:gridCol w:w="3714"/>
            </w:tblGrid>
            <w:tr w14:paraId="6D3B3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749" w:type="pct"/>
                  <w:gridSpan w:val="3"/>
                  <w:noWrap w:val="0"/>
                  <w:vAlign w:val="center"/>
                </w:tcPr>
                <w:p w14:paraId="327B9BF7">
                  <w:pPr>
                    <w:pStyle w:val="9"/>
                    <w:spacing w:before="0" w:beforeAutospacing="0" w:after="0" w:afterAutospacing="0" w:line="240" w:lineRule="auto"/>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类别</w:t>
                  </w:r>
                </w:p>
              </w:tc>
              <w:tc>
                <w:tcPr>
                  <w:tcW w:w="2250" w:type="pct"/>
                  <w:noWrap w:val="0"/>
                  <w:vAlign w:val="center"/>
                </w:tcPr>
                <w:p w14:paraId="14CF7D53">
                  <w:pPr>
                    <w:pStyle w:val="9"/>
                    <w:spacing w:before="0" w:beforeAutospacing="0" w:after="0" w:afterAutospacing="0"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上料工序</w:t>
                  </w:r>
                </w:p>
              </w:tc>
            </w:tr>
            <w:tr w14:paraId="225A8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restart"/>
                  <w:noWrap w:val="0"/>
                  <w:vAlign w:val="center"/>
                </w:tcPr>
                <w:p w14:paraId="0454B8E1">
                  <w:pPr>
                    <w:pStyle w:val="9"/>
                    <w:spacing w:before="0" w:beforeAutospacing="0" w:after="0" w:afterAutospacing="0"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rPr>
                    <w:t>涉及的原辅料</w:t>
                  </w:r>
                  <w:r>
                    <w:rPr>
                      <w:rFonts w:hint="default" w:ascii="Times New Roman" w:hAnsi="Times New Roman" w:cs="Times New Roman"/>
                      <w:b/>
                      <w:bCs/>
                      <w:color w:val="auto"/>
                      <w:kern w:val="0"/>
                      <w:sz w:val="21"/>
                      <w:szCs w:val="21"/>
                      <w:highlight w:val="none"/>
                      <w:lang w:val="en-US" w:eastAsia="zh-CN"/>
                    </w:rPr>
                    <w:t>量</w:t>
                  </w:r>
                </w:p>
              </w:tc>
              <w:tc>
                <w:tcPr>
                  <w:tcW w:w="1110" w:type="pct"/>
                  <w:noWrap w:val="0"/>
                  <w:vAlign w:val="center"/>
                </w:tcPr>
                <w:p w14:paraId="7DDA0375">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碳化硅颗粒</w:t>
                  </w:r>
                </w:p>
              </w:tc>
              <w:tc>
                <w:tcPr>
                  <w:tcW w:w="921" w:type="pct"/>
                  <w:noWrap w:val="0"/>
                  <w:vAlign w:val="center"/>
                </w:tcPr>
                <w:p w14:paraId="2E9E59AB">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13538639">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5</w:t>
                  </w:r>
                </w:p>
              </w:tc>
            </w:tr>
            <w:tr w14:paraId="44595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49E0E72C">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p>
              </w:tc>
              <w:tc>
                <w:tcPr>
                  <w:tcW w:w="1110" w:type="pct"/>
                  <w:noWrap w:val="0"/>
                  <w:vAlign w:val="center"/>
                </w:tcPr>
                <w:p w14:paraId="28B22532">
                  <w:pPr>
                    <w:pStyle w:val="9"/>
                    <w:spacing w:before="0" w:beforeAutospacing="0" w:after="0" w:afterAutospacing="0"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金刚石颗粒</w:t>
                  </w:r>
                </w:p>
              </w:tc>
              <w:tc>
                <w:tcPr>
                  <w:tcW w:w="921" w:type="pct"/>
                  <w:noWrap w:val="0"/>
                  <w:vAlign w:val="center"/>
                </w:tcPr>
                <w:p w14:paraId="4C86A3B6">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2A5B6017">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w:t>
                  </w:r>
                </w:p>
              </w:tc>
            </w:tr>
            <w:tr w14:paraId="56351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4976C072">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110" w:type="pct"/>
                  <w:noWrap w:val="0"/>
                  <w:vAlign w:val="center"/>
                </w:tcPr>
                <w:p w14:paraId="5042699D">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聚乙烯醇粉末</w:t>
                  </w:r>
                </w:p>
              </w:tc>
              <w:tc>
                <w:tcPr>
                  <w:tcW w:w="921" w:type="pct"/>
                  <w:noWrap w:val="0"/>
                  <w:vAlign w:val="center"/>
                </w:tcPr>
                <w:p w14:paraId="7085005E">
                  <w:pPr>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780C9D81">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0.1</w:t>
                  </w:r>
                </w:p>
              </w:tc>
            </w:tr>
            <w:tr w14:paraId="034B0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70FD5B30">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110" w:type="pct"/>
                  <w:noWrap w:val="0"/>
                  <w:vAlign w:val="center"/>
                </w:tcPr>
                <w:p w14:paraId="67FA3FF8">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氧化钇粉末</w:t>
                  </w:r>
                </w:p>
              </w:tc>
              <w:tc>
                <w:tcPr>
                  <w:tcW w:w="921" w:type="pct"/>
                  <w:noWrap w:val="0"/>
                  <w:vAlign w:val="center"/>
                </w:tcPr>
                <w:p w14:paraId="3C041750">
                  <w:pPr>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3EBE154C">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0.05</w:t>
                  </w:r>
                </w:p>
              </w:tc>
            </w:tr>
            <w:tr w14:paraId="6329E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35EE0C25">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110" w:type="pct"/>
                  <w:noWrap w:val="0"/>
                  <w:vAlign w:val="center"/>
                </w:tcPr>
                <w:p w14:paraId="1EE9AA9E">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氧化铝粉末</w:t>
                  </w:r>
                </w:p>
              </w:tc>
              <w:tc>
                <w:tcPr>
                  <w:tcW w:w="921" w:type="pct"/>
                  <w:noWrap w:val="0"/>
                  <w:vAlign w:val="center"/>
                </w:tcPr>
                <w:p w14:paraId="18EB8EBC">
                  <w:pPr>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23966A0B">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0.2</w:t>
                  </w:r>
                </w:p>
              </w:tc>
            </w:tr>
            <w:tr w14:paraId="18FEC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4C519897">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110" w:type="pct"/>
                  <w:noWrap w:val="0"/>
                  <w:vAlign w:val="center"/>
                </w:tcPr>
                <w:p w14:paraId="3CA278B9">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氧化锆粉末</w:t>
                  </w:r>
                </w:p>
              </w:tc>
              <w:tc>
                <w:tcPr>
                  <w:tcW w:w="921" w:type="pct"/>
                  <w:noWrap w:val="0"/>
                  <w:vAlign w:val="center"/>
                </w:tcPr>
                <w:p w14:paraId="4DC1AD67">
                  <w:pPr>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276262C8">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0.2</w:t>
                  </w:r>
                </w:p>
              </w:tc>
            </w:tr>
            <w:tr w14:paraId="7BFDE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5DE08444">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110" w:type="pct"/>
                  <w:noWrap w:val="0"/>
                  <w:vAlign w:val="center"/>
                </w:tcPr>
                <w:p w14:paraId="3A3DD0E6">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氧化锌粉末</w:t>
                  </w:r>
                </w:p>
              </w:tc>
              <w:tc>
                <w:tcPr>
                  <w:tcW w:w="921" w:type="pct"/>
                  <w:noWrap w:val="0"/>
                  <w:vAlign w:val="center"/>
                </w:tcPr>
                <w:p w14:paraId="6C178AF6">
                  <w:pPr>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t/a</w:t>
                  </w:r>
                </w:p>
              </w:tc>
              <w:tc>
                <w:tcPr>
                  <w:tcW w:w="2250" w:type="pct"/>
                  <w:noWrap w:val="0"/>
                  <w:vAlign w:val="center"/>
                </w:tcPr>
                <w:p w14:paraId="5FFA839F">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0.05</w:t>
                  </w:r>
                </w:p>
              </w:tc>
            </w:tr>
            <w:tr w14:paraId="15684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6" w:type="pct"/>
                  <w:vMerge w:val="continue"/>
                  <w:noWrap w:val="0"/>
                  <w:vAlign w:val="center"/>
                </w:tcPr>
                <w:p w14:paraId="26DD4B3A">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p>
              </w:tc>
              <w:tc>
                <w:tcPr>
                  <w:tcW w:w="2032" w:type="pct"/>
                  <w:gridSpan w:val="2"/>
                  <w:noWrap w:val="0"/>
                  <w:vAlign w:val="center"/>
                </w:tcPr>
                <w:p w14:paraId="2CB23042">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总计</w:t>
                  </w:r>
                </w:p>
              </w:tc>
              <w:tc>
                <w:tcPr>
                  <w:tcW w:w="2250" w:type="pct"/>
                  <w:noWrap w:val="0"/>
                  <w:vAlign w:val="center"/>
                </w:tcPr>
                <w:p w14:paraId="32B07F0F">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5.6</w:t>
                  </w:r>
                  <w:r>
                    <w:rPr>
                      <w:rFonts w:hint="eastAsia" w:cs="Times New Roman"/>
                      <w:color w:val="auto"/>
                      <w:kern w:val="0"/>
                      <w:sz w:val="21"/>
                      <w:szCs w:val="21"/>
                      <w:highlight w:val="none"/>
                      <w:lang w:val="en-US" w:eastAsia="zh-CN"/>
                    </w:rPr>
                    <w:t>5</w:t>
                  </w:r>
                </w:p>
              </w:tc>
            </w:tr>
            <w:tr w14:paraId="02727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noWrap w:val="0"/>
                  <w:vAlign w:val="center"/>
                </w:tcPr>
                <w:p w14:paraId="0647A334">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lang w:val="en-US" w:eastAsia="zh-CN"/>
                    </w:rPr>
                  </w:pPr>
                  <w:r>
                    <w:rPr>
                      <w:rFonts w:hint="eastAsia" w:ascii="Times New Roman" w:hAnsi="Times New Roman" w:cs="Times New Roman"/>
                      <w:b/>
                      <w:bCs/>
                      <w:color w:val="auto"/>
                      <w:kern w:val="0"/>
                      <w:sz w:val="21"/>
                      <w:szCs w:val="21"/>
                      <w:highlight w:val="none"/>
                      <w:lang w:val="en-US" w:eastAsia="zh-CN"/>
                    </w:rPr>
                    <w:t>产污系数（kg/t物料）</w:t>
                  </w:r>
                </w:p>
              </w:tc>
              <w:tc>
                <w:tcPr>
                  <w:tcW w:w="2250" w:type="pct"/>
                  <w:noWrap w:val="0"/>
                  <w:vAlign w:val="center"/>
                </w:tcPr>
                <w:p w14:paraId="40257375">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0.02</w:t>
                  </w:r>
                </w:p>
              </w:tc>
            </w:tr>
            <w:tr w14:paraId="55616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noWrap w:val="0"/>
                  <w:vAlign w:val="center"/>
                </w:tcPr>
                <w:p w14:paraId="49FC2F87">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风量</w:t>
                  </w:r>
                  <w:r>
                    <w:rPr>
                      <w:rFonts w:hint="default" w:ascii="Times New Roman" w:hAnsi="Times New Roman" w:cs="Times New Roman"/>
                      <w:b/>
                      <w:bCs/>
                      <w:color w:val="auto"/>
                      <w:kern w:val="0"/>
                      <w:sz w:val="21"/>
                      <w:szCs w:val="21"/>
                      <w:highlight w:val="none"/>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2250" w:type="pct"/>
                  <w:noWrap w:val="0"/>
                  <w:vAlign w:val="center"/>
                </w:tcPr>
                <w:p w14:paraId="054B7811">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1000</w:t>
                  </w:r>
                </w:p>
              </w:tc>
            </w:tr>
            <w:tr w14:paraId="6165A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0CB4FE04">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rPr>
                    <w:t>年工作时间（h）</w:t>
                  </w:r>
                </w:p>
              </w:tc>
              <w:tc>
                <w:tcPr>
                  <w:tcW w:w="2250" w:type="pct"/>
                  <w:noWrap w:val="0"/>
                  <w:vAlign w:val="center"/>
                </w:tcPr>
                <w:p w14:paraId="0C93B387">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600</w:t>
                  </w:r>
                </w:p>
              </w:tc>
            </w:tr>
            <w:tr w14:paraId="1F31B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5CCE9C3D">
                  <w:pPr>
                    <w:pStyle w:val="4"/>
                    <w:autoSpaceDN w:val="0"/>
                    <w:spacing w:before="0"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产生量（t/a）</w:t>
                  </w:r>
                </w:p>
              </w:tc>
              <w:tc>
                <w:tcPr>
                  <w:tcW w:w="2250" w:type="pct"/>
                  <w:noWrap w:val="0"/>
                  <w:vAlign w:val="center"/>
                </w:tcPr>
                <w:p w14:paraId="7AF01699">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0.00011</w:t>
                  </w:r>
                </w:p>
              </w:tc>
            </w:tr>
            <w:tr w14:paraId="7B23A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483CBC47">
                  <w:pPr>
                    <w:pStyle w:val="4"/>
                    <w:autoSpaceDN w:val="0"/>
                    <w:spacing w:before="0" w:after="0"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lang w:val="en-US" w:eastAsia="zh-CN"/>
                    </w:rPr>
                    <w:t>产生速率（kg/h）</w:t>
                  </w:r>
                </w:p>
              </w:tc>
              <w:tc>
                <w:tcPr>
                  <w:tcW w:w="2250" w:type="pct"/>
                  <w:noWrap w:val="0"/>
                  <w:vAlign w:val="center"/>
                </w:tcPr>
                <w:p w14:paraId="280E3072">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0.00019</w:t>
                  </w:r>
                </w:p>
              </w:tc>
            </w:tr>
            <w:tr w14:paraId="3F411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3A7329F9">
                  <w:pPr>
                    <w:pStyle w:val="4"/>
                    <w:autoSpaceDN w:val="0"/>
                    <w:spacing w:before="0" w:after="0"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lang w:val="en-US" w:eastAsia="zh-CN"/>
                    </w:rPr>
                    <w:t>措施</w:t>
                  </w:r>
                </w:p>
              </w:tc>
              <w:tc>
                <w:tcPr>
                  <w:tcW w:w="2250" w:type="pct"/>
                  <w:noWrap w:val="0"/>
                  <w:vAlign w:val="center"/>
                </w:tcPr>
                <w:p w14:paraId="42F0A50B">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脉冲净化器</w:t>
                  </w:r>
                </w:p>
              </w:tc>
            </w:tr>
            <w:tr w14:paraId="67823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725F88DE">
                  <w:pPr>
                    <w:pStyle w:val="4"/>
                    <w:autoSpaceDN w:val="0"/>
                    <w:spacing w:before="0" w:after="0"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rPr>
                    <w:t>收集效率</w:t>
                  </w:r>
                </w:p>
              </w:tc>
              <w:tc>
                <w:tcPr>
                  <w:tcW w:w="2250" w:type="pct"/>
                  <w:noWrap w:val="0"/>
                  <w:vAlign w:val="center"/>
                </w:tcPr>
                <w:p w14:paraId="1AB11440">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85%</w:t>
                  </w:r>
                </w:p>
              </w:tc>
            </w:tr>
            <w:tr w14:paraId="10613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5619F965">
                  <w:pPr>
                    <w:pStyle w:val="4"/>
                    <w:autoSpaceDN w:val="0"/>
                    <w:spacing w:before="0" w:after="0"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rPr>
                    <w:t>去除效率</w:t>
                  </w:r>
                </w:p>
              </w:tc>
              <w:tc>
                <w:tcPr>
                  <w:tcW w:w="2250" w:type="pct"/>
                  <w:noWrap w:val="0"/>
                  <w:vAlign w:val="center"/>
                </w:tcPr>
                <w:p w14:paraId="53B74FF0">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99</w:t>
                  </w:r>
                  <w:r>
                    <w:rPr>
                      <w:rFonts w:hint="eastAsia" w:ascii="Times New Roman" w:hAnsi="Times New Roman" w:cs="Times New Roman"/>
                      <w:color w:val="auto"/>
                      <w:kern w:val="0"/>
                      <w:sz w:val="21"/>
                      <w:szCs w:val="21"/>
                      <w:highlight w:val="none"/>
                      <w:lang w:val="en-US" w:eastAsia="zh-CN"/>
                    </w:rPr>
                    <w:t>%</w:t>
                  </w:r>
                </w:p>
              </w:tc>
            </w:tr>
            <w:tr w14:paraId="6F5D2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278C5152">
                  <w:pPr>
                    <w:pStyle w:val="4"/>
                    <w:autoSpaceDN w:val="0"/>
                    <w:spacing w:before="0" w:after="0"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rPr>
                    <w:t>排放量（t/a）</w:t>
                  </w:r>
                </w:p>
              </w:tc>
              <w:tc>
                <w:tcPr>
                  <w:tcW w:w="3714" w:type="dxa"/>
                  <w:noWrap w:val="0"/>
                  <w:vAlign w:val="center"/>
                </w:tcPr>
                <w:p w14:paraId="1C2BBF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0.000018</w:t>
                  </w:r>
                </w:p>
              </w:tc>
            </w:tr>
            <w:tr w14:paraId="7C669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749" w:type="pct"/>
                  <w:gridSpan w:val="3"/>
                  <w:shd w:val="clear" w:color="auto" w:fill="auto"/>
                  <w:noWrap w:val="0"/>
                  <w:vAlign w:val="center"/>
                </w:tcPr>
                <w:p w14:paraId="0D09393A">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bCs/>
                      <w:color w:val="auto"/>
                      <w:sz w:val="21"/>
                      <w:szCs w:val="21"/>
                      <w:highlight w:val="none"/>
                    </w:rPr>
                    <w:t>排放速率（kg/h）</w:t>
                  </w:r>
                </w:p>
              </w:tc>
              <w:tc>
                <w:tcPr>
                  <w:tcW w:w="3714" w:type="dxa"/>
                  <w:noWrap w:val="0"/>
                  <w:vAlign w:val="center"/>
                </w:tcPr>
                <w:p w14:paraId="57B484F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i w:val="0"/>
                      <w:iCs w:val="0"/>
                      <w:color w:val="auto"/>
                      <w:kern w:val="0"/>
                      <w:sz w:val="22"/>
                      <w:szCs w:val="22"/>
                      <w:highlight w:val="none"/>
                      <w:u w:val="none"/>
                      <w:lang w:val="en-US" w:eastAsia="zh-CN" w:bidi="ar"/>
                    </w:rPr>
                    <w:t>0.000030</w:t>
                  </w:r>
                </w:p>
              </w:tc>
            </w:tr>
          </w:tbl>
          <w:p w14:paraId="27543589">
            <w:pPr>
              <w:pStyle w:val="7"/>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有机废气</w:t>
            </w:r>
          </w:p>
          <w:p w14:paraId="68740227">
            <w:pPr>
              <w:pStyle w:val="7"/>
              <w:ind w:firstLine="480"/>
              <w:rPr>
                <w:rFonts w:hint="eastAsia"/>
                <w:b w:val="0"/>
                <w:bCs w:val="0"/>
                <w:color w:val="auto"/>
                <w:sz w:val="24"/>
                <w:szCs w:val="24"/>
                <w:highlight w:val="none"/>
                <w:lang w:val="en-US" w:eastAsia="zh-CN"/>
              </w:rPr>
            </w:pPr>
            <w:r>
              <w:rPr>
                <w:rFonts w:hint="eastAsia"/>
                <w:color w:val="auto"/>
                <w:highlight w:val="none"/>
                <w:lang w:val="en-US" w:eastAsia="zh-CN"/>
              </w:rPr>
              <w:t>本项目高温混合、表面处理、反应复合以及热处理过程会产生有机废气，涉VOCs原辅料有：聚乙烯醇粉末（0.1t/a）、</w:t>
            </w:r>
            <w:r>
              <w:rPr>
                <w:rFonts w:hint="eastAsia"/>
                <w:color w:val="auto"/>
                <w:szCs w:val="21"/>
                <w:highlight w:val="none"/>
              </w:rPr>
              <w:t>乳蜡</w:t>
            </w:r>
            <w:r>
              <w:rPr>
                <w:rFonts w:hint="eastAsia"/>
                <w:color w:val="auto"/>
                <w:szCs w:val="21"/>
                <w:highlight w:val="none"/>
                <w:lang w:eastAsia="zh-CN"/>
              </w:rPr>
              <w:t>（</w:t>
            </w:r>
            <w:r>
              <w:rPr>
                <w:rFonts w:hint="eastAsia"/>
                <w:color w:val="auto"/>
                <w:szCs w:val="21"/>
                <w:highlight w:val="none"/>
                <w:lang w:val="en-US" w:eastAsia="zh-CN"/>
              </w:rPr>
              <w:t>液态，</w:t>
            </w:r>
            <w:r>
              <w:rPr>
                <w:rFonts w:hint="eastAsia"/>
                <w:color w:val="auto"/>
                <w:highlight w:val="none"/>
                <w:lang w:val="en-US" w:eastAsia="zh-CN"/>
              </w:rPr>
              <w:t>0.05t/a</w:t>
            </w:r>
            <w:r>
              <w:rPr>
                <w:rFonts w:hint="eastAsia"/>
                <w:color w:val="auto"/>
                <w:szCs w:val="21"/>
                <w:highlight w:val="none"/>
                <w:lang w:eastAsia="zh-CN"/>
              </w:rPr>
              <w:t>）</w:t>
            </w:r>
            <w:r>
              <w:rPr>
                <w:rFonts w:hint="eastAsia"/>
                <w:color w:val="auto"/>
                <w:highlight w:val="none"/>
                <w:lang w:val="en-US" w:eastAsia="zh-CN"/>
              </w:rPr>
              <w:t>。根据</w:t>
            </w:r>
            <w:r>
              <w:rPr>
                <w:rFonts w:hint="eastAsia"/>
                <w:color w:val="auto"/>
                <w:szCs w:val="21"/>
                <w:highlight w:val="none"/>
                <w:u w:val="none"/>
                <w:lang w:val="en-US" w:eastAsia="zh-CN"/>
              </w:rPr>
              <w:t>建设单位提供的本项目所用聚乙烯醇粉末检验报告（见附件8），挥发份≤3.15%，本次按3.15%挥发计，乳蜡</w:t>
            </w:r>
            <w:r>
              <w:rPr>
                <w:rFonts w:hint="eastAsia"/>
                <w:color w:val="auto"/>
                <w:highlight w:val="none"/>
                <w:lang w:val="en-US" w:eastAsia="zh-CN"/>
              </w:rPr>
              <w:t>按其最不利工况（全部挥发）进行核算。</w:t>
            </w:r>
            <w:r>
              <w:rPr>
                <w:rFonts w:hint="eastAsia"/>
                <w:b w:val="0"/>
                <w:bCs w:val="0"/>
                <w:color w:val="auto"/>
                <w:sz w:val="24"/>
                <w:szCs w:val="24"/>
                <w:highlight w:val="none"/>
              </w:rPr>
              <w:t>本项目</w:t>
            </w:r>
            <w:r>
              <w:rPr>
                <w:rFonts w:hint="eastAsia"/>
                <w:b w:val="0"/>
                <w:bCs w:val="0"/>
                <w:color w:val="auto"/>
                <w:sz w:val="24"/>
                <w:szCs w:val="24"/>
                <w:highlight w:val="none"/>
                <w:lang w:val="en-US" w:eastAsia="zh-CN"/>
              </w:rPr>
              <w:t>有机废气由</w:t>
            </w:r>
            <w:r>
              <w:rPr>
                <w:rFonts w:hint="eastAsia"/>
                <w:b w:val="0"/>
                <w:bCs w:val="0"/>
                <w:color w:val="auto"/>
                <w:sz w:val="24"/>
                <w:szCs w:val="24"/>
                <w:highlight w:val="none"/>
                <w:lang w:val="en-US" w:eastAsia="zh-CN"/>
              </w:rPr>
              <w:t>10个</w:t>
            </w:r>
            <w:r>
              <w:rPr>
                <w:rFonts w:hint="eastAsia"/>
                <w:b w:val="0"/>
                <w:bCs w:val="0"/>
                <w:color w:val="auto"/>
                <w:sz w:val="24"/>
                <w:szCs w:val="24"/>
                <w:highlight w:val="none"/>
                <w:lang w:val="en-US" w:eastAsia="zh-CN"/>
              </w:rPr>
              <w:t>集气罩收集</w:t>
            </w:r>
            <w:r>
              <w:rPr>
                <w:rFonts w:hint="eastAsia" w:eastAsia="宋体"/>
                <w:color w:val="auto"/>
                <w:sz w:val="24"/>
                <w:highlight w:val="none"/>
                <w:lang w:val="en-US" w:eastAsia="zh-CN"/>
              </w:rPr>
              <w:t>进入</w:t>
            </w:r>
            <w:r>
              <w:rPr>
                <w:rFonts w:hint="eastAsia"/>
                <w:color w:val="auto"/>
                <w:sz w:val="24"/>
                <w:highlight w:val="none"/>
                <w:lang w:val="en-US" w:eastAsia="zh-CN"/>
              </w:rPr>
              <w:t>二级</w:t>
            </w:r>
            <w:r>
              <w:rPr>
                <w:rFonts w:hint="eastAsia" w:eastAsia="宋体"/>
                <w:color w:val="auto"/>
                <w:sz w:val="24"/>
                <w:highlight w:val="none"/>
                <w:lang w:val="en-US" w:eastAsia="zh-CN"/>
              </w:rPr>
              <w:t>活性炭装置处理后</w:t>
            </w:r>
            <w:r>
              <w:rPr>
                <w:rFonts w:hint="eastAsia"/>
                <w:color w:val="auto"/>
                <w:sz w:val="24"/>
                <w:highlight w:val="none"/>
                <w:lang w:val="en-US" w:eastAsia="zh-CN"/>
              </w:rPr>
              <w:t>通过</w:t>
            </w:r>
            <w:r>
              <w:rPr>
                <w:rFonts w:hint="eastAsia"/>
                <w:color w:val="auto"/>
                <w:sz w:val="24"/>
                <w:highlight w:val="none"/>
                <w:lang w:val="en-US" w:eastAsia="zh-CN"/>
              </w:rPr>
              <w:t>1根</w:t>
            </w:r>
            <w:r>
              <w:rPr>
                <w:rFonts w:hint="eastAsia"/>
                <w:color w:val="auto"/>
                <w:sz w:val="24"/>
                <w:highlight w:val="none"/>
                <w:lang w:val="en-US" w:eastAsia="zh-CN"/>
              </w:rPr>
              <w:t>18.5m高排气筒（DA001）排放</w:t>
            </w:r>
            <w:r>
              <w:rPr>
                <w:rFonts w:hint="eastAsia"/>
                <w:b w:val="0"/>
                <w:bCs w:val="0"/>
                <w:color w:val="auto"/>
                <w:sz w:val="24"/>
                <w:szCs w:val="24"/>
                <w:highlight w:val="none"/>
                <w:lang w:val="en-US" w:eastAsia="zh-CN"/>
              </w:rPr>
              <w:t>。</w:t>
            </w:r>
          </w:p>
          <w:p w14:paraId="4CDCDA07">
            <w:pPr>
              <w:pStyle w:val="7"/>
              <w:ind w:firstLine="480"/>
              <w:rPr>
                <w:color w:val="auto"/>
                <w:highlight w:val="none"/>
              </w:rPr>
            </w:pPr>
            <w:r>
              <w:rPr>
                <w:color w:val="auto"/>
                <w:highlight w:val="none"/>
              </w:rPr>
              <w:t>本项目</w:t>
            </w:r>
            <w:r>
              <w:rPr>
                <w:rFonts w:hint="eastAsia"/>
                <w:color w:val="auto"/>
                <w:highlight w:val="none"/>
              </w:rPr>
              <w:t>拟</w:t>
            </w:r>
            <w:r>
              <w:rPr>
                <w:color w:val="auto"/>
                <w:highlight w:val="none"/>
              </w:rPr>
              <w:t>在</w:t>
            </w:r>
            <w:r>
              <w:rPr>
                <w:rFonts w:hint="eastAsia"/>
                <w:color w:val="auto"/>
                <w:highlight w:val="none"/>
                <w:lang w:val="en-US" w:eastAsia="zh-CN"/>
              </w:rPr>
              <w:t>高温混合、表面处理、反应复合以及热处理过程涉及的</w:t>
            </w:r>
            <w:r>
              <w:rPr>
                <w:rFonts w:hint="eastAsia"/>
                <w:color w:val="auto"/>
                <w:highlight w:val="none"/>
              </w:rPr>
              <w:t>设备</w:t>
            </w:r>
            <w:r>
              <w:rPr>
                <w:color w:val="auto"/>
                <w:highlight w:val="none"/>
              </w:rPr>
              <w:t>上方设集气</w:t>
            </w:r>
            <w:r>
              <w:rPr>
                <w:rFonts w:hint="eastAsia"/>
                <w:color w:val="auto"/>
                <w:highlight w:val="none"/>
              </w:rPr>
              <w:t>罩，</w:t>
            </w:r>
            <w:r>
              <w:rPr>
                <w:color w:val="auto"/>
                <w:highlight w:val="none"/>
              </w:rPr>
              <w:t>参考《</w:t>
            </w:r>
            <w:r>
              <w:rPr>
                <w:rFonts w:hint="eastAsia"/>
                <w:color w:val="auto"/>
                <w:highlight w:val="none"/>
              </w:rPr>
              <w:t>环境工程设计手册</w:t>
            </w:r>
            <w:r>
              <w:rPr>
                <w:color w:val="auto"/>
                <w:highlight w:val="none"/>
              </w:rPr>
              <w:t>》</w:t>
            </w:r>
            <w:r>
              <w:rPr>
                <w:rFonts w:hint="eastAsia"/>
                <w:color w:val="auto"/>
                <w:highlight w:val="none"/>
              </w:rPr>
              <w:t>中的</w:t>
            </w:r>
            <w:r>
              <w:rPr>
                <w:color w:val="auto"/>
                <w:highlight w:val="none"/>
              </w:rPr>
              <w:t>集气罩风量计算公式：</w:t>
            </w:r>
          </w:p>
          <w:p w14:paraId="604FCF67">
            <w:pPr>
              <w:pStyle w:val="7"/>
              <w:ind w:firstLine="0" w:firstLineChars="0"/>
              <w:jc w:val="center"/>
              <w:rPr>
                <w:color w:val="auto"/>
                <w:highlight w:val="none"/>
              </w:rPr>
            </w:pPr>
            <w:r>
              <w:rPr>
                <w:color w:val="auto"/>
                <w:highlight w:val="none"/>
              </w:rPr>
              <w:t>Q=3600（</w:t>
            </w:r>
            <w:r>
              <w:rPr>
                <w:rFonts w:hint="eastAsia"/>
                <w:color w:val="auto"/>
                <w:highlight w:val="none"/>
              </w:rPr>
              <w:t>5</w:t>
            </w:r>
            <w:r>
              <w:rPr>
                <w:color w:val="auto"/>
                <w:highlight w:val="none"/>
              </w:rPr>
              <w:t>X</w:t>
            </w:r>
            <w:r>
              <w:rPr>
                <w:color w:val="auto"/>
                <w:highlight w:val="none"/>
                <w:vertAlign w:val="superscript"/>
              </w:rPr>
              <w:t>2</w:t>
            </w:r>
            <w:r>
              <w:rPr>
                <w:color w:val="auto"/>
                <w:highlight w:val="none"/>
              </w:rPr>
              <w:t>+F）V</w:t>
            </w:r>
            <w:r>
              <w:rPr>
                <w:color w:val="auto"/>
                <w:highlight w:val="none"/>
                <w:vertAlign w:val="subscript"/>
              </w:rPr>
              <w:t>x</w:t>
            </w:r>
          </w:p>
          <w:p w14:paraId="31B054DC">
            <w:pPr>
              <w:pStyle w:val="7"/>
              <w:ind w:firstLine="480"/>
              <w:rPr>
                <w:color w:val="auto"/>
                <w:highlight w:val="none"/>
              </w:rPr>
            </w:pPr>
            <w:r>
              <w:rPr>
                <w:color w:val="auto"/>
                <w:highlight w:val="none"/>
              </w:rPr>
              <w:t>式中：</w:t>
            </w:r>
          </w:p>
          <w:p w14:paraId="30C655E3">
            <w:pPr>
              <w:pStyle w:val="7"/>
              <w:ind w:firstLine="480"/>
              <w:rPr>
                <w:color w:val="auto"/>
                <w:highlight w:val="none"/>
                <w:lang w:eastAsia="zh-TW"/>
              </w:rPr>
            </w:pPr>
            <w:r>
              <w:rPr>
                <w:color w:val="auto"/>
                <w:highlight w:val="none"/>
                <w:lang w:eastAsia="zh-TW"/>
              </w:rPr>
              <w:t>Q--集气罩排风量，m</w:t>
            </w:r>
            <w:r>
              <w:rPr>
                <w:color w:val="auto"/>
                <w:highlight w:val="none"/>
                <w:vertAlign w:val="superscript"/>
                <w:lang w:eastAsia="zh-TW"/>
              </w:rPr>
              <w:t>3</w:t>
            </w:r>
            <w:r>
              <w:rPr>
                <w:color w:val="auto"/>
                <w:highlight w:val="none"/>
                <w:lang w:eastAsia="zh-TW"/>
              </w:rPr>
              <w:t>/h；</w:t>
            </w:r>
          </w:p>
          <w:p w14:paraId="2995567B">
            <w:pPr>
              <w:pStyle w:val="7"/>
              <w:ind w:firstLine="480"/>
              <w:rPr>
                <w:color w:val="auto"/>
                <w:highlight w:val="none"/>
                <w:lang w:eastAsia="zh-TW"/>
              </w:rPr>
            </w:pPr>
            <w:r>
              <w:rPr>
                <w:color w:val="auto"/>
                <w:highlight w:val="none"/>
                <w:lang w:eastAsia="zh-TW"/>
              </w:rPr>
              <w:t>X--污染源至罩口距离，m；本项目取</w:t>
            </w:r>
            <w:r>
              <w:rPr>
                <w:rFonts w:hint="eastAsia"/>
                <w:color w:val="auto"/>
                <w:highlight w:val="none"/>
              </w:rPr>
              <w:t>0.1</w:t>
            </w:r>
            <w:r>
              <w:rPr>
                <w:color w:val="auto"/>
                <w:highlight w:val="none"/>
                <w:lang w:eastAsia="zh-TW"/>
              </w:rPr>
              <w:t>m；</w:t>
            </w:r>
          </w:p>
          <w:p w14:paraId="17FC3A4A">
            <w:pPr>
              <w:pStyle w:val="7"/>
              <w:ind w:firstLine="480"/>
              <w:rPr>
                <w:color w:val="auto"/>
                <w:highlight w:val="none"/>
              </w:rPr>
            </w:pPr>
            <w:r>
              <w:rPr>
                <w:color w:val="auto"/>
                <w:highlight w:val="none"/>
              </w:rPr>
              <w:t>F--吸气口的面积</w:t>
            </w:r>
            <w:r>
              <w:rPr>
                <w:rFonts w:hint="eastAsia"/>
                <w:color w:val="auto"/>
                <w:highlight w:val="none"/>
                <w:lang w:val="en-US" w:eastAsia="zh-CN"/>
              </w:rPr>
              <w:t>m</w:t>
            </w:r>
            <w:r>
              <w:rPr>
                <w:rFonts w:hint="eastAsia"/>
                <w:color w:val="auto"/>
                <w:highlight w:val="none"/>
                <w:vertAlign w:val="superscript"/>
                <w:lang w:val="en-US" w:eastAsia="zh-CN"/>
              </w:rPr>
              <w:t>2</w:t>
            </w:r>
            <w:r>
              <w:rPr>
                <w:color w:val="auto"/>
                <w:highlight w:val="none"/>
              </w:rPr>
              <w:t>；</w:t>
            </w:r>
          </w:p>
          <w:p w14:paraId="3A6E0EA2">
            <w:pPr>
              <w:pStyle w:val="7"/>
              <w:ind w:firstLine="480"/>
              <w:rPr>
                <w:rFonts w:hint="eastAsia"/>
                <w:color w:val="auto"/>
                <w:highlight w:val="none"/>
              </w:rPr>
            </w:pPr>
            <w:r>
              <w:rPr>
                <w:color w:val="auto"/>
                <w:highlight w:val="none"/>
              </w:rPr>
              <w:t>V</w:t>
            </w:r>
            <w:r>
              <w:rPr>
                <w:color w:val="auto"/>
                <w:highlight w:val="none"/>
                <w:vertAlign w:val="subscript"/>
              </w:rPr>
              <w:t>x</w:t>
            </w:r>
            <w:r>
              <w:rPr>
                <w:color w:val="auto"/>
                <w:highlight w:val="none"/>
              </w:rPr>
              <w:t>--控制风速</w:t>
            </w:r>
            <w:r>
              <w:rPr>
                <w:rFonts w:hint="eastAsia"/>
                <w:color w:val="auto"/>
                <w:highlight w:val="none"/>
              </w:rPr>
              <w:t>（m/s，取值0.5m/s）。</w:t>
            </w:r>
          </w:p>
          <w:p w14:paraId="50BC0464">
            <w:pPr>
              <w:pStyle w:val="7"/>
              <w:ind w:firstLine="480"/>
              <w:rPr>
                <w:color w:val="auto"/>
                <w:highlight w:val="none"/>
              </w:rPr>
            </w:pPr>
            <w:r>
              <w:rPr>
                <w:rFonts w:hint="eastAsia"/>
                <w:color w:val="auto"/>
                <w:highlight w:val="none"/>
              </w:rPr>
              <w:t>本项目</w:t>
            </w:r>
            <w:r>
              <w:rPr>
                <w:rFonts w:hint="eastAsia"/>
                <w:color w:val="auto"/>
                <w:highlight w:val="none"/>
                <w:lang w:val="en-US" w:eastAsia="zh-CN"/>
              </w:rPr>
              <w:t>有机废气</w:t>
            </w:r>
            <w:r>
              <w:rPr>
                <w:rFonts w:hint="eastAsia"/>
                <w:color w:val="auto"/>
                <w:highlight w:val="none"/>
              </w:rPr>
              <w:t>拟设置</w:t>
            </w:r>
            <w:r>
              <w:rPr>
                <w:rFonts w:hint="eastAsia"/>
                <w:color w:val="auto"/>
                <w:highlight w:val="none"/>
                <w:lang w:val="en-US" w:eastAsia="zh-CN"/>
              </w:rPr>
              <w:t>10</w:t>
            </w:r>
            <w:r>
              <w:rPr>
                <w:rFonts w:hint="eastAsia"/>
                <w:color w:val="auto"/>
                <w:highlight w:val="none"/>
              </w:rPr>
              <w:t>个集气罩</w:t>
            </w:r>
            <w:r>
              <w:rPr>
                <w:rFonts w:hint="eastAsia"/>
                <w:color w:val="auto"/>
                <w:highlight w:val="none"/>
                <w:lang w:eastAsia="zh-CN"/>
              </w:rPr>
              <w:t>（</w:t>
            </w:r>
            <w:r>
              <w:rPr>
                <w:rFonts w:hint="eastAsia"/>
                <w:color w:val="auto"/>
                <w:highlight w:val="none"/>
                <w:lang w:val="en-US" w:eastAsia="zh-CN"/>
              </w:rPr>
              <w:t>集气罩具体数量以实际建设为主</w:t>
            </w:r>
            <w:r>
              <w:rPr>
                <w:rFonts w:hint="eastAsia"/>
                <w:color w:val="auto"/>
                <w:highlight w:val="none"/>
                <w:lang w:eastAsia="zh-CN"/>
              </w:rPr>
              <w:t>）</w:t>
            </w:r>
            <w:r>
              <w:rPr>
                <w:rFonts w:hint="eastAsia"/>
                <w:color w:val="auto"/>
                <w:highlight w:val="none"/>
              </w:rPr>
              <w:t>，单个集气罩设计尺寸为</w:t>
            </w:r>
            <w:r>
              <w:rPr>
                <w:rFonts w:hint="eastAsia"/>
                <w:color w:val="auto"/>
                <w:highlight w:val="none"/>
              </w:rPr>
              <w:t>0.</w:t>
            </w:r>
            <w:r>
              <w:rPr>
                <w:rFonts w:hint="eastAsia"/>
                <w:color w:val="auto"/>
                <w:highlight w:val="none"/>
                <w:lang w:val="en-US" w:eastAsia="zh-CN"/>
              </w:rPr>
              <w:t>3</w:t>
            </w:r>
            <w:r>
              <w:rPr>
                <w:rFonts w:hint="eastAsia"/>
                <w:color w:val="auto"/>
                <w:highlight w:val="none"/>
              </w:rPr>
              <w:t>m</w:t>
            </w:r>
            <w:r>
              <w:rPr>
                <w:rFonts w:hint="eastAsia"/>
                <w:color w:val="auto"/>
                <w:highlight w:val="none"/>
                <w:lang w:val="en-US" w:eastAsia="zh-CN"/>
              </w:rPr>
              <w:t>*</w:t>
            </w:r>
            <w:r>
              <w:rPr>
                <w:rFonts w:hint="eastAsia"/>
                <w:color w:val="auto"/>
                <w:highlight w:val="none"/>
              </w:rPr>
              <w:t>0.</w:t>
            </w:r>
            <w:r>
              <w:rPr>
                <w:rFonts w:hint="eastAsia"/>
                <w:color w:val="auto"/>
                <w:highlight w:val="none"/>
                <w:lang w:val="en-US" w:eastAsia="zh-CN"/>
              </w:rPr>
              <w:t>4</w:t>
            </w:r>
            <w:r>
              <w:rPr>
                <w:rFonts w:hint="eastAsia"/>
                <w:color w:val="auto"/>
                <w:highlight w:val="none"/>
              </w:rPr>
              <w:t>m</w:t>
            </w:r>
            <w:r>
              <w:rPr>
                <w:rFonts w:hint="eastAsia"/>
                <w:color w:val="auto"/>
                <w:highlight w:val="none"/>
              </w:rPr>
              <w:t>，则集气罩风量为</w:t>
            </w:r>
            <w:r>
              <w:rPr>
                <w:rFonts w:hint="eastAsia"/>
                <w:color w:val="auto"/>
                <w:highlight w:val="none"/>
                <w:lang w:val="en-US" w:eastAsia="zh-CN"/>
              </w:rPr>
              <w:t>3060</w:t>
            </w:r>
            <w:r>
              <w:rPr>
                <w:color w:val="auto"/>
                <w:highlight w:val="none"/>
              </w:rPr>
              <w:t>m</w:t>
            </w:r>
            <w:r>
              <w:rPr>
                <w:color w:val="auto"/>
                <w:highlight w:val="none"/>
                <w:vertAlign w:val="superscript"/>
              </w:rPr>
              <w:t>3</w:t>
            </w:r>
            <w:r>
              <w:rPr>
                <w:color w:val="auto"/>
                <w:highlight w:val="none"/>
              </w:rPr>
              <w:t>/h</w:t>
            </w:r>
            <w:r>
              <w:rPr>
                <w:rFonts w:hint="eastAsia"/>
                <w:color w:val="auto"/>
                <w:highlight w:val="none"/>
              </w:rPr>
              <w:t>，考虑到管道风量漏风，设计风量取计算风量的1.2倍，则实际风量为</w:t>
            </w:r>
            <w:r>
              <w:rPr>
                <w:rFonts w:hint="eastAsia"/>
                <w:color w:val="auto"/>
                <w:highlight w:val="none"/>
                <w:lang w:val="en-US" w:eastAsia="zh-CN"/>
              </w:rPr>
              <w:t>3672</w:t>
            </w:r>
            <w:r>
              <w:rPr>
                <w:rFonts w:hint="eastAsia"/>
                <w:color w:val="auto"/>
                <w:highlight w:val="none"/>
              </w:rPr>
              <w:t>m</w:t>
            </w:r>
            <w:r>
              <w:rPr>
                <w:rFonts w:hint="eastAsia"/>
                <w:color w:val="auto"/>
                <w:highlight w:val="none"/>
                <w:vertAlign w:val="superscript"/>
              </w:rPr>
              <w:t>3</w:t>
            </w:r>
            <w:r>
              <w:rPr>
                <w:rFonts w:hint="eastAsia"/>
                <w:color w:val="auto"/>
                <w:highlight w:val="none"/>
              </w:rPr>
              <w:t>/h，取整为</w:t>
            </w:r>
            <w:r>
              <w:rPr>
                <w:rFonts w:hint="eastAsia"/>
                <w:color w:val="auto"/>
                <w:highlight w:val="none"/>
                <w:lang w:val="en-US" w:eastAsia="zh-CN"/>
              </w:rPr>
              <w:t>4000</w:t>
            </w:r>
            <w:r>
              <w:rPr>
                <w:rFonts w:hint="eastAsia"/>
                <w:color w:val="auto"/>
                <w:highlight w:val="none"/>
              </w:rPr>
              <w:t>m</w:t>
            </w:r>
            <w:r>
              <w:rPr>
                <w:rFonts w:hint="eastAsia"/>
                <w:color w:val="auto"/>
                <w:highlight w:val="none"/>
                <w:vertAlign w:val="superscript"/>
              </w:rPr>
              <w:t>3</w:t>
            </w:r>
            <w:r>
              <w:rPr>
                <w:rFonts w:hint="eastAsia"/>
                <w:color w:val="auto"/>
                <w:highlight w:val="none"/>
              </w:rPr>
              <w:t>/h。</w:t>
            </w:r>
          </w:p>
          <w:p w14:paraId="23B7B1A4">
            <w:pPr>
              <w:pStyle w:val="7"/>
              <w:ind w:firstLine="480"/>
              <w:rPr>
                <w:rFonts w:hint="eastAsia"/>
                <w:b w:val="0"/>
                <w:bCs w:val="0"/>
                <w:color w:val="auto"/>
                <w:sz w:val="24"/>
                <w:szCs w:val="24"/>
                <w:highlight w:val="none"/>
                <w:lang w:val="en-US" w:eastAsia="zh-CN"/>
              </w:rPr>
            </w:pPr>
            <w:r>
              <w:rPr>
                <w:rFonts w:hint="eastAsia"/>
                <w:color w:val="auto"/>
                <w:highlight w:val="none"/>
              </w:rPr>
              <w:t>本项目</w:t>
            </w:r>
            <w:r>
              <w:rPr>
                <w:rFonts w:hint="eastAsia"/>
                <w:b w:val="0"/>
                <w:bCs w:val="0"/>
                <w:color w:val="auto"/>
                <w:sz w:val="24"/>
                <w:szCs w:val="24"/>
                <w:highlight w:val="none"/>
                <w:lang w:val="en-US" w:eastAsia="zh-CN"/>
              </w:rPr>
              <w:t>有机废气采用集气罩收集，集气罩四周设有软帘围挡，防止有机废气横向扩散，根据《陕西省大气主要污染物许可排放量及实际排放量核定方法》，集气罩收集效率取60%。根据《主要污染物总量减排核算技术指南》（2022年修订），</w:t>
            </w:r>
            <w:r>
              <w:rPr>
                <w:rFonts w:hint="eastAsia"/>
                <w:b w:val="0"/>
                <w:bCs w:val="0"/>
                <w:color w:val="auto"/>
                <w:sz w:val="24"/>
                <w:szCs w:val="24"/>
                <w:highlight w:val="none"/>
                <w:lang w:val="en-US" w:eastAsia="zh-CN"/>
              </w:rPr>
              <w:t>本次核算二级活性炭对有机废气去除效率按50%计。</w:t>
            </w:r>
          </w:p>
          <w:p w14:paraId="4BA4DEE7">
            <w:pPr>
              <w:pStyle w:val="7"/>
              <w:ind w:firstLine="480"/>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综上，本项目有机废气产排情况见表4-3。</w:t>
            </w:r>
          </w:p>
          <w:p w14:paraId="0B7794D3">
            <w:pPr>
              <w:pStyle w:val="9"/>
              <w:spacing w:before="0" w:beforeAutospacing="0" w:after="0" w:afterAutospacing="0" w:line="240" w:lineRule="auto"/>
              <w:ind w:firstLine="0" w:firstLineChars="0"/>
              <w:jc w:val="center"/>
              <w:rPr>
                <w:rFonts w:hint="eastAsia"/>
                <w:b/>
                <w:bCs/>
                <w:color w:val="auto"/>
                <w:kern w:val="0"/>
                <w:highlight w:val="none"/>
              </w:rPr>
            </w:pPr>
            <w:r>
              <w:rPr>
                <w:rFonts w:hint="eastAsia"/>
                <w:b/>
                <w:bCs/>
                <w:color w:val="auto"/>
                <w:kern w:val="0"/>
                <w:highlight w:val="none"/>
              </w:rPr>
              <w:t>表4-3 有机废气产排情况一览表</w:t>
            </w:r>
          </w:p>
          <w:tbl>
            <w:tblPr>
              <w:tblStyle w:val="24"/>
              <w:tblW w:w="49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2442"/>
              <w:gridCol w:w="4818"/>
            </w:tblGrid>
            <w:tr w14:paraId="40BEE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80" w:type="pct"/>
                  <w:gridSpan w:val="2"/>
                  <w:noWrap w:val="0"/>
                  <w:vAlign w:val="center"/>
                </w:tcPr>
                <w:p w14:paraId="2D72D807">
                  <w:pPr>
                    <w:pStyle w:val="9"/>
                    <w:spacing w:before="0" w:beforeAutospacing="0" w:after="0" w:afterAutospacing="0" w:line="240" w:lineRule="auto"/>
                    <w:ind w:firstLine="0" w:firstLine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类别</w:t>
                  </w:r>
                </w:p>
              </w:tc>
              <w:tc>
                <w:tcPr>
                  <w:tcW w:w="2920" w:type="pct"/>
                  <w:noWrap w:val="0"/>
                  <w:vAlign w:val="center"/>
                </w:tcPr>
                <w:p w14:paraId="5816DBD9">
                  <w:pPr>
                    <w:pStyle w:val="9"/>
                    <w:spacing w:before="0" w:beforeAutospacing="0" w:after="0" w:afterAutospacing="0"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高温混合、表面处理、反应复合以及热处理过程</w:t>
                  </w:r>
                </w:p>
              </w:tc>
            </w:tr>
            <w:tr w14:paraId="42795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restart"/>
                  <w:noWrap w:val="0"/>
                  <w:vAlign w:val="center"/>
                </w:tcPr>
                <w:p w14:paraId="6058C36E">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涉及的原辅料</w:t>
                  </w:r>
                  <w:r>
                    <w:rPr>
                      <w:rFonts w:hint="default" w:ascii="Times New Roman" w:hAnsi="Times New Roman" w:cs="Times New Roman"/>
                      <w:color w:val="auto"/>
                      <w:kern w:val="0"/>
                      <w:sz w:val="21"/>
                      <w:szCs w:val="21"/>
                      <w:highlight w:val="none"/>
                      <w:lang w:val="en-US" w:eastAsia="zh-CN"/>
                    </w:rPr>
                    <w:t>量（t/a）</w:t>
                  </w:r>
                </w:p>
              </w:tc>
              <w:tc>
                <w:tcPr>
                  <w:tcW w:w="1480" w:type="pct"/>
                  <w:noWrap w:val="0"/>
                  <w:vAlign w:val="center"/>
                </w:tcPr>
                <w:p w14:paraId="4A7B595A">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聚乙烯醇粉末</w:t>
                  </w:r>
                </w:p>
              </w:tc>
              <w:tc>
                <w:tcPr>
                  <w:tcW w:w="2920" w:type="pct"/>
                  <w:noWrap w:val="0"/>
                  <w:vAlign w:val="center"/>
                </w:tcPr>
                <w:p w14:paraId="0EE55128">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w:t>
                  </w:r>
                </w:p>
              </w:tc>
            </w:tr>
            <w:tr w14:paraId="3BCB4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459D34B6">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480" w:type="pct"/>
                  <w:noWrap w:val="0"/>
                  <w:vAlign w:val="center"/>
                </w:tcPr>
                <w:p w14:paraId="724C1629">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乳蜡（液态）</w:t>
                  </w:r>
                </w:p>
              </w:tc>
              <w:tc>
                <w:tcPr>
                  <w:tcW w:w="2920" w:type="pct"/>
                  <w:noWrap w:val="0"/>
                  <w:vAlign w:val="center"/>
                </w:tcPr>
                <w:p w14:paraId="10E5FE44">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0.05</w:t>
                  </w:r>
                </w:p>
              </w:tc>
            </w:tr>
            <w:tr w14:paraId="50DB3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80" w:type="pct"/>
                  <w:gridSpan w:val="2"/>
                  <w:noWrap w:val="0"/>
                  <w:vAlign w:val="center"/>
                </w:tcPr>
                <w:p w14:paraId="5ED79EB2">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涉及的</w:t>
                  </w:r>
                  <w:r>
                    <w:rPr>
                      <w:rFonts w:hint="default" w:ascii="Times New Roman" w:hAnsi="Times New Roman" w:cs="Times New Roman"/>
                      <w:color w:val="auto"/>
                      <w:kern w:val="0"/>
                      <w:sz w:val="21"/>
                      <w:szCs w:val="21"/>
                      <w:highlight w:val="none"/>
                      <w:lang w:val="en-US" w:eastAsia="zh-CN"/>
                    </w:rPr>
                    <w:t>VOCs</w:t>
                  </w:r>
                  <w:r>
                    <w:rPr>
                      <w:rFonts w:hint="default" w:ascii="Times New Roman" w:hAnsi="Times New Roman" w:cs="Times New Roman"/>
                      <w:color w:val="auto"/>
                      <w:kern w:val="0"/>
                      <w:sz w:val="21"/>
                      <w:szCs w:val="21"/>
                      <w:highlight w:val="none"/>
                    </w:rPr>
                    <w:t>原辅料</w:t>
                  </w:r>
                  <w:r>
                    <w:rPr>
                      <w:rFonts w:hint="eastAsia" w:cs="Times New Roman"/>
                      <w:color w:val="auto"/>
                      <w:kern w:val="0"/>
                      <w:sz w:val="21"/>
                      <w:szCs w:val="21"/>
                      <w:highlight w:val="none"/>
                      <w:lang w:val="en-US" w:eastAsia="zh-CN"/>
                    </w:rPr>
                    <w:t>挥发总</w:t>
                  </w:r>
                  <w:r>
                    <w:rPr>
                      <w:rFonts w:hint="default" w:ascii="Times New Roman" w:hAnsi="Times New Roman" w:cs="Times New Roman"/>
                      <w:color w:val="auto"/>
                      <w:kern w:val="0"/>
                      <w:sz w:val="21"/>
                      <w:szCs w:val="21"/>
                      <w:highlight w:val="none"/>
                      <w:lang w:val="en-US" w:eastAsia="zh-CN"/>
                    </w:rPr>
                    <w:t>量（t/a）</w:t>
                  </w:r>
                </w:p>
              </w:tc>
              <w:tc>
                <w:tcPr>
                  <w:tcW w:w="2920" w:type="pct"/>
                  <w:noWrap w:val="0"/>
                  <w:vAlign w:val="center"/>
                </w:tcPr>
                <w:p w14:paraId="3C1C97FC">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0.053</w:t>
                  </w:r>
                </w:p>
              </w:tc>
            </w:tr>
            <w:tr w14:paraId="180B2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80" w:type="pct"/>
                  <w:gridSpan w:val="2"/>
                  <w:noWrap w:val="0"/>
                  <w:vAlign w:val="center"/>
                </w:tcPr>
                <w:p w14:paraId="7771C0CC">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风量</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2920" w:type="pct"/>
                  <w:noWrap w:val="0"/>
                  <w:vAlign w:val="center"/>
                </w:tcPr>
                <w:p w14:paraId="2676922C">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4000</w:t>
                  </w:r>
                </w:p>
              </w:tc>
            </w:tr>
            <w:tr w14:paraId="54E9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80" w:type="pct"/>
                  <w:gridSpan w:val="2"/>
                  <w:shd w:val="clear" w:color="auto" w:fill="auto"/>
                  <w:noWrap w:val="0"/>
                  <w:vAlign w:val="center"/>
                </w:tcPr>
                <w:p w14:paraId="4662E6E5">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val="0"/>
                      <w:bCs w:val="0"/>
                      <w:color w:val="auto"/>
                      <w:sz w:val="21"/>
                      <w:szCs w:val="21"/>
                      <w:highlight w:val="none"/>
                    </w:rPr>
                    <w:t>年工作时间（h）</w:t>
                  </w:r>
                </w:p>
              </w:tc>
              <w:tc>
                <w:tcPr>
                  <w:tcW w:w="2920" w:type="pct"/>
                  <w:noWrap w:val="0"/>
                  <w:vAlign w:val="center"/>
                </w:tcPr>
                <w:p w14:paraId="07B68504">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1200</w:t>
                  </w:r>
                </w:p>
              </w:tc>
            </w:tr>
            <w:tr w14:paraId="2FF1A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080" w:type="pct"/>
                  <w:gridSpan w:val="2"/>
                  <w:shd w:val="clear" w:color="auto" w:fill="auto"/>
                  <w:noWrap w:val="0"/>
                  <w:vAlign w:val="center"/>
                </w:tcPr>
                <w:p w14:paraId="68ECF73C">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val="0"/>
                      <w:bCs w:val="0"/>
                      <w:color w:val="auto"/>
                      <w:sz w:val="21"/>
                      <w:szCs w:val="21"/>
                      <w:highlight w:val="none"/>
                    </w:rPr>
                    <w:t>收集效率</w:t>
                  </w:r>
                </w:p>
              </w:tc>
              <w:tc>
                <w:tcPr>
                  <w:tcW w:w="2920" w:type="pct"/>
                  <w:noWrap w:val="0"/>
                  <w:vAlign w:val="center"/>
                </w:tcPr>
                <w:p w14:paraId="6B232539">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r>
            <w:tr w14:paraId="6E98D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restart"/>
                  <w:noWrap w:val="0"/>
                  <w:vAlign w:val="center"/>
                </w:tcPr>
                <w:p w14:paraId="4D9C74AF">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有组织</w:t>
                  </w:r>
                </w:p>
              </w:tc>
              <w:tc>
                <w:tcPr>
                  <w:tcW w:w="1480" w:type="pct"/>
                  <w:shd w:val="clear" w:color="auto" w:fill="auto"/>
                  <w:noWrap w:val="0"/>
                  <w:vAlign w:val="center"/>
                </w:tcPr>
                <w:p w14:paraId="76532027">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产生量（t/a）</w:t>
                  </w:r>
                </w:p>
              </w:tc>
              <w:tc>
                <w:tcPr>
                  <w:tcW w:w="2920" w:type="pct"/>
                  <w:noWrap w:val="0"/>
                  <w:vAlign w:val="center"/>
                </w:tcPr>
                <w:p w14:paraId="3A5E9D63">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0.032</w:t>
                  </w:r>
                </w:p>
              </w:tc>
            </w:tr>
            <w:tr w14:paraId="57FA6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5415A662">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0983C48D">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cs="Times New Roman"/>
                      <w:b w:val="0"/>
                      <w:bCs w:val="0"/>
                      <w:color w:val="auto"/>
                      <w:kern w:val="0"/>
                      <w:sz w:val="21"/>
                      <w:szCs w:val="21"/>
                      <w:highlight w:val="none"/>
                      <w:lang w:val="en-US" w:eastAsia="zh-CN" w:bidi="ar"/>
                    </w:rPr>
                    <w:t>产生速率（</w:t>
                  </w:r>
                  <w:r>
                    <w:rPr>
                      <w:rFonts w:hint="default" w:ascii="Times New Roman" w:hAnsi="Times New Roman" w:cs="Times New Roman"/>
                      <w:b w:val="0"/>
                      <w:bCs w:val="0"/>
                      <w:color w:val="auto"/>
                      <w:sz w:val="21"/>
                      <w:szCs w:val="21"/>
                      <w:highlight w:val="none"/>
                    </w:rPr>
                    <w:t>kg/h</w:t>
                  </w:r>
                  <w:r>
                    <w:rPr>
                      <w:rFonts w:hint="eastAsia" w:ascii="Times New Roman" w:hAnsi="Times New Roman" w:cs="Times New Roman"/>
                      <w:b w:val="0"/>
                      <w:bCs w:val="0"/>
                      <w:color w:val="auto"/>
                      <w:kern w:val="0"/>
                      <w:sz w:val="21"/>
                      <w:szCs w:val="21"/>
                      <w:highlight w:val="none"/>
                      <w:lang w:val="en-US" w:eastAsia="zh-CN" w:bidi="ar"/>
                    </w:rPr>
                    <w:t>）</w:t>
                  </w:r>
                </w:p>
              </w:tc>
              <w:tc>
                <w:tcPr>
                  <w:tcW w:w="2920" w:type="pct"/>
                  <w:noWrap w:val="0"/>
                  <w:vAlign w:val="center"/>
                </w:tcPr>
                <w:p w14:paraId="3AA357E6">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0.027</w:t>
                  </w:r>
                </w:p>
              </w:tc>
            </w:tr>
            <w:tr w14:paraId="639C4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72348695">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7335F85C">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产生浓度</w:t>
                  </w:r>
                  <w:r>
                    <w:rPr>
                      <w:rFonts w:hint="default" w:ascii="Times New Roman" w:hAnsi="Times New Roman" w:cs="Times New Roman"/>
                      <w:b w:val="0"/>
                      <w:bCs w:val="0"/>
                      <w:color w:val="auto"/>
                      <w:kern w:val="0"/>
                      <w:sz w:val="21"/>
                      <w:szCs w:val="18"/>
                      <w:highlight w:val="none"/>
                    </w:rPr>
                    <w:t>（mg/m</w:t>
                  </w:r>
                  <w:r>
                    <w:rPr>
                      <w:rFonts w:hint="default" w:ascii="Times New Roman" w:hAnsi="Times New Roman" w:cs="Times New Roman"/>
                      <w:b w:val="0"/>
                      <w:bCs w:val="0"/>
                      <w:color w:val="auto"/>
                      <w:kern w:val="0"/>
                      <w:sz w:val="21"/>
                      <w:szCs w:val="18"/>
                      <w:highlight w:val="none"/>
                      <w:vertAlign w:val="superscript"/>
                    </w:rPr>
                    <w:t>3</w:t>
                  </w:r>
                  <w:r>
                    <w:rPr>
                      <w:rFonts w:hint="default" w:ascii="Times New Roman" w:hAnsi="Times New Roman" w:cs="Times New Roman"/>
                      <w:b w:val="0"/>
                      <w:bCs w:val="0"/>
                      <w:color w:val="auto"/>
                      <w:kern w:val="0"/>
                      <w:sz w:val="21"/>
                      <w:szCs w:val="18"/>
                      <w:highlight w:val="none"/>
                    </w:rPr>
                    <w:t>）</w:t>
                  </w:r>
                </w:p>
              </w:tc>
              <w:tc>
                <w:tcPr>
                  <w:tcW w:w="2920" w:type="pct"/>
                  <w:shd w:val="clear" w:color="auto" w:fill="auto"/>
                  <w:noWrap w:val="0"/>
                  <w:vAlign w:val="center"/>
                </w:tcPr>
                <w:p w14:paraId="63916337">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6.64</w:t>
                  </w:r>
                </w:p>
              </w:tc>
            </w:tr>
            <w:tr w14:paraId="1C0AF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4EA5886D">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0768CBC6">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措施</w:t>
                  </w:r>
                </w:p>
              </w:tc>
              <w:tc>
                <w:tcPr>
                  <w:tcW w:w="2920" w:type="pct"/>
                  <w:noWrap w:val="0"/>
                  <w:vAlign w:val="center"/>
                </w:tcPr>
                <w:p w14:paraId="4903237E">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10个</w:t>
                  </w:r>
                  <w:r>
                    <w:rPr>
                      <w:rFonts w:hint="default" w:ascii="Times New Roman" w:hAnsi="Times New Roman" w:eastAsia="宋体" w:cs="Times New Roman"/>
                      <w:color w:val="auto"/>
                      <w:kern w:val="0"/>
                      <w:sz w:val="21"/>
                      <w:szCs w:val="21"/>
                      <w:highlight w:val="none"/>
                      <w:lang w:val="en-US" w:eastAsia="zh-CN"/>
                    </w:rPr>
                    <w:t>集气罩+</w:t>
                  </w:r>
                  <w:r>
                    <w:rPr>
                      <w:rFonts w:hint="eastAsia" w:cs="Times New Roman"/>
                      <w:color w:val="auto"/>
                      <w:kern w:val="0"/>
                      <w:sz w:val="21"/>
                      <w:szCs w:val="21"/>
                      <w:highlight w:val="none"/>
                      <w:lang w:val="en-US" w:eastAsia="zh-CN"/>
                    </w:rPr>
                    <w:t>二级</w:t>
                  </w:r>
                  <w:r>
                    <w:rPr>
                      <w:rFonts w:hint="default" w:ascii="Times New Roman" w:hAnsi="Times New Roman" w:eastAsia="宋体" w:cs="Times New Roman"/>
                      <w:color w:val="auto"/>
                      <w:kern w:val="0"/>
                      <w:sz w:val="21"/>
                      <w:szCs w:val="21"/>
                      <w:highlight w:val="none"/>
                      <w:lang w:val="en-US" w:eastAsia="zh-CN"/>
                    </w:rPr>
                    <w:t>活性炭装置+</w:t>
                  </w:r>
                  <w:r>
                    <w:rPr>
                      <w:rFonts w:hint="eastAsia" w:cs="Times New Roman"/>
                      <w:color w:val="auto"/>
                      <w:kern w:val="0"/>
                      <w:sz w:val="21"/>
                      <w:szCs w:val="21"/>
                      <w:highlight w:val="none"/>
                      <w:lang w:val="en-US" w:eastAsia="zh-CN"/>
                    </w:rPr>
                    <w:t>1根</w:t>
                  </w:r>
                  <w:r>
                    <w:rPr>
                      <w:rFonts w:hint="default" w:ascii="Times New Roman" w:hAnsi="Times New Roman" w:eastAsia="宋体" w:cs="Times New Roman"/>
                      <w:color w:val="auto"/>
                      <w:kern w:val="0"/>
                      <w:sz w:val="21"/>
                      <w:szCs w:val="21"/>
                      <w:highlight w:val="none"/>
                      <w:lang w:val="en-US" w:eastAsia="zh-CN"/>
                    </w:rPr>
                    <w:t>排气筒DA00</w:t>
                  </w:r>
                  <w:r>
                    <w:rPr>
                      <w:rFonts w:hint="eastAsia" w:cs="Times New Roman"/>
                      <w:color w:val="auto"/>
                      <w:kern w:val="0"/>
                      <w:sz w:val="21"/>
                      <w:szCs w:val="21"/>
                      <w:highlight w:val="none"/>
                      <w:lang w:val="en-US" w:eastAsia="zh-CN"/>
                    </w:rPr>
                    <w:t>1</w:t>
                  </w:r>
                </w:p>
              </w:tc>
            </w:tr>
            <w:tr w14:paraId="76AAC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639F1F43">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083B0601">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净化效率</w:t>
                  </w:r>
                </w:p>
              </w:tc>
              <w:tc>
                <w:tcPr>
                  <w:tcW w:w="2920" w:type="pct"/>
                  <w:noWrap w:val="0"/>
                  <w:vAlign w:val="center"/>
                </w:tcPr>
                <w:p w14:paraId="0E5DA348">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r>
            <w:tr w14:paraId="48274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714E5D84">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182BCD39">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排放量（t/a）</w:t>
                  </w:r>
                </w:p>
              </w:tc>
              <w:tc>
                <w:tcPr>
                  <w:tcW w:w="2920" w:type="pct"/>
                  <w:noWrap w:val="0"/>
                  <w:vAlign w:val="center"/>
                </w:tcPr>
                <w:p w14:paraId="3E6DEF3D">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0.016</w:t>
                  </w:r>
                </w:p>
              </w:tc>
            </w:tr>
            <w:tr w14:paraId="26AEE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7AC3034E">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7F68D031">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排放速率（kg/h）</w:t>
                  </w:r>
                </w:p>
              </w:tc>
              <w:tc>
                <w:tcPr>
                  <w:tcW w:w="2920" w:type="pct"/>
                  <w:noWrap w:val="0"/>
                  <w:vAlign w:val="center"/>
                </w:tcPr>
                <w:p w14:paraId="11E79A8E">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0.013</w:t>
                  </w:r>
                </w:p>
              </w:tc>
            </w:tr>
            <w:tr w14:paraId="0D32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2AF4B23D">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401ADE6E">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排放浓度</w:t>
                  </w:r>
                  <w:r>
                    <w:rPr>
                      <w:rFonts w:hint="default" w:ascii="Times New Roman" w:hAnsi="Times New Roman" w:cs="Times New Roman"/>
                      <w:b w:val="0"/>
                      <w:bCs w:val="0"/>
                      <w:color w:val="auto"/>
                      <w:kern w:val="0"/>
                      <w:sz w:val="21"/>
                      <w:szCs w:val="18"/>
                      <w:highlight w:val="none"/>
                    </w:rPr>
                    <w:t>（mg/m</w:t>
                  </w:r>
                  <w:r>
                    <w:rPr>
                      <w:rFonts w:hint="default" w:ascii="Times New Roman" w:hAnsi="Times New Roman" w:cs="Times New Roman"/>
                      <w:b w:val="0"/>
                      <w:bCs w:val="0"/>
                      <w:color w:val="auto"/>
                      <w:kern w:val="0"/>
                      <w:sz w:val="21"/>
                      <w:szCs w:val="18"/>
                      <w:highlight w:val="none"/>
                      <w:vertAlign w:val="superscript"/>
                    </w:rPr>
                    <w:t>3</w:t>
                  </w:r>
                  <w:r>
                    <w:rPr>
                      <w:rFonts w:hint="default" w:ascii="Times New Roman" w:hAnsi="Times New Roman" w:cs="Times New Roman"/>
                      <w:b w:val="0"/>
                      <w:bCs w:val="0"/>
                      <w:color w:val="auto"/>
                      <w:kern w:val="0"/>
                      <w:sz w:val="21"/>
                      <w:szCs w:val="18"/>
                      <w:highlight w:val="none"/>
                    </w:rPr>
                    <w:t>）</w:t>
                  </w:r>
                </w:p>
              </w:tc>
              <w:tc>
                <w:tcPr>
                  <w:tcW w:w="2920" w:type="pct"/>
                  <w:noWrap w:val="0"/>
                  <w:vAlign w:val="center"/>
                </w:tcPr>
                <w:p w14:paraId="665B7455">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3.32</w:t>
                  </w:r>
                </w:p>
              </w:tc>
            </w:tr>
            <w:tr w14:paraId="08150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restart"/>
                  <w:noWrap w:val="0"/>
                  <w:vAlign w:val="center"/>
                </w:tcPr>
                <w:p w14:paraId="3CDCEF51">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无组织</w:t>
                  </w:r>
                </w:p>
              </w:tc>
              <w:tc>
                <w:tcPr>
                  <w:tcW w:w="1480" w:type="pct"/>
                  <w:shd w:val="clear" w:color="auto" w:fill="auto"/>
                  <w:noWrap w:val="0"/>
                  <w:vAlign w:val="center"/>
                </w:tcPr>
                <w:p w14:paraId="57A8AC51">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产生量（t/a）</w:t>
                  </w:r>
                </w:p>
              </w:tc>
              <w:tc>
                <w:tcPr>
                  <w:tcW w:w="2920" w:type="pct"/>
                  <w:noWrap w:val="0"/>
                  <w:vAlign w:val="center"/>
                </w:tcPr>
                <w:p w14:paraId="3BE98320">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0.021</w:t>
                  </w:r>
                </w:p>
              </w:tc>
            </w:tr>
            <w:tr w14:paraId="10A5D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0D027172">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lang w:val="en-US" w:eastAsia="zh-CN"/>
                    </w:rPr>
                  </w:pPr>
                </w:p>
              </w:tc>
              <w:tc>
                <w:tcPr>
                  <w:tcW w:w="1480" w:type="pct"/>
                  <w:shd w:val="clear" w:color="auto" w:fill="auto"/>
                  <w:noWrap w:val="0"/>
                  <w:vAlign w:val="center"/>
                </w:tcPr>
                <w:p w14:paraId="72C1EBA1">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cs="Times New Roman"/>
                      <w:b w:val="0"/>
                      <w:bCs w:val="0"/>
                      <w:color w:val="auto"/>
                      <w:sz w:val="21"/>
                      <w:szCs w:val="21"/>
                      <w:highlight w:val="none"/>
                      <w:lang w:val="en-US" w:eastAsia="zh-CN"/>
                    </w:rPr>
                    <w:t>产生</w:t>
                  </w:r>
                  <w:r>
                    <w:rPr>
                      <w:rFonts w:hint="default" w:ascii="Times New Roman" w:hAnsi="Times New Roman" w:cs="Times New Roman"/>
                      <w:b w:val="0"/>
                      <w:bCs w:val="0"/>
                      <w:color w:val="auto"/>
                      <w:sz w:val="21"/>
                      <w:szCs w:val="21"/>
                      <w:highlight w:val="none"/>
                    </w:rPr>
                    <w:t>速率（kg/h）</w:t>
                  </w:r>
                </w:p>
              </w:tc>
              <w:tc>
                <w:tcPr>
                  <w:tcW w:w="2920" w:type="pct"/>
                  <w:shd w:val="clear" w:color="auto" w:fill="auto"/>
                  <w:noWrap w:val="0"/>
                  <w:vAlign w:val="center"/>
                </w:tcPr>
                <w:p w14:paraId="0EF15BAC">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0.018</w:t>
                  </w:r>
                </w:p>
              </w:tc>
            </w:tr>
            <w:tr w14:paraId="15DA4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136148A2">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480" w:type="pct"/>
                  <w:shd w:val="clear" w:color="auto" w:fill="auto"/>
                  <w:noWrap w:val="0"/>
                  <w:vAlign w:val="center"/>
                </w:tcPr>
                <w:p w14:paraId="343CA0F7">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排放量（t/a）</w:t>
                  </w:r>
                </w:p>
              </w:tc>
              <w:tc>
                <w:tcPr>
                  <w:tcW w:w="2920" w:type="pct"/>
                  <w:noWrap w:val="0"/>
                  <w:vAlign w:val="center"/>
                </w:tcPr>
                <w:p w14:paraId="47CEF8C4">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0.021</w:t>
                  </w:r>
                </w:p>
              </w:tc>
            </w:tr>
            <w:tr w14:paraId="4646E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00" w:type="pct"/>
                  <w:vMerge w:val="continue"/>
                  <w:noWrap w:val="0"/>
                  <w:vAlign w:val="center"/>
                </w:tcPr>
                <w:p w14:paraId="73D34A6F">
                  <w:pPr>
                    <w:pStyle w:val="9"/>
                    <w:spacing w:before="0" w:beforeAutospacing="0" w:after="0" w:afterAutospacing="0" w:line="240" w:lineRule="auto"/>
                    <w:ind w:firstLine="0" w:firstLineChars="0"/>
                    <w:jc w:val="center"/>
                    <w:rPr>
                      <w:rFonts w:hint="default" w:ascii="Times New Roman" w:hAnsi="Times New Roman" w:cs="Times New Roman"/>
                      <w:color w:val="auto"/>
                      <w:kern w:val="0"/>
                      <w:sz w:val="21"/>
                      <w:szCs w:val="21"/>
                      <w:highlight w:val="none"/>
                    </w:rPr>
                  </w:pPr>
                </w:p>
              </w:tc>
              <w:tc>
                <w:tcPr>
                  <w:tcW w:w="1480" w:type="pct"/>
                  <w:shd w:val="clear" w:color="auto" w:fill="auto"/>
                  <w:noWrap w:val="0"/>
                  <w:vAlign w:val="center"/>
                </w:tcPr>
                <w:p w14:paraId="52CDBB50">
                  <w:pPr>
                    <w:pStyle w:val="4"/>
                    <w:autoSpaceDN w:val="0"/>
                    <w:spacing w:before="0" w:after="0" w:line="240" w:lineRule="auto"/>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cs="Times New Roman"/>
                      <w:b w:val="0"/>
                      <w:bCs w:val="0"/>
                      <w:color w:val="auto"/>
                      <w:sz w:val="21"/>
                      <w:szCs w:val="21"/>
                      <w:highlight w:val="none"/>
                    </w:rPr>
                    <w:t>排放速率（kg/h）</w:t>
                  </w:r>
                </w:p>
              </w:tc>
              <w:tc>
                <w:tcPr>
                  <w:tcW w:w="2920" w:type="pct"/>
                  <w:noWrap w:val="0"/>
                  <w:vAlign w:val="center"/>
                </w:tcPr>
                <w:p w14:paraId="4AD1486A">
                  <w:pPr>
                    <w:pStyle w:val="9"/>
                    <w:spacing w:before="0" w:beforeAutospacing="0" w:after="0" w:afterAutospacing="0"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0.018</w:t>
                  </w:r>
                </w:p>
              </w:tc>
            </w:tr>
          </w:tbl>
          <w:p w14:paraId="6AFB689A">
            <w:pPr>
              <w:pStyle w:val="7"/>
              <w:ind w:firstLine="482"/>
              <w:rPr>
                <w:b/>
                <w:bCs/>
                <w:color w:val="auto"/>
                <w:highlight w:val="none"/>
              </w:rPr>
            </w:pPr>
            <w:r>
              <w:rPr>
                <w:rFonts w:hint="eastAsia"/>
                <w:b/>
                <w:bCs/>
                <w:color w:val="auto"/>
                <w:highlight w:val="none"/>
              </w:rPr>
              <w:t>2</w:t>
            </w:r>
            <w:r>
              <w:rPr>
                <w:b/>
                <w:bCs/>
                <w:color w:val="auto"/>
                <w:highlight w:val="none"/>
              </w:rPr>
              <w:t>、排放口基本情况</w:t>
            </w:r>
          </w:p>
          <w:p w14:paraId="2BCE31B7">
            <w:pPr>
              <w:spacing w:line="360" w:lineRule="auto"/>
              <w:ind w:firstLine="480" w:firstLineChars="200"/>
              <w:rPr>
                <w:bCs/>
                <w:color w:val="auto"/>
                <w:sz w:val="24"/>
                <w:szCs w:val="32"/>
                <w:highlight w:val="none"/>
              </w:rPr>
            </w:pPr>
            <w:r>
              <w:rPr>
                <w:rFonts w:hint="eastAsia"/>
                <w:bCs/>
                <w:color w:val="auto"/>
                <w:sz w:val="24"/>
                <w:szCs w:val="32"/>
                <w:highlight w:val="none"/>
              </w:rPr>
              <w:t>本项目</w:t>
            </w:r>
            <w:r>
              <w:rPr>
                <w:bCs/>
                <w:color w:val="auto"/>
                <w:sz w:val="24"/>
                <w:szCs w:val="32"/>
                <w:highlight w:val="none"/>
              </w:rPr>
              <w:t>排放口基本情况见表</w:t>
            </w:r>
            <w:r>
              <w:rPr>
                <w:rFonts w:hint="eastAsia"/>
                <w:bCs/>
                <w:color w:val="auto"/>
                <w:sz w:val="24"/>
                <w:szCs w:val="32"/>
                <w:highlight w:val="none"/>
                <w:lang w:val="en-US" w:eastAsia="zh-CN"/>
              </w:rPr>
              <w:t>4-4。</w:t>
            </w:r>
          </w:p>
          <w:p w14:paraId="66013086">
            <w:pPr>
              <w:jc w:val="center"/>
              <w:rPr>
                <w:b/>
                <w:color w:val="auto"/>
                <w:sz w:val="24"/>
                <w:szCs w:val="32"/>
                <w:highlight w:val="none"/>
              </w:rPr>
            </w:pPr>
            <w:r>
              <w:rPr>
                <w:b/>
                <w:color w:val="auto"/>
                <w:sz w:val="24"/>
                <w:szCs w:val="32"/>
                <w:highlight w:val="none"/>
              </w:rPr>
              <w:t>表4-</w:t>
            </w:r>
            <w:r>
              <w:rPr>
                <w:rFonts w:hint="eastAsia"/>
                <w:b/>
                <w:color w:val="auto"/>
                <w:sz w:val="24"/>
                <w:szCs w:val="32"/>
                <w:highlight w:val="none"/>
              </w:rPr>
              <w:t>4</w:t>
            </w:r>
            <w:r>
              <w:rPr>
                <w:b/>
                <w:color w:val="auto"/>
                <w:sz w:val="24"/>
                <w:szCs w:val="32"/>
                <w:highlight w:val="none"/>
              </w:rPr>
              <w:t xml:space="preserve"> 排放口基本情况表</w:t>
            </w:r>
          </w:p>
          <w:tbl>
            <w:tblPr>
              <w:tblStyle w:val="24"/>
              <w:tblW w:w="84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707"/>
              <w:gridCol w:w="1388"/>
              <w:gridCol w:w="624"/>
              <w:gridCol w:w="732"/>
              <w:gridCol w:w="863"/>
              <w:gridCol w:w="924"/>
              <w:gridCol w:w="2443"/>
            </w:tblGrid>
            <w:tr w14:paraId="0E768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73" w:type="pct"/>
                  <w:vMerge w:val="restart"/>
                  <w:shd w:val="clear" w:color="auto" w:fill="auto"/>
                  <w:noWrap w:val="0"/>
                  <w:vAlign w:val="center"/>
                </w:tcPr>
                <w:p w14:paraId="0A3BDACC">
                  <w:pPr>
                    <w:pStyle w:val="5"/>
                    <w:ind w:left="-105" w:leftChars="-50" w:right="-105" w:rightChars="-50" w:firstLine="0"/>
                    <w:jc w:val="center"/>
                    <w:rPr>
                      <w:b/>
                      <w:color w:val="auto"/>
                      <w:sz w:val="21"/>
                      <w:szCs w:val="21"/>
                      <w:highlight w:val="none"/>
                    </w:rPr>
                  </w:pPr>
                  <w:r>
                    <w:rPr>
                      <w:b/>
                      <w:color w:val="auto"/>
                      <w:sz w:val="21"/>
                      <w:szCs w:val="21"/>
                      <w:highlight w:val="none"/>
                    </w:rPr>
                    <w:t>编号</w:t>
                  </w:r>
                </w:p>
              </w:tc>
              <w:tc>
                <w:tcPr>
                  <w:tcW w:w="416" w:type="pct"/>
                  <w:vMerge w:val="restart"/>
                  <w:shd w:val="clear" w:color="auto" w:fill="FFFFFF"/>
                  <w:noWrap w:val="0"/>
                  <w:vAlign w:val="center"/>
                </w:tcPr>
                <w:p w14:paraId="7E5FEA6B">
                  <w:pPr>
                    <w:pStyle w:val="5"/>
                    <w:ind w:firstLine="0"/>
                    <w:jc w:val="center"/>
                    <w:rPr>
                      <w:b/>
                      <w:color w:val="auto"/>
                      <w:sz w:val="21"/>
                      <w:szCs w:val="21"/>
                      <w:highlight w:val="none"/>
                    </w:rPr>
                  </w:pPr>
                  <w:r>
                    <w:rPr>
                      <w:b/>
                      <w:color w:val="auto"/>
                      <w:sz w:val="21"/>
                      <w:szCs w:val="21"/>
                      <w:highlight w:val="none"/>
                    </w:rPr>
                    <w:t>名称</w:t>
                  </w:r>
                </w:p>
              </w:tc>
              <w:tc>
                <w:tcPr>
                  <w:tcW w:w="817" w:type="pct"/>
                  <w:shd w:val="clear" w:color="auto" w:fill="FFFFFF"/>
                  <w:noWrap w:val="0"/>
                  <w:vAlign w:val="center"/>
                </w:tcPr>
                <w:p w14:paraId="3FECFEE1">
                  <w:pPr>
                    <w:pStyle w:val="5"/>
                    <w:ind w:left="-105" w:leftChars="-50" w:right="-105" w:rightChars="-50" w:firstLine="0"/>
                    <w:jc w:val="center"/>
                    <w:rPr>
                      <w:b/>
                      <w:color w:val="auto"/>
                      <w:sz w:val="21"/>
                      <w:szCs w:val="21"/>
                      <w:highlight w:val="none"/>
                    </w:rPr>
                  </w:pPr>
                  <w:r>
                    <w:rPr>
                      <w:b/>
                      <w:color w:val="auto"/>
                      <w:sz w:val="21"/>
                      <w:szCs w:val="21"/>
                      <w:highlight w:val="none"/>
                    </w:rPr>
                    <w:t>排气筒坐标</w:t>
                  </w:r>
                </w:p>
              </w:tc>
              <w:tc>
                <w:tcPr>
                  <w:tcW w:w="367" w:type="pct"/>
                  <w:noWrap w:val="0"/>
                  <w:vAlign w:val="center"/>
                </w:tcPr>
                <w:p w14:paraId="25CDFE55">
                  <w:pPr>
                    <w:pStyle w:val="5"/>
                    <w:ind w:left="-105" w:leftChars="-50" w:right="-105" w:rightChars="-50" w:firstLine="0"/>
                    <w:jc w:val="center"/>
                    <w:rPr>
                      <w:b/>
                      <w:color w:val="auto"/>
                      <w:sz w:val="21"/>
                      <w:szCs w:val="21"/>
                      <w:highlight w:val="none"/>
                    </w:rPr>
                  </w:pPr>
                  <w:r>
                    <w:rPr>
                      <w:b/>
                      <w:color w:val="auto"/>
                      <w:sz w:val="21"/>
                      <w:szCs w:val="21"/>
                      <w:highlight w:val="none"/>
                    </w:rPr>
                    <w:t>高度</w:t>
                  </w:r>
                </w:p>
              </w:tc>
              <w:tc>
                <w:tcPr>
                  <w:tcW w:w="431" w:type="pct"/>
                  <w:noWrap w:val="0"/>
                  <w:vAlign w:val="center"/>
                </w:tcPr>
                <w:p w14:paraId="41366F58">
                  <w:pPr>
                    <w:pStyle w:val="5"/>
                    <w:ind w:left="-105" w:leftChars="-50" w:right="-105" w:rightChars="-50" w:firstLine="0"/>
                    <w:jc w:val="center"/>
                    <w:rPr>
                      <w:b/>
                      <w:color w:val="auto"/>
                      <w:sz w:val="21"/>
                      <w:szCs w:val="21"/>
                      <w:highlight w:val="none"/>
                    </w:rPr>
                  </w:pPr>
                  <w:r>
                    <w:rPr>
                      <w:b/>
                      <w:color w:val="auto"/>
                      <w:sz w:val="21"/>
                      <w:szCs w:val="21"/>
                      <w:highlight w:val="none"/>
                    </w:rPr>
                    <w:t>内径</w:t>
                  </w:r>
                </w:p>
              </w:tc>
              <w:tc>
                <w:tcPr>
                  <w:tcW w:w="508" w:type="pct"/>
                  <w:noWrap w:val="0"/>
                  <w:vAlign w:val="center"/>
                </w:tcPr>
                <w:p w14:paraId="2B1944C7">
                  <w:pPr>
                    <w:pStyle w:val="5"/>
                    <w:ind w:left="-105" w:leftChars="-50" w:right="-105" w:rightChars="-50" w:firstLine="0"/>
                    <w:jc w:val="center"/>
                    <w:rPr>
                      <w:b/>
                      <w:color w:val="auto"/>
                      <w:sz w:val="21"/>
                      <w:szCs w:val="21"/>
                      <w:highlight w:val="none"/>
                    </w:rPr>
                  </w:pPr>
                  <w:r>
                    <w:rPr>
                      <w:b/>
                      <w:color w:val="auto"/>
                      <w:sz w:val="21"/>
                      <w:szCs w:val="21"/>
                      <w:highlight w:val="none"/>
                    </w:rPr>
                    <w:t>烟气温度</w:t>
                  </w:r>
                </w:p>
              </w:tc>
              <w:tc>
                <w:tcPr>
                  <w:tcW w:w="544" w:type="pct"/>
                  <w:vMerge w:val="restart"/>
                  <w:noWrap w:val="0"/>
                  <w:vAlign w:val="center"/>
                </w:tcPr>
                <w:p w14:paraId="1C649303">
                  <w:pPr>
                    <w:pStyle w:val="5"/>
                    <w:ind w:left="-105" w:leftChars="-50" w:right="-105" w:rightChars="-50" w:firstLine="0"/>
                    <w:jc w:val="center"/>
                    <w:rPr>
                      <w:b/>
                      <w:color w:val="auto"/>
                      <w:sz w:val="21"/>
                      <w:szCs w:val="21"/>
                      <w:highlight w:val="none"/>
                    </w:rPr>
                  </w:pPr>
                  <w:r>
                    <w:rPr>
                      <w:b/>
                      <w:color w:val="auto"/>
                      <w:sz w:val="21"/>
                      <w:szCs w:val="21"/>
                      <w:highlight w:val="none"/>
                    </w:rPr>
                    <w:t>排放口类型</w:t>
                  </w:r>
                </w:p>
              </w:tc>
              <w:tc>
                <w:tcPr>
                  <w:tcW w:w="1439" w:type="pct"/>
                  <w:vMerge w:val="restart"/>
                  <w:noWrap w:val="0"/>
                  <w:vAlign w:val="center"/>
                </w:tcPr>
                <w:p w14:paraId="2FE9E026">
                  <w:pPr>
                    <w:pStyle w:val="5"/>
                    <w:ind w:left="-105" w:leftChars="-50" w:right="-105" w:rightChars="-50" w:firstLine="0"/>
                    <w:jc w:val="center"/>
                    <w:rPr>
                      <w:b/>
                      <w:color w:val="auto"/>
                      <w:sz w:val="21"/>
                      <w:szCs w:val="21"/>
                      <w:highlight w:val="none"/>
                    </w:rPr>
                  </w:pPr>
                  <w:r>
                    <w:rPr>
                      <w:b/>
                      <w:color w:val="auto"/>
                      <w:sz w:val="21"/>
                      <w:szCs w:val="21"/>
                      <w:highlight w:val="none"/>
                    </w:rPr>
                    <w:t>排放标准</w:t>
                  </w:r>
                </w:p>
              </w:tc>
            </w:tr>
            <w:tr w14:paraId="16027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73" w:type="pct"/>
                  <w:vMerge w:val="continue"/>
                  <w:shd w:val="clear" w:color="auto" w:fill="auto"/>
                  <w:noWrap w:val="0"/>
                  <w:vAlign w:val="center"/>
                </w:tcPr>
                <w:p w14:paraId="1BDE0A69">
                  <w:pPr>
                    <w:widowControl/>
                    <w:jc w:val="left"/>
                    <w:rPr>
                      <w:b/>
                      <w:color w:val="auto"/>
                      <w:szCs w:val="21"/>
                      <w:highlight w:val="none"/>
                    </w:rPr>
                  </w:pPr>
                </w:p>
              </w:tc>
              <w:tc>
                <w:tcPr>
                  <w:tcW w:w="416" w:type="pct"/>
                  <w:vMerge w:val="continue"/>
                  <w:shd w:val="clear" w:color="auto" w:fill="auto"/>
                  <w:noWrap w:val="0"/>
                  <w:vAlign w:val="center"/>
                </w:tcPr>
                <w:p w14:paraId="381DFB59">
                  <w:pPr>
                    <w:widowControl/>
                    <w:jc w:val="left"/>
                    <w:rPr>
                      <w:b/>
                      <w:color w:val="auto"/>
                      <w:szCs w:val="21"/>
                      <w:highlight w:val="none"/>
                    </w:rPr>
                  </w:pPr>
                </w:p>
              </w:tc>
              <w:tc>
                <w:tcPr>
                  <w:tcW w:w="817" w:type="pct"/>
                  <w:shd w:val="clear" w:color="auto" w:fill="FFFFFF"/>
                  <w:noWrap w:val="0"/>
                  <w:vAlign w:val="center"/>
                </w:tcPr>
                <w:p w14:paraId="2FA67918">
                  <w:pPr>
                    <w:pStyle w:val="5"/>
                    <w:ind w:left="-105" w:leftChars="-50" w:right="-105" w:rightChars="-50" w:firstLine="0"/>
                    <w:jc w:val="center"/>
                    <w:rPr>
                      <w:b/>
                      <w:color w:val="auto"/>
                      <w:sz w:val="21"/>
                      <w:szCs w:val="21"/>
                      <w:highlight w:val="none"/>
                    </w:rPr>
                  </w:pPr>
                  <w:r>
                    <w:rPr>
                      <w:b/>
                      <w:color w:val="auto"/>
                      <w:sz w:val="21"/>
                      <w:szCs w:val="21"/>
                      <w:highlight w:val="none"/>
                    </w:rPr>
                    <w:t>°</w:t>
                  </w:r>
                </w:p>
              </w:tc>
              <w:tc>
                <w:tcPr>
                  <w:tcW w:w="367" w:type="pct"/>
                  <w:noWrap w:val="0"/>
                  <w:vAlign w:val="center"/>
                </w:tcPr>
                <w:p w14:paraId="02884237">
                  <w:pPr>
                    <w:pStyle w:val="5"/>
                    <w:ind w:left="-105" w:leftChars="-50" w:right="-105" w:rightChars="-50" w:firstLine="0"/>
                    <w:jc w:val="center"/>
                    <w:rPr>
                      <w:b/>
                      <w:color w:val="auto"/>
                      <w:sz w:val="21"/>
                      <w:szCs w:val="21"/>
                      <w:highlight w:val="none"/>
                    </w:rPr>
                  </w:pPr>
                  <w:r>
                    <w:rPr>
                      <w:b/>
                      <w:color w:val="auto"/>
                      <w:sz w:val="21"/>
                      <w:szCs w:val="21"/>
                      <w:highlight w:val="none"/>
                    </w:rPr>
                    <w:t>m</w:t>
                  </w:r>
                </w:p>
              </w:tc>
              <w:tc>
                <w:tcPr>
                  <w:tcW w:w="431" w:type="pct"/>
                  <w:noWrap w:val="0"/>
                  <w:vAlign w:val="center"/>
                </w:tcPr>
                <w:p w14:paraId="112C212A">
                  <w:pPr>
                    <w:pStyle w:val="5"/>
                    <w:ind w:left="-105" w:leftChars="-50" w:right="-105" w:rightChars="-50" w:firstLine="0"/>
                    <w:jc w:val="center"/>
                    <w:rPr>
                      <w:b/>
                      <w:color w:val="auto"/>
                      <w:sz w:val="21"/>
                      <w:szCs w:val="21"/>
                      <w:highlight w:val="none"/>
                    </w:rPr>
                  </w:pPr>
                  <w:r>
                    <w:rPr>
                      <w:b/>
                      <w:color w:val="auto"/>
                      <w:sz w:val="21"/>
                      <w:szCs w:val="21"/>
                      <w:highlight w:val="none"/>
                    </w:rPr>
                    <w:t>m</w:t>
                  </w:r>
                </w:p>
              </w:tc>
              <w:tc>
                <w:tcPr>
                  <w:tcW w:w="508" w:type="pct"/>
                  <w:noWrap w:val="0"/>
                  <w:vAlign w:val="center"/>
                </w:tcPr>
                <w:p w14:paraId="2BA95836">
                  <w:pPr>
                    <w:pStyle w:val="5"/>
                    <w:ind w:left="-105" w:leftChars="-50" w:right="-105" w:rightChars="-50" w:firstLine="0"/>
                    <w:jc w:val="center"/>
                    <w:rPr>
                      <w:b/>
                      <w:color w:val="auto"/>
                      <w:sz w:val="21"/>
                      <w:szCs w:val="21"/>
                      <w:highlight w:val="none"/>
                    </w:rPr>
                  </w:pPr>
                  <w:r>
                    <w:rPr>
                      <w:b/>
                      <w:color w:val="auto"/>
                      <w:sz w:val="21"/>
                      <w:szCs w:val="21"/>
                      <w:highlight w:val="none"/>
                    </w:rPr>
                    <w:t>℃</w:t>
                  </w:r>
                </w:p>
              </w:tc>
              <w:tc>
                <w:tcPr>
                  <w:tcW w:w="544" w:type="pct"/>
                  <w:vMerge w:val="continue"/>
                  <w:noWrap w:val="0"/>
                  <w:vAlign w:val="center"/>
                </w:tcPr>
                <w:p w14:paraId="72E9FFBD">
                  <w:pPr>
                    <w:widowControl/>
                    <w:jc w:val="left"/>
                    <w:rPr>
                      <w:b/>
                      <w:color w:val="auto"/>
                      <w:szCs w:val="21"/>
                      <w:highlight w:val="none"/>
                    </w:rPr>
                  </w:pPr>
                </w:p>
              </w:tc>
              <w:tc>
                <w:tcPr>
                  <w:tcW w:w="1439" w:type="pct"/>
                  <w:vMerge w:val="continue"/>
                  <w:noWrap w:val="0"/>
                  <w:vAlign w:val="center"/>
                </w:tcPr>
                <w:p w14:paraId="0468A70B">
                  <w:pPr>
                    <w:widowControl/>
                    <w:jc w:val="left"/>
                    <w:rPr>
                      <w:b/>
                      <w:color w:val="auto"/>
                      <w:szCs w:val="21"/>
                      <w:highlight w:val="none"/>
                    </w:rPr>
                  </w:pPr>
                </w:p>
              </w:tc>
            </w:tr>
            <w:tr w14:paraId="41D43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73" w:type="pct"/>
                  <w:shd w:val="clear" w:color="auto" w:fill="auto"/>
                  <w:noWrap w:val="0"/>
                  <w:vAlign w:val="center"/>
                </w:tcPr>
                <w:p w14:paraId="435CFC9A">
                  <w:pPr>
                    <w:pStyle w:val="5"/>
                    <w:ind w:left="-105" w:leftChars="-50" w:right="-105" w:rightChars="-50" w:firstLine="0"/>
                    <w:jc w:val="center"/>
                    <w:rPr>
                      <w:rFonts w:hint="eastAsia"/>
                      <w:color w:val="auto"/>
                      <w:sz w:val="21"/>
                      <w:szCs w:val="21"/>
                      <w:highlight w:val="none"/>
                    </w:rPr>
                  </w:pPr>
                  <w:r>
                    <w:rPr>
                      <w:color w:val="auto"/>
                      <w:sz w:val="21"/>
                      <w:szCs w:val="21"/>
                      <w:highlight w:val="none"/>
                    </w:rPr>
                    <w:t>DA00</w:t>
                  </w:r>
                  <w:r>
                    <w:rPr>
                      <w:rFonts w:hint="eastAsia"/>
                      <w:color w:val="auto"/>
                      <w:sz w:val="21"/>
                      <w:szCs w:val="21"/>
                      <w:highlight w:val="none"/>
                    </w:rPr>
                    <w:t>1</w:t>
                  </w:r>
                </w:p>
              </w:tc>
              <w:tc>
                <w:tcPr>
                  <w:tcW w:w="416" w:type="pct"/>
                  <w:shd w:val="clear" w:color="auto" w:fill="FFFFFF"/>
                  <w:noWrap w:val="0"/>
                  <w:vAlign w:val="center"/>
                </w:tcPr>
                <w:p w14:paraId="3A93BB8E">
                  <w:pPr>
                    <w:pStyle w:val="5"/>
                    <w:ind w:left="-105" w:leftChars="-50" w:right="-105" w:rightChars="-50" w:firstLine="0"/>
                    <w:jc w:val="center"/>
                    <w:rPr>
                      <w:color w:val="auto"/>
                      <w:sz w:val="21"/>
                      <w:szCs w:val="21"/>
                      <w:highlight w:val="none"/>
                    </w:rPr>
                  </w:pPr>
                  <w:r>
                    <w:rPr>
                      <w:rFonts w:hint="eastAsia"/>
                      <w:color w:val="auto"/>
                      <w:sz w:val="21"/>
                      <w:szCs w:val="21"/>
                      <w:highlight w:val="none"/>
                    </w:rPr>
                    <w:t>有机废气排放口</w:t>
                  </w:r>
                </w:p>
              </w:tc>
              <w:tc>
                <w:tcPr>
                  <w:tcW w:w="817" w:type="pct"/>
                  <w:shd w:val="clear" w:color="auto" w:fill="FFFFFF"/>
                  <w:noWrap w:val="0"/>
                  <w:vAlign w:val="center"/>
                </w:tcPr>
                <w:p w14:paraId="3A74DF9B">
                  <w:pPr>
                    <w:jc w:val="center"/>
                    <w:rPr>
                      <w:color w:val="auto"/>
                      <w:szCs w:val="21"/>
                      <w:highlight w:val="none"/>
                    </w:rPr>
                  </w:pPr>
                  <w:r>
                    <w:rPr>
                      <w:rFonts w:hint="eastAsia"/>
                      <w:color w:val="auto"/>
                      <w:szCs w:val="21"/>
                      <w:highlight w:val="none"/>
                    </w:rPr>
                    <w:t>E108.910869</w:t>
                  </w:r>
                </w:p>
                <w:p w14:paraId="209BDBDA">
                  <w:pPr>
                    <w:jc w:val="center"/>
                    <w:rPr>
                      <w:rFonts w:hint="eastAsia" w:eastAsia="宋体"/>
                      <w:color w:val="auto"/>
                      <w:szCs w:val="21"/>
                      <w:highlight w:val="none"/>
                      <w:lang w:eastAsia="zh-CN"/>
                    </w:rPr>
                  </w:pPr>
                  <w:r>
                    <w:rPr>
                      <w:rFonts w:hint="eastAsia"/>
                      <w:color w:val="auto"/>
                      <w:szCs w:val="21"/>
                      <w:highlight w:val="none"/>
                    </w:rPr>
                    <w:t>N34.53235</w:t>
                  </w:r>
                  <w:r>
                    <w:rPr>
                      <w:rFonts w:hint="eastAsia"/>
                      <w:color w:val="auto"/>
                      <w:szCs w:val="21"/>
                      <w:highlight w:val="none"/>
                      <w:lang w:val="en-US" w:eastAsia="zh-CN"/>
                    </w:rPr>
                    <w:t>5</w:t>
                  </w:r>
                </w:p>
              </w:tc>
              <w:tc>
                <w:tcPr>
                  <w:tcW w:w="367" w:type="pct"/>
                  <w:noWrap w:val="0"/>
                  <w:vAlign w:val="center"/>
                </w:tcPr>
                <w:p w14:paraId="6D312BB2">
                  <w:pPr>
                    <w:pStyle w:val="5"/>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18.5</w:t>
                  </w:r>
                </w:p>
              </w:tc>
              <w:tc>
                <w:tcPr>
                  <w:tcW w:w="431" w:type="pct"/>
                  <w:noWrap w:val="0"/>
                  <w:vAlign w:val="center"/>
                </w:tcPr>
                <w:p w14:paraId="732D1A10">
                  <w:pPr>
                    <w:pStyle w:val="5"/>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0.4</w:t>
                  </w:r>
                </w:p>
              </w:tc>
              <w:tc>
                <w:tcPr>
                  <w:tcW w:w="508" w:type="pct"/>
                  <w:noWrap w:val="0"/>
                  <w:vAlign w:val="center"/>
                </w:tcPr>
                <w:p w14:paraId="108E5255">
                  <w:pPr>
                    <w:pStyle w:val="5"/>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544" w:type="pct"/>
                  <w:noWrap w:val="0"/>
                  <w:vAlign w:val="center"/>
                </w:tcPr>
                <w:p w14:paraId="626C0DBE">
                  <w:pPr>
                    <w:pStyle w:val="5"/>
                    <w:ind w:firstLine="0"/>
                    <w:jc w:val="center"/>
                    <w:rPr>
                      <w:color w:val="auto"/>
                      <w:sz w:val="21"/>
                      <w:szCs w:val="21"/>
                      <w:highlight w:val="none"/>
                    </w:rPr>
                  </w:pPr>
                  <w:r>
                    <w:rPr>
                      <w:color w:val="auto"/>
                      <w:sz w:val="21"/>
                      <w:szCs w:val="21"/>
                      <w:highlight w:val="none"/>
                    </w:rPr>
                    <w:t>一般排放口</w:t>
                  </w:r>
                </w:p>
              </w:tc>
              <w:tc>
                <w:tcPr>
                  <w:tcW w:w="1439" w:type="pct"/>
                  <w:noWrap w:val="0"/>
                  <w:vAlign w:val="center"/>
                </w:tcPr>
                <w:p w14:paraId="7913EC4A">
                  <w:pPr>
                    <w:widowControl/>
                    <w:jc w:val="center"/>
                    <w:rPr>
                      <w:color w:val="auto"/>
                      <w:szCs w:val="21"/>
                      <w:highlight w:val="none"/>
                    </w:rPr>
                  </w:pPr>
                  <w:r>
                    <w:rPr>
                      <w:rFonts w:hint="eastAsia"/>
                      <w:color w:val="auto"/>
                      <w:szCs w:val="21"/>
                      <w:highlight w:val="none"/>
                    </w:rPr>
                    <w:t>《大气污染物综合排放标准》（GB16297-1996）</w:t>
                  </w:r>
                </w:p>
              </w:tc>
            </w:tr>
          </w:tbl>
          <w:p w14:paraId="37F2A260">
            <w:pPr>
              <w:pStyle w:val="7"/>
              <w:spacing w:before="120" w:beforeLines="50"/>
              <w:ind w:firstLine="482"/>
              <w:rPr>
                <w:rFonts w:hint="eastAsia"/>
                <w:b/>
                <w:bCs/>
                <w:color w:val="auto"/>
                <w:highlight w:val="none"/>
              </w:rPr>
            </w:pPr>
            <w:r>
              <w:rPr>
                <w:b/>
                <w:bCs/>
                <w:color w:val="auto"/>
                <w:highlight w:val="none"/>
              </w:rPr>
              <w:t>排气筒高度相符性分析</w:t>
            </w:r>
            <w:r>
              <w:rPr>
                <w:rFonts w:hint="eastAsia"/>
                <w:b/>
                <w:bCs/>
                <w:color w:val="auto"/>
                <w:highlight w:val="none"/>
              </w:rPr>
              <w:t>：</w:t>
            </w:r>
          </w:p>
          <w:p w14:paraId="2D01746D">
            <w:pPr>
              <w:pStyle w:val="7"/>
              <w:ind w:firstLine="480"/>
              <w:rPr>
                <w:rFonts w:hint="eastAsia" w:eastAsia="宋体"/>
                <w:color w:val="auto"/>
                <w:highlight w:val="none"/>
                <w:lang w:eastAsia="zh-CN"/>
              </w:rPr>
            </w:pPr>
            <w:r>
              <w:rPr>
                <w:rFonts w:hint="eastAsia"/>
                <w:color w:val="auto"/>
                <w:highlight w:val="none"/>
              </w:rPr>
              <w:t>根据《大气污染物综合排放标准》（GB16297-1996）</w:t>
            </w:r>
            <w:r>
              <w:rPr>
                <w:rFonts w:hint="eastAsia"/>
                <w:color w:val="auto"/>
                <w:highlight w:val="none"/>
                <w:lang w:eastAsia="zh-CN"/>
              </w:rPr>
              <w:t>：“</w:t>
            </w:r>
            <w:r>
              <w:rPr>
                <w:rFonts w:hint="eastAsia"/>
                <w:color w:val="auto"/>
                <w:highlight w:val="none"/>
                <w:lang w:val="en-US" w:eastAsia="zh-CN"/>
              </w:rPr>
              <w:t>排气筒高度除须遵守表列排放速率标准值外，还应高出周围200m半径范围的建筑5m以上</w:t>
            </w:r>
            <w:r>
              <w:rPr>
                <w:rFonts w:hint="eastAsia"/>
                <w:color w:val="auto"/>
                <w:highlight w:val="none"/>
                <w:lang w:eastAsia="zh-CN"/>
              </w:rPr>
              <w:t>”、“</w:t>
            </w:r>
            <w:r>
              <w:rPr>
                <w:rFonts w:hint="eastAsia"/>
                <w:color w:val="auto"/>
                <w:highlight w:val="none"/>
                <w:lang w:val="en-US" w:eastAsia="zh-CN"/>
              </w:rPr>
              <w:t>新污染源的排气筒一般不应低于15m</w:t>
            </w:r>
            <w:r>
              <w:rPr>
                <w:rFonts w:hint="eastAsia"/>
                <w:color w:val="auto"/>
                <w:highlight w:val="none"/>
                <w:lang w:eastAsia="zh-CN"/>
              </w:rPr>
              <w:t>”。</w:t>
            </w:r>
          </w:p>
          <w:p w14:paraId="7275D750">
            <w:pPr>
              <w:pStyle w:val="7"/>
              <w:ind w:firstLine="480"/>
              <w:rPr>
                <w:rFonts w:hint="default" w:eastAsia="宋体"/>
                <w:color w:val="auto"/>
                <w:highlight w:val="none"/>
                <w:lang w:val="en-US" w:eastAsia="zh-CN"/>
              </w:rPr>
            </w:pPr>
            <w:r>
              <w:rPr>
                <w:rFonts w:hint="eastAsia"/>
                <w:color w:val="auto"/>
                <w:highlight w:val="none"/>
                <w:lang w:val="en-US" w:eastAsia="zh-CN"/>
              </w:rPr>
              <w:t>本项目排气筒DA001高18.5m，其半径200m范围内最高建筑为本项目所租赁厂房（高13.5m），故本项目排气筒DA001高度设置满足</w:t>
            </w:r>
            <w:r>
              <w:rPr>
                <w:rFonts w:hint="eastAsia"/>
                <w:color w:val="auto"/>
                <w:highlight w:val="none"/>
              </w:rPr>
              <w:t>《大气污染物综合排放标准》（GB16297-1996）</w:t>
            </w:r>
            <w:r>
              <w:rPr>
                <w:rFonts w:hint="eastAsia"/>
                <w:color w:val="auto"/>
                <w:highlight w:val="none"/>
                <w:lang w:val="en-US" w:eastAsia="zh-CN"/>
              </w:rPr>
              <w:t>中相关要求。</w:t>
            </w:r>
          </w:p>
          <w:p w14:paraId="25B3D76A">
            <w:pPr>
              <w:pStyle w:val="9"/>
              <w:spacing w:before="0" w:beforeAutospacing="0" w:after="0" w:afterAutospacing="0"/>
              <w:ind w:firstLine="482"/>
              <w:rPr>
                <w:b/>
                <w:bCs/>
                <w:color w:val="auto"/>
                <w:highlight w:val="none"/>
              </w:rPr>
            </w:pPr>
            <w:r>
              <w:rPr>
                <w:rFonts w:hint="eastAsia"/>
                <w:b/>
                <w:bCs/>
                <w:color w:val="auto"/>
                <w:highlight w:val="none"/>
              </w:rPr>
              <w:t>3</w:t>
            </w:r>
            <w:r>
              <w:rPr>
                <w:b/>
                <w:bCs/>
                <w:color w:val="auto"/>
                <w:highlight w:val="none"/>
              </w:rPr>
              <w:t>、废气达标排放分析</w:t>
            </w:r>
          </w:p>
          <w:p w14:paraId="65B63B76">
            <w:pPr>
              <w:widowControl/>
              <w:spacing w:line="360" w:lineRule="auto"/>
              <w:ind w:firstLine="480" w:firstLineChars="200"/>
              <w:rPr>
                <w:color w:val="auto"/>
                <w:sz w:val="24"/>
                <w:szCs w:val="32"/>
                <w:highlight w:val="none"/>
              </w:rPr>
            </w:pPr>
            <w:r>
              <w:rPr>
                <w:rFonts w:hint="eastAsia"/>
                <w:color w:val="auto"/>
                <w:sz w:val="24"/>
                <w:szCs w:val="32"/>
                <w:highlight w:val="none"/>
                <w:lang w:val="en-US" w:eastAsia="zh-CN"/>
              </w:rPr>
              <w:t>经核算，本项目上料粉尘、有机废气排放均满足《大气污染物综合排放标准》（GB16297-1996）中相关要求。</w:t>
            </w:r>
          </w:p>
          <w:p w14:paraId="79243E92">
            <w:pPr>
              <w:widowControl/>
              <w:spacing w:line="360" w:lineRule="auto"/>
              <w:ind w:firstLine="482" w:firstLineChars="200"/>
              <w:jc w:val="left"/>
              <w:rPr>
                <w:color w:val="auto"/>
                <w:kern w:val="0"/>
                <w:sz w:val="32"/>
                <w:szCs w:val="40"/>
                <w:highlight w:val="none"/>
              </w:rPr>
            </w:pPr>
            <w:r>
              <w:rPr>
                <w:rFonts w:hint="eastAsia"/>
                <w:b/>
                <w:bCs/>
                <w:color w:val="auto"/>
                <w:kern w:val="0"/>
                <w:sz w:val="24"/>
                <w:szCs w:val="32"/>
                <w:highlight w:val="none"/>
              </w:rPr>
              <w:t>4</w:t>
            </w:r>
            <w:r>
              <w:rPr>
                <w:b/>
                <w:bCs/>
                <w:color w:val="auto"/>
                <w:kern w:val="0"/>
                <w:sz w:val="24"/>
                <w:szCs w:val="32"/>
                <w:highlight w:val="none"/>
              </w:rPr>
              <w:t>、非正常</w:t>
            </w:r>
            <w:r>
              <w:rPr>
                <w:rFonts w:hint="eastAsia"/>
                <w:b/>
                <w:bCs/>
                <w:color w:val="auto"/>
                <w:kern w:val="0"/>
                <w:sz w:val="24"/>
                <w:szCs w:val="32"/>
                <w:highlight w:val="none"/>
              </w:rPr>
              <w:t>工况废气排放情况</w:t>
            </w:r>
          </w:p>
          <w:p w14:paraId="602DB2E2">
            <w:pPr>
              <w:spacing w:line="360" w:lineRule="auto"/>
              <w:ind w:firstLine="480" w:firstLineChars="200"/>
              <w:rPr>
                <w:color w:val="auto"/>
                <w:kern w:val="0"/>
                <w:sz w:val="24"/>
                <w:szCs w:val="32"/>
                <w:highlight w:val="none"/>
              </w:rPr>
            </w:pPr>
            <w:r>
              <w:rPr>
                <w:color w:val="auto"/>
                <w:kern w:val="0"/>
                <w:sz w:val="24"/>
                <w:szCs w:val="32"/>
                <w:highlight w:val="none"/>
              </w:rPr>
              <w:t>本项目非正常工况主要为项目环保设施失效。当环保设施失效时，污染物未经处理直接排放，对周围环境影响较大。本次评价要求当发生环保设施失效的情况时，应立即停止生产，对环保设施进行检修，待环保设施</w:t>
            </w:r>
            <w:r>
              <w:rPr>
                <w:rFonts w:hint="eastAsia"/>
                <w:color w:val="auto"/>
                <w:kern w:val="0"/>
                <w:sz w:val="24"/>
                <w:szCs w:val="32"/>
                <w:highlight w:val="none"/>
              </w:rPr>
              <w:t>可以</w:t>
            </w:r>
            <w:r>
              <w:rPr>
                <w:color w:val="auto"/>
                <w:kern w:val="0"/>
                <w:sz w:val="24"/>
                <w:szCs w:val="32"/>
                <w:highlight w:val="none"/>
              </w:rPr>
              <w:t>正常运行后，再进行生产。本项目污染物非正常排放情况见表</w:t>
            </w:r>
            <w:r>
              <w:rPr>
                <w:rFonts w:hint="eastAsia"/>
                <w:color w:val="auto"/>
                <w:kern w:val="0"/>
                <w:sz w:val="24"/>
                <w:szCs w:val="32"/>
                <w:highlight w:val="none"/>
                <w:lang w:val="en-US" w:eastAsia="zh-CN"/>
              </w:rPr>
              <w:t>4-5</w:t>
            </w:r>
            <w:r>
              <w:rPr>
                <w:color w:val="auto"/>
                <w:kern w:val="0"/>
                <w:sz w:val="24"/>
                <w:szCs w:val="32"/>
                <w:highlight w:val="none"/>
              </w:rPr>
              <w:t>。</w:t>
            </w:r>
          </w:p>
          <w:p w14:paraId="549CB134">
            <w:pPr>
              <w:jc w:val="center"/>
              <w:rPr>
                <w:b/>
                <w:bCs/>
                <w:color w:val="auto"/>
                <w:kern w:val="0"/>
                <w:sz w:val="24"/>
                <w:szCs w:val="32"/>
                <w:highlight w:val="none"/>
              </w:rPr>
            </w:pPr>
            <w:r>
              <w:rPr>
                <w:b/>
                <w:bCs/>
                <w:color w:val="auto"/>
                <w:kern w:val="0"/>
                <w:sz w:val="24"/>
                <w:szCs w:val="32"/>
                <w:highlight w:val="none"/>
              </w:rPr>
              <w:t>表4-</w:t>
            </w:r>
            <w:r>
              <w:rPr>
                <w:rFonts w:hint="eastAsia"/>
                <w:b/>
                <w:bCs/>
                <w:color w:val="auto"/>
                <w:kern w:val="0"/>
                <w:sz w:val="24"/>
                <w:szCs w:val="32"/>
                <w:highlight w:val="none"/>
              </w:rPr>
              <w:t xml:space="preserve">5 </w:t>
            </w:r>
            <w:r>
              <w:rPr>
                <w:b/>
                <w:bCs/>
                <w:color w:val="auto"/>
                <w:kern w:val="0"/>
                <w:sz w:val="24"/>
                <w:szCs w:val="32"/>
                <w:highlight w:val="none"/>
              </w:rPr>
              <w:t xml:space="preserve"> 非正常情况排放量核算表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00"/>
              <w:gridCol w:w="992"/>
              <w:gridCol w:w="760"/>
              <w:gridCol w:w="1108"/>
              <w:gridCol w:w="999"/>
              <w:gridCol w:w="825"/>
              <w:gridCol w:w="588"/>
              <w:gridCol w:w="864"/>
              <w:gridCol w:w="1477"/>
            </w:tblGrid>
            <w:tr w14:paraId="1B5FE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75" w:type="pct"/>
                  <w:noWrap w:val="0"/>
                  <w:vAlign w:val="center"/>
                </w:tcPr>
                <w:p w14:paraId="12C28606">
                  <w:pPr>
                    <w:jc w:val="center"/>
                    <w:rPr>
                      <w:b/>
                      <w:bCs/>
                      <w:color w:val="auto"/>
                      <w:szCs w:val="21"/>
                      <w:highlight w:val="none"/>
                    </w:rPr>
                  </w:pPr>
                  <w:r>
                    <w:rPr>
                      <w:b/>
                      <w:bCs/>
                      <w:color w:val="auto"/>
                      <w:szCs w:val="21"/>
                      <w:highlight w:val="none"/>
                    </w:rPr>
                    <w:t>污染源</w:t>
                  </w:r>
                </w:p>
              </w:tc>
              <w:tc>
                <w:tcPr>
                  <w:tcW w:w="589" w:type="pct"/>
                  <w:noWrap w:val="0"/>
                  <w:vAlign w:val="center"/>
                </w:tcPr>
                <w:p w14:paraId="1D5A2EF9">
                  <w:pPr>
                    <w:jc w:val="center"/>
                    <w:rPr>
                      <w:b/>
                      <w:bCs/>
                      <w:color w:val="auto"/>
                      <w:szCs w:val="21"/>
                      <w:highlight w:val="none"/>
                    </w:rPr>
                  </w:pPr>
                  <w:r>
                    <w:rPr>
                      <w:b/>
                      <w:bCs/>
                      <w:color w:val="auto"/>
                      <w:szCs w:val="21"/>
                      <w:highlight w:val="none"/>
                    </w:rPr>
                    <w:t>非正常</w:t>
                  </w:r>
                </w:p>
                <w:p w14:paraId="09A05ABA">
                  <w:pPr>
                    <w:jc w:val="center"/>
                    <w:rPr>
                      <w:b/>
                      <w:bCs/>
                      <w:color w:val="auto"/>
                      <w:szCs w:val="21"/>
                      <w:highlight w:val="none"/>
                    </w:rPr>
                  </w:pPr>
                  <w:r>
                    <w:rPr>
                      <w:b/>
                      <w:bCs/>
                      <w:color w:val="auto"/>
                      <w:szCs w:val="21"/>
                      <w:highlight w:val="none"/>
                    </w:rPr>
                    <w:t>排放原因</w:t>
                  </w:r>
                </w:p>
              </w:tc>
              <w:tc>
                <w:tcPr>
                  <w:tcW w:w="451" w:type="pct"/>
                  <w:noWrap w:val="0"/>
                  <w:vAlign w:val="center"/>
                </w:tcPr>
                <w:p w14:paraId="3AA0EE16">
                  <w:pPr>
                    <w:jc w:val="center"/>
                    <w:rPr>
                      <w:b/>
                      <w:bCs/>
                      <w:color w:val="auto"/>
                      <w:szCs w:val="21"/>
                      <w:highlight w:val="none"/>
                    </w:rPr>
                  </w:pPr>
                  <w:r>
                    <w:rPr>
                      <w:b/>
                      <w:bCs/>
                      <w:color w:val="auto"/>
                      <w:szCs w:val="21"/>
                      <w:highlight w:val="none"/>
                    </w:rPr>
                    <w:t>污染物</w:t>
                  </w:r>
                </w:p>
              </w:tc>
              <w:tc>
                <w:tcPr>
                  <w:tcW w:w="658" w:type="pct"/>
                  <w:noWrap w:val="0"/>
                  <w:vAlign w:val="center"/>
                </w:tcPr>
                <w:p w14:paraId="6C8921F6">
                  <w:pPr>
                    <w:jc w:val="center"/>
                    <w:rPr>
                      <w:b/>
                      <w:bCs/>
                      <w:color w:val="auto"/>
                      <w:szCs w:val="21"/>
                      <w:highlight w:val="none"/>
                    </w:rPr>
                  </w:pPr>
                  <w:r>
                    <w:rPr>
                      <w:b/>
                      <w:bCs/>
                      <w:color w:val="auto"/>
                      <w:szCs w:val="21"/>
                      <w:highlight w:val="none"/>
                    </w:rPr>
                    <w:t>非正常排放浓度/（mg/m</w:t>
                  </w:r>
                  <w:r>
                    <w:rPr>
                      <w:b/>
                      <w:bCs/>
                      <w:color w:val="auto"/>
                      <w:szCs w:val="21"/>
                      <w:highlight w:val="none"/>
                      <w:vertAlign w:val="superscript"/>
                    </w:rPr>
                    <w:t>3</w:t>
                  </w:r>
                  <w:r>
                    <w:rPr>
                      <w:b/>
                      <w:bCs/>
                      <w:color w:val="auto"/>
                      <w:szCs w:val="21"/>
                      <w:highlight w:val="none"/>
                    </w:rPr>
                    <w:t>）</w:t>
                  </w:r>
                </w:p>
              </w:tc>
              <w:tc>
                <w:tcPr>
                  <w:tcW w:w="593" w:type="pct"/>
                  <w:noWrap w:val="0"/>
                  <w:vAlign w:val="center"/>
                </w:tcPr>
                <w:p w14:paraId="4429132E">
                  <w:pPr>
                    <w:jc w:val="center"/>
                    <w:rPr>
                      <w:b/>
                      <w:bCs/>
                      <w:color w:val="auto"/>
                      <w:szCs w:val="21"/>
                      <w:highlight w:val="none"/>
                    </w:rPr>
                  </w:pPr>
                  <w:r>
                    <w:rPr>
                      <w:b/>
                      <w:bCs/>
                      <w:color w:val="auto"/>
                      <w:szCs w:val="21"/>
                      <w:highlight w:val="none"/>
                    </w:rPr>
                    <w:t>非正常排放速率/（kg/h）</w:t>
                  </w:r>
                </w:p>
              </w:tc>
              <w:tc>
                <w:tcPr>
                  <w:tcW w:w="490" w:type="pct"/>
                  <w:noWrap w:val="0"/>
                  <w:vAlign w:val="center"/>
                </w:tcPr>
                <w:p w14:paraId="21F0670F">
                  <w:pPr>
                    <w:jc w:val="center"/>
                    <w:rPr>
                      <w:b/>
                      <w:bCs/>
                      <w:color w:val="auto"/>
                      <w:szCs w:val="21"/>
                      <w:highlight w:val="none"/>
                    </w:rPr>
                  </w:pPr>
                  <w:r>
                    <w:rPr>
                      <w:b/>
                      <w:bCs/>
                      <w:color w:val="auto"/>
                      <w:szCs w:val="21"/>
                      <w:highlight w:val="none"/>
                    </w:rPr>
                    <w:t>单次持续时间/h</w:t>
                  </w:r>
                </w:p>
              </w:tc>
              <w:tc>
                <w:tcPr>
                  <w:tcW w:w="349" w:type="pct"/>
                  <w:noWrap w:val="0"/>
                  <w:vAlign w:val="center"/>
                </w:tcPr>
                <w:p w14:paraId="505B53D8">
                  <w:pPr>
                    <w:jc w:val="center"/>
                    <w:rPr>
                      <w:b/>
                      <w:bCs/>
                      <w:color w:val="auto"/>
                      <w:szCs w:val="21"/>
                      <w:highlight w:val="none"/>
                    </w:rPr>
                  </w:pPr>
                  <w:r>
                    <w:rPr>
                      <w:b/>
                      <w:bCs/>
                      <w:color w:val="auto"/>
                      <w:szCs w:val="21"/>
                      <w:highlight w:val="none"/>
                    </w:rPr>
                    <w:t>年发生频次/次</w:t>
                  </w:r>
                </w:p>
              </w:tc>
              <w:tc>
                <w:tcPr>
                  <w:tcW w:w="513" w:type="pct"/>
                  <w:noWrap w:val="0"/>
                  <w:vAlign w:val="center"/>
                </w:tcPr>
                <w:p w14:paraId="3740541E">
                  <w:pPr>
                    <w:jc w:val="center"/>
                    <w:rPr>
                      <w:b/>
                      <w:bCs/>
                      <w:color w:val="auto"/>
                      <w:szCs w:val="21"/>
                      <w:highlight w:val="none"/>
                    </w:rPr>
                  </w:pPr>
                  <w:r>
                    <w:rPr>
                      <w:b/>
                      <w:bCs/>
                      <w:color w:val="auto"/>
                      <w:szCs w:val="21"/>
                      <w:highlight w:val="none"/>
                    </w:rPr>
                    <w:t>排放量/（kg/a）</w:t>
                  </w:r>
                </w:p>
              </w:tc>
              <w:tc>
                <w:tcPr>
                  <w:tcW w:w="877" w:type="pct"/>
                  <w:noWrap w:val="0"/>
                  <w:vAlign w:val="center"/>
                </w:tcPr>
                <w:p w14:paraId="63BB65CA">
                  <w:pPr>
                    <w:jc w:val="center"/>
                    <w:rPr>
                      <w:b/>
                      <w:bCs/>
                      <w:color w:val="auto"/>
                      <w:szCs w:val="21"/>
                      <w:highlight w:val="none"/>
                    </w:rPr>
                  </w:pPr>
                  <w:r>
                    <w:rPr>
                      <w:b/>
                      <w:bCs/>
                      <w:color w:val="auto"/>
                      <w:szCs w:val="21"/>
                      <w:highlight w:val="none"/>
                    </w:rPr>
                    <w:t>应对措施</w:t>
                  </w:r>
                </w:p>
              </w:tc>
            </w:tr>
            <w:tr w14:paraId="58D4F6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73" w:hRule="atLeast"/>
                <w:jc w:val="center"/>
              </w:trPr>
              <w:tc>
                <w:tcPr>
                  <w:tcW w:w="475" w:type="pct"/>
                  <w:noWrap w:val="0"/>
                  <w:vAlign w:val="center"/>
                </w:tcPr>
                <w:p w14:paraId="47156035">
                  <w:pPr>
                    <w:pStyle w:val="5"/>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上料粉尘</w:t>
                  </w:r>
                </w:p>
              </w:tc>
              <w:tc>
                <w:tcPr>
                  <w:tcW w:w="589" w:type="pct"/>
                  <w:noWrap w:val="0"/>
                  <w:vAlign w:val="center"/>
                </w:tcPr>
                <w:p w14:paraId="6EC1CB04">
                  <w:pPr>
                    <w:jc w:val="center"/>
                    <w:rPr>
                      <w:color w:val="auto"/>
                      <w:szCs w:val="21"/>
                      <w:highlight w:val="none"/>
                    </w:rPr>
                  </w:pPr>
                  <w:r>
                    <w:rPr>
                      <w:rFonts w:hint="eastAsia"/>
                      <w:color w:val="auto"/>
                      <w:szCs w:val="21"/>
                      <w:highlight w:val="none"/>
                    </w:rPr>
                    <w:t>废气处理设施故障</w:t>
                  </w:r>
                </w:p>
              </w:tc>
              <w:tc>
                <w:tcPr>
                  <w:tcW w:w="451" w:type="pct"/>
                  <w:noWrap w:val="0"/>
                  <w:vAlign w:val="center"/>
                </w:tcPr>
                <w:p w14:paraId="04A39161">
                  <w:pPr>
                    <w:pStyle w:val="8"/>
                    <w:jc w:val="center"/>
                    <w:rPr>
                      <w:rFonts w:hint="eastAsia" w:eastAsia="宋体"/>
                      <w:color w:val="auto"/>
                      <w:szCs w:val="21"/>
                      <w:highlight w:val="none"/>
                      <w:lang w:val="en-US" w:eastAsia="zh-CN"/>
                    </w:rPr>
                  </w:pPr>
                  <w:r>
                    <w:rPr>
                      <w:rFonts w:hint="eastAsia"/>
                      <w:color w:val="auto"/>
                      <w:szCs w:val="21"/>
                      <w:highlight w:val="none"/>
                      <w:lang w:val="en-US" w:eastAsia="zh-CN"/>
                    </w:rPr>
                    <w:t>颗粒物</w:t>
                  </w:r>
                </w:p>
              </w:tc>
              <w:tc>
                <w:tcPr>
                  <w:tcW w:w="658" w:type="pct"/>
                  <w:noWrap w:val="0"/>
                  <w:vAlign w:val="center"/>
                </w:tcPr>
                <w:p w14:paraId="076C0BBE">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593" w:type="pct"/>
                  <w:noWrap w:val="0"/>
                  <w:vAlign w:val="center"/>
                </w:tcPr>
                <w:p w14:paraId="4D71C19C">
                  <w:pPr>
                    <w:jc w:val="center"/>
                    <w:rPr>
                      <w:rFonts w:hint="default" w:eastAsia="宋体"/>
                      <w:color w:val="auto"/>
                      <w:szCs w:val="21"/>
                      <w:highlight w:val="none"/>
                      <w:lang w:val="en-US" w:eastAsia="zh-CN"/>
                    </w:rPr>
                  </w:pPr>
                  <w:r>
                    <w:rPr>
                      <w:rFonts w:hint="eastAsia"/>
                      <w:color w:val="auto"/>
                      <w:szCs w:val="21"/>
                      <w:highlight w:val="none"/>
                      <w:lang w:val="en-US" w:eastAsia="zh-CN"/>
                    </w:rPr>
                    <w:t>0.00019</w:t>
                  </w:r>
                </w:p>
              </w:tc>
              <w:tc>
                <w:tcPr>
                  <w:tcW w:w="490" w:type="pct"/>
                  <w:noWrap w:val="0"/>
                  <w:vAlign w:val="center"/>
                </w:tcPr>
                <w:p w14:paraId="4D35DB93">
                  <w:pPr>
                    <w:jc w:val="center"/>
                    <w:rPr>
                      <w:rFonts w:hint="default" w:eastAsia="宋体"/>
                      <w:color w:val="auto"/>
                      <w:szCs w:val="21"/>
                      <w:highlight w:val="none"/>
                      <w:lang w:val="en-US" w:eastAsia="zh-CN"/>
                    </w:rPr>
                  </w:pPr>
                  <w:r>
                    <w:rPr>
                      <w:rFonts w:hint="eastAsia"/>
                      <w:color w:val="auto"/>
                      <w:szCs w:val="21"/>
                      <w:highlight w:val="none"/>
                      <w:lang w:val="en-US" w:eastAsia="zh-CN"/>
                    </w:rPr>
                    <w:t>0.5</w:t>
                  </w:r>
                </w:p>
              </w:tc>
              <w:tc>
                <w:tcPr>
                  <w:tcW w:w="349" w:type="pct"/>
                  <w:noWrap w:val="0"/>
                  <w:vAlign w:val="center"/>
                </w:tcPr>
                <w:p w14:paraId="40E597F1">
                  <w:pPr>
                    <w:jc w:val="center"/>
                    <w:rPr>
                      <w:rFonts w:hint="eastAsia"/>
                      <w:color w:val="auto"/>
                      <w:szCs w:val="21"/>
                      <w:highlight w:val="none"/>
                    </w:rPr>
                  </w:pPr>
                  <w:r>
                    <w:rPr>
                      <w:rFonts w:hint="eastAsia"/>
                      <w:color w:val="auto"/>
                      <w:szCs w:val="21"/>
                      <w:highlight w:val="none"/>
                    </w:rPr>
                    <w:t>2</w:t>
                  </w:r>
                </w:p>
              </w:tc>
              <w:tc>
                <w:tcPr>
                  <w:tcW w:w="864" w:type="dxa"/>
                  <w:noWrap w:val="0"/>
                  <w:vAlign w:val="center"/>
                </w:tcPr>
                <w:p w14:paraId="58CA74B4">
                  <w:pPr>
                    <w:jc w:val="center"/>
                    <w:rPr>
                      <w:rFonts w:hint="default" w:eastAsia="宋体"/>
                      <w:color w:val="auto"/>
                      <w:szCs w:val="21"/>
                      <w:highlight w:val="none"/>
                      <w:lang w:val="en-US" w:eastAsia="zh-CN"/>
                    </w:rPr>
                  </w:pPr>
                  <w:r>
                    <w:rPr>
                      <w:rFonts w:hint="eastAsia"/>
                      <w:color w:val="auto"/>
                      <w:szCs w:val="21"/>
                      <w:highlight w:val="none"/>
                      <w:lang w:val="en-US" w:eastAsia="zh-CN"/>
                    </w:rPr>
                    <w:t>0.00019</w:t>
                  </w:r>
                </w:p>
              </w:tc>
              <w:tc>
                <w:tcPr>
                  <w:tcW w:w="877" w:type="pct"/>
                  <w:noWrap w:val="0"/>
                  <w:vAlign w:val="center"/>
                </w:tcPr>
                <w:p w14:paraId="1A553D88">
                  <w:pPr>
                    <w:jc w:val="center"/>
                    <w:rPr>
                      <w:color w:val="auto"/>
                      <w:szCs w:val="21"/>
                      <w:highlight w:val="none"/>
                    </w:rPr>
                  </w:pPr>
                  <w:r>
                    <w:rPr>
                      <w:color w:val="auto"/>
                      <w:szCs w:val="21"/>
                      <w:highlight w:val="none"/>
                    </w:rPr>
                    <w:t>立即停止生产，及时检修设备</w:t>
                  </w:r>
                </w:p>
              </w:tc>
            </w:tr>
            <w:tr w14:paraId="49CB5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73" w:hRule="atLeast"/>
                <w:jc w:val="center"/>
              </w:trPr>
              <w:tc>
                <w:tcPr>
                  <w:tcW w:w="475" w:type="pct"/>
                  <w:noWrap w:val="0"/>
                  <w:vAlign w:val="center"/>
                </w:tcPr>
                <w:p w14:paraId="1460C745">
                  <w:pPr>
                    <w:pStyle w:val="5"/>
                    <w:ind w:firstLine="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有机废气</w:t>
                  </w:r>
                </w:p>
              </w:tc>
              <w:tc>
                <w:tcPr>
                  <w:tcW w:w="589" w:type="pct"/>
                  <w:noWrap w:val="0"/>
                  <w:vAlign w:val="center"/>
                </w:tcPr>
                <w:p w14:paraId="37CC260E">
                  <w:pPr>
                    <w:jc w:val="center"/>
                    <w:rPr>
                      <w:rFonts w:hint="eastAsia"/>
                      <w:color w:val="auto"/>
                      <w:szCs w:val="21"/>
                      <w:highlight w:val="none"/>
                    </w:rPr>
                  </w:pPr>
                  <w:r>
                    <w:rPr>
                      <w:rFonts w:hint="eastAsia"/>
                      <w:color w:val="auto"/>
                      <w:szCs w:val="21"/>
                      <w:highlight w:val="none"/>
                    </w:rPr>
                    <w:t>废气处理设施故障</w:t>
                  </w:r>
                </w:p>
              </w:tc>
              <w:tc>
                <w:tcPr>
                  <w:tcW w:w="451" w:type="pct"/>
                  <w:noWrap w:val="0"/>
                  <w:vAlign w:val="center"/>
                </w:tcPr>
                <w:p w14:paraId="4638EB4B">
                  <w:pPr>
                    <w:pStyle w:val="8"/>
                    <w:jc w:val="center"/>
                    <w:rPr>
                      <w:rFonts w:hint="eastAsia"/>
                      <w:color w:val="auto"/>
                      <w:szCs w:val="21"/>
                      <w:highlight w:val="none"/>
                    </w:rPr>
                  </w:pPr>
                  <w:r>
                    <w:rPr>
                      <w:rFonts w:hint="eastAsia"/>
                      <w:color w:val="auto"/>
                      <w:szCs w:val="21"/>
                      <w:highlight w:val="none"/>
                    </w:rPr>
                    <w:t>非甲烷总烃</w:t>
                  </w:r>
                </w:p>
              </w:tc>
              <w:tc>
                <w:tcPr>
                  <w:tcW w:w="658" w:type="pct"/>
                  <w:noWrap w:val="0"/>
                  <w:vAlign w:val="center"/>
                </w:tcPr>
                <w:p w14:paraId="71CE8702">
                  <w:pPr>
                    <w:jc w:val="center"/>
                    <w:rPr>
                      <w:rFonts w:hint="default"/>
                      <w:color w:val="auto"/>
                      <w:szCs w:val="21"/>
                      <w:highlight w:val="none"/>
                      <w:lang w:val="en-US" w:eastAsia="zh-CN"/>
                    </w:rPr>
                  </w:pPr>
                  <w:r>
                    <w:rPr>
                      <w:rFonts w:hint="eastAsia"/>
                      <w:color w:val="auto"/>
                      <w:szCs w:val="21"/>
                      <w:highlight w:val="none"/>
                      <w:lang w:val="en-US" w:eastAsia="zh-CN"/>
                    </w:rPr>
                    <w:t>6.64</w:t>
                  </w:r>
                </w:p>
              </w:tc>
              <w:tc>
                <w:tcPr>
                  <w:tcW w:w="593" w:type="pct"/>
                  <w:noWrap w:val="0"/>
                  <w:vAlign w:val="center"/>
                </w:tcPr>
                <w:p w14:paraId="1B381190">
                  <w:pPr>
                    <w:jc w:val="center"/>
                    <w:rPr>
                      <w:rFonts w:hint="default"/>
                      <w:color w:val="auto"/>
                      <w:szCs w:val="21"/>
                      <w:highlight w:val="none"/>
                      <w:lang w:val="en-US" w:eastAsia="zh-CN"/>
                    </w:rPr>
                  </w:pPr>
                  <w:r>
                    <w:rPr>
                      <w:rFonts w:hint="eastAsia"/>
                      <w:color w:val="auto"/>
                      <w:szCs w:val="21"/>
                      <w:highlight w:val="none"/>
                      <w:lang w:val="en-US" w:eastAsia="zh-CN"/>
                    </w:rPr>
                    <w:t>0.027</w:t>
                  </w:r>
                </w:p>
              </w:tc>
              <w:tc>
                <w:tcPr>
                  <w:tcW w:w="490" w:type="pct"/>
                  <w:noWrap w:val="0"/>
                  <w:vAlign w:val="center"/>
                </w:tcPr>
                <w:p w14:paraId="4013A0D0">
                  <w:pPr>
                    <w:jc w:val="center"/>
                    <w:rPr>
                      <w:rFonts w:hint="default" w:eastAsia="宋体"/>
                      <w:color w:val="auto"/>
                      <w:szCs w:val="21"/>
                      <w:highlight w:val="none"/>
                      <w:lang w:val="en-US" w:eastAsia="zh-CN"/>
                    </w:rPr>
                  </w:pPr>
                  <w:r>
                    <w:rPr>
                      <w:rFonts w:hint="eastAsia"/>
                      <w:color w:val="auto"/>
                      <w:szCs w:val="21"/>
                      <w:highlight w:val="none"/>
                      <w:lang w:val="en-US" w:eastAsia="zh-CN"/>
                    </w:rPr>
                    <w:t>0.5</w:t>
                  </w:r>
                </w:p>
              </w:tc>
              <w:tc>
                <w:tcPr>
                  <w:tcW w:w="349" w:type="pct"/>
                  <w:noWrap w:val="0"/>
                  <w:vAlign w:val="center"/>
                </w:tcPr>
                <w:p w14:paraId="7E7BC7E2">
                  <w:pPr>
                    <w:jc w:val="center"/>
                    <w:rPr>
                      <w:rFonts w:hint="eastAsia"/>
                      <w:color w:val="auto"/>
                      <w:szCs w:val="21"/>
                      <w:highlight w:val="none"/>
                    </w:rPr>
                  </w:pPr>
                  <w:r>
                    <w:rPr>
                      <w:rFonts w:hint="eastAsia"/>
                      <w:color w:val="auto"/>
                      <w:szCs w:val="21"/>
                      <w:highlight w:val="none"/>
                    </w:rPr>
                    <w:t>2</w:t>
                  </w:r>
                </w:p>
              </w:tc>
              <w:tc>
                <w:tcPr>
                  <w:tcW w:w="864" w:type="dxa"/>
                  <w:noWrap w:val="0"/>
                  <w:vAlign w:val="center"/>
                </w:tcPr>
                <w:p w14:paraId="293B28EF">
                  <w:pPr>
                    <w:jc w:val="center"/>
                    <w:rPr>
                      <w:rFonts w:hint="default"/>
                      <w:color w:val="auto"/>
                      <w:szCs w:val="21"/>
                      <w:highlight w:val="none"/>
                      <w:lang w:val="en-US" w:eastAsia="zh-CN"/>
                    </w:rPr>
                  </w:pPr>
                  <w:r>
                    <w:rPr>
                      <w:rFonts w:hint="eastAsia"/>
                      <w:color w:val="auto"/>
                      <w:szCs w:val="21"/>
                      <w:highlight w:val="none"/>
                      <w:lang w:val="en-US" w:eastAsia="zh-CN"/>
                    </w:rPr>
                    <w:t>0.027</w:t>
                  </w:r>
                </w:p>
              </w:tc>
              <w:tc>
                <w:tcPr>
                  <w:tcW w:w="877" w:type="pct"/>
                  <w:noWrap w:val="0"/>
                  <w:vAlign w:val="center"/>
                </w:tcPr>
                <w:p w14:paraId="585963B4">
                  <w:pPr>
                    <w:jc w:val="center"/>
                    <w:rPr>
                      <w:color w:val="auto"/>
                      <w:szCs w:val="21"/>
                      <w:highlight w:val="none"/>
                    </w:rPr>
                  </w:pPr>
                  <w:r>
                    <w:rPr>
                      <w:color w:val="auto"/>
                      <w:szCs w:val="21"/>
                      <w:highlight w:val="none"/>
                    </w:rPr>
                    <w:t>立即停止生产，及时检修设备</w:t>
                  </w:r>
                </w:p>
              </w:tc>
            </w:tr>
          </w:tbl>
          <w:p w14:paraId="36AE9EB1">
            <w:pPr>
              <w:pStyle w:val="7"/>
              <w:spacing w:before="120" w:beforeLines="50"/>
              <w:ind w:firstLine="482"/>
              <w:rPr>
                <w:b/>
                <w:bCs/>
                <w:color w:val="auto"/>
                <w:highlight w:val="none"/>
              </w:rPr>
            </w:pPr>
            <w:r>
              <w:rPr>
                <w:rFonts w:hint="eastAsia"/>
                <w:b/>
                <w:bCs/>
                <w:color w:val="auto"/>
                <w:highlight w:val="none"/>
              </w:rPr>
              <w:t>5</w:t>
            </w:r>
            <w:r>
              <w:rPr>
                <w:b/>
                <w:bCs/>
                <w:color w:val="auto"/>
                <w:highlight w:val="none"/>
              </w:rPr>
              <w:t>、技术可行性分析</w:t>
            </w:r>
          </w:p>
          <w:p w14:paraId="49F48D0D">
            <w:pPr>
              <w:spacing w:line="360" w:lineRule="auto"/>
              <w:ind w:firstLine="480" w:firstLineChars="200"/>
              <w:rPr>
                <w:rFonts w:hint="eastAsia"/>
                <w:color w:val="auto"/>
                <w:kern w:val="0"/>
                <w:sz w:val="24"/>
                <w:szCs w:val="32"/>
                <w:highlight w:val="none"/>
                <w:lang w:val="en-US" w:eastAsia="zh-CN"/>
              </w:rPr>
            </w:pPr>
            <w:r>
              <w:rPr>
                <w:rFonts w:hint="eastAsia"/>
                <w:color w:val="auto"/>
                <w:kern w:val="0"/>
                <w:sz w:val="24"/>
                <w:szCs w:val="32"/>
                <w:highlight w:val="none"/>
                <w:lang w:val="en-US" w:eastAsia="zh-CN"/>
              </w:rPr>
              <w:t>本项目上料粉尘经脉冲净化器配套喇叭口收集进入脉冲净化器处理后车间无组织排放，</w:t>
            </w:r>
            <w:r>
              <w:rPr>
                <w:rFonts w:hint="eastAsia"/>
                <w:color w:val="auto"/>
                <w:kern w:val="0"/>
                <w:sz w:val="24"/>
                <w:szCs w:val="32"/>
                <w:highlight w:val="none"/>
                <w:lang w:val="en-US" w:eastAsia="zh-CN"/>
              </w:rPr>
              <w:t>脉冲净化器是在袋式除尘器的基础上改进的新型高效脉冲除尘器</w:t>
            </w:r>
            <w:r>
              <w:rPr>
                <w:rFonts w:hint="eastAsia"/>
                <w:color w:val="auto"/>
                <w:kern w:val="0"/>
                <w:sz w:val="24"/>
                <w:szCs w:val="32"/>
                <w:highlight w:val="none"/>
                <w:lang w:val="en-US" w:eastAsia="zh-CN"/>
              </w:rPr>
              <w:t>。</w:t>
            </w:r>
            <w:r>
              <w:rPr>
                <w:rFonts w:hint="eastAsia"/>
                <w:color w:val="auto"/>
                <w:kern w:val="0"/>
                <w:sz w:val="24"/>
                <w:szCs w:val="32"/>
                <w:highlight w:val="none"/>
                <w:lang w:val="en-US" w:eastAsia="zh-CN"/>
              </w:rPr>
              <w:t>根据</w:t>
            </w:r>
            <w:r>
              <w:rPr>
                <w:rFonts w:hint="eastAsia"/>
                <w:color w:val="auto"/>
                <w:kern w:val="0"/>
                <w:sz w:val="24"/>
                <w:szCs w:val="32"/>
                <w:highlight w:val="none"/>
                <w:lang w:eastAsia="zh-CN"/>
              </w:rPr>
              <w:t>《排污许可证申请与核发技术规范 总则》（HJ 942</w:t>
            </w:r>
            <w:r>
              <w:rPr>
                <w:rFonts w:hint="eastAsia"/>
                <w:color w:val="auto"/>
                <w:kern w:val="0"/>
                <w:sz w:val="24"/>
                <w:szCs w:val="32"/>
                <w:highlight w:val="none"/>
                <w:lang w:val="en-US" w:eastAsia="zh-CN"/>
              </w:rPr>
              <w:t>-2018</w:t>
            </w:r>
            <w:r>
              <w:rPr>
                <w:rFonts w:hint="eastAsia"/>
                <w:color w:val="auto"/>
                <w:kern w:val="0"/>
                <w:sz w:val="24"/>
                <w:szCs w:val="32"/>
                <w:highlight w:val="none"/>
                <w:lang w:eastAsia="zh-CN"/>
              </w:rPr>
              <w:t>）</w:t>
            </w:r>
            <w:r>
              <w:rPr>
                <w:rFonts w:hint="eastAsia"/>
                <w:color w:val="auto"/>
                <w:kern w:val="0"/>
                <w:sz w:val="24"/>
                <w:szCs w:val="32"/>
                <w:highlight w:val="none"/>
                <w:lang w:val="en-US" w:eastAsia="zh-CN"/>
              </w:rPr>
              <w:t>及《</w:t>
            </w:r>
            <w:r>
              <w:rPr>
                <w:rFonts w:hint="eastAsia"/>
                <w:color w:val="auto"/>
                <w:kern w:val="0"/>
                <w:sz w:val="24"/>
                <w:szCs w:val="32"/>
                <w:highlight w:val="none"/>
                <w:lang w:eastAsia="zh-CN"/>
              </w:rPr>
              <w:t xml:space="preserve">排污许可证申请与核发技术规范 </w:t>
            </w:r>
            <w:r>
              <w:rPr>
                <w:rFonts w:hint="eastAsia"/>
                <w:color w:val="auto"/>
                <w:kern w:val="0"/>
                <w:sz w:val="24"/>
                <w:szCs w:val="32"/>
                <w:highlight w:val="none"/>
                <w:lang w:val="en-US" w:eastAsia="zh-CN"/>
              </w:rPr>
              <w:t>电子工业》（HJ1031-2019），</w:t>
            </w:r>
            <w:r>
              <w:rPr>
                <w:rFonts w:hint="eastAsia"/>
                <w:color w:val="auto"/>
                <w:kern w:val="0"/>
                <w:sz w:val="24"/>
                <w:szCs w:val="32"/>
                <w:highlight w:val="none"/>
                <w:lang w:val="en-US" w:eastAsia="zh-CN"/>
              </w:rPr>
              <w:t>本项目上料粉尘采用脉冲净化器技术可行。</w:t>
            </w:r>
          </w:p>
          <w:p w14:paraId="61B9764E">
            <w:pPr>
              <w:spacing w:line="360" w:lineRule="auto"/>
              <w:ind w:firstLine="480" w:firstLineChars="200"/>
              <w:rPr>
                <w:rFonts w:hint="default" w:eastAsia="宋体"/>
                <w:color w:val="auto"/>
                <w:kern w:val="0"/>
                <w:sz w:val="24"/>
                <w:szCs w:val="32"/>
                <w:highlight w:val="none"/>
                <w:lang w:val="en-US" w:eastAsia="zh-CN"/>
              </w:rPr>
            </w:pPr>
            <w:r>
              <w:rPr>
                <w:rFonts w:hint="eastAsia"/>
                <w:color w:val="auto"/>
                <w:kern w:val="0"/>
                <w:sz w:val="24"/>
                <w:szCs w:val="32"/>
                <w:highlight w:val="none"/>
                <w:lang w:val="en-US" w:eastAsia="zh-CN"/>
              </w:rPr>
              <w:t>本项目有机废气由</w:t>
            </w:r>
            <w:r>
              <w:rPr>
                <w:rFonts w:hint="eastAsia"/>
                <w:color w:val="auto"/>
                <w:kern w:val="0"/>
                <w:sz w:val="24"/>
                <w:szCs w:val="32"/>
                <w:highlight w:val="none"/>
                <w:lang w:val="en-US" w:eastAsia="zh-CN"/>
              </w:rPr>
              <w:t>10个集气罩收集进入二级活性炭装置</w:t>
            </w:r>
            <w:r>
              <w:rPr>
                <w:rFonts w:hint="eastAsia"/>
                <w:color w:val="auto"/>
                <w:kern w:val="0"/>
                <w:sz w:val="24"/>
                <w:szCs w:val="32"/>
                <w:highlight w:val="none"/>
                <w:lang w:val="en-US" w:eastAsia="zh-CN"/>
              </w:rPr>
              <w:t>处理后通过</w:t>
            </w:r>
            <w:r>
              <w:rPr>
                <w:rFonts w:hint="eastAsia"/>
                <w:color w:val="auto"/>
                <w:kern w:val="0"/>
                <w:sz w:val="24"/>
                <w:szCs w:val="32"/>
                <w:highlight w:val="none"/>
                <w:lang w:val="en-US" w:eastAsia="zh-CN"/>
              </w:rPr>
              <w:t>1根</w:t>
            </w:r>
            <w:r>
              <w:rPr>
                <w:rFonts w:hint="eastAsia"/>
                <w:color w:val="auto"/>
                <w:kern w:val="0"/>
                <w:sz w:val="24"/>
                <w:szCs w:val="32"/>
                <w:highlight w:val="none"/>
                <w:lang w:val="en-US" w:eastAsia="zh-CN"/>
              </w:rPr>
              <w:t>18.5m高排气筒（DA001）达标排放。根据</w:t>
            </w:r>
            <w:r>
              <w:rPr>
                <w:rFonts w:hint="eastAsia"/>
                <w:color w:val="auto"/>
                <w:kern w:val="0"/>
                <w:sz w:val="24"/>
                <w:szCs w:val="32"/>
                <w:highlight w:val="none"/>
                <w:lang w:eastAsia="zh-CN"/>
              </w:rPr>
              <w:t>《排污许可证申请与核发技术规范 总则》（HJ 942</w:t>
            </w:r>
            <w:r>
              <w:rPr>
                <w:rFonts w:hint="eastAsia"/>
                <w:color w:val="auto"/>
                <w:kern w:val="0"/>
                <w:sz w:val="24"/>
                <w:szCs w:val="32"/>
                <w:highlight w:val="none"/>
                <w:lang w:val="en-US" w:eastAsia="zh-CN"/>
              </w:rPr>
              <w:t>-2018</w:t>
            </w:r>
            <w:r>
              <w:rPr>
                <w:rFonts w:hint="eastAsia"/>
                <w:color w:val="auto"/>
                <w:kern w:val="0"/>
                <w:sz w:val="24"/>
                <w:szCs w:val="32"/>
                <w:highlight w:val="none"/>
                <w:lang w:eastAsia="zh-CN"/>
              </w:rPr>
              <w:t>）</w:t>
            </w:r>
            <w:r>
              <w:rPr>
                <w:rFonts w:hint="eastAsia"/>
                <w:color w:val="auto"/>
                <w:kern w:val="0"/>
                <w:sz w:val="24"/>
                <w:szCs w:val="32"/>
                <w:highlight w:val="none"/>
                <w:lang w:val="en-US" w:eastAsia="zh-CN"/>
              </w:rPr>
              <w:t>及《</w:t>
            </w:r>
            <w:r>
              <w:rPr>
                <w:rFonts w:hint="eastAsia"/>
                <w:color w:val="auto"/>
                <w:kern w:val="0"/>
                <w:sz w:val="24"/>
                <w:szCs w:val="32"/>
                <w:highlight w:val="none"/>
                <w:lang w:eastAsia="zh-CN"/>
              </w:rPr>
              <w:t xml:space="preserve">排污许可证申请与核发技术规范 </w:t>
            </w:r>
            <w:r>
              <w:rPr>
                <w:rFonts w:hint="eastAsia"/>
                <w:color w:val="auto"/>
                <w:kern w:val="0"/>
                <w:sz w:val="24"/>
                <w:szCs w:val="32"/>
                <w:highlight w:val="none"/>
                <w:lang w:val="en-US" w:eastAsia="zh-CN"/>
              </w:rPr>
              <w:t>电子工业》（HJ1031-2019），</w:t>
            </w:r>
            <w:r>
              <w:rPr>
                <w:rFonts w:hint="eastAsia"/>
                <w:color w:val="auto"/>
                <w:kern w:val="0"/>
                <w:sz w:val="24"/>
                <w:szCs w:val="32"/>
                <w:highlight w:val="none"/>
                <w:lang w:val="en-US" w:eastAsia="zh-CN"/>
              </w:rPr>
              <w:t>采用</w:t>
            </w:r>
            <w:r>
              <w:rPr>
                <w:rFonts w:hint="eastAsia"/>
                <w:color w:val="auto"/>
                <w:kern w:val="0"/>
                <w:sz w:val="24"/>
                <w:szCs w:val="32"/>
                <w:highlight w:val="none"/>
                <w:lang w:val="en-US" w:eastAsia="zh-CN"/>
              </w:rPr>
              <w:t>二级活性炭装置对有机废气进行处理技术可行。此外，</w:t>
            </w:r>
            <w:r>
              <w:rPr>
                <w:rFonts w:hint="default" w:ascii="Times New Roman" w:hAnsi="Times New Roman" w:cs="Times New Roman"/>
                <w:b w:val="0"/>
                <w:bCs/>
                <w:snapToGrid w:val="0"/>
                <w:color w:val="auto"/>
                <w:kern w:val="0"/>
                <w:sz w:val="24"/>
                <w:highlight w:val="none"/>
                <w:lang w:val="en-US" w:eastAsia="zh-CN"/>
              </w:rPr>
              <w:t>根据《挥发性有机物无组织排放控制标准》（GB37822-2019）中“10.3.2 收集的废气中NMHC初始排放速率&gt;3kgh时，应配置VOCs处理设施，处理效率不应低于80%</w:t>
            </w:r>
            <w:r>
              <w:rPr>
                <w:rFonts w:hint="eastAsia" w:ascii="Times New Roman" w:hAnsi="Times New Roman" w:cs="Times New Roman"/>
                <w:b w:val="0"/>
                <w:bCs/>
                <w:snapToGrid w:val="0"/>
                <w:color w:val="auto"/>
                <w:kern w:val="0"/>
                <w:sz w:val="24"/>
                <w:highlight w:val="none"/>
                <w:lang w:val="en-US" w:eastAsia="zh-CN"/>
              </w:rPr>
              <w:t>；</w:t>
            </w:r>
            <w:r>
              <w:rPr>
                <w:rFonts w:hint="default" w:ascii="Times New Roman" w:hAnsi="Times New Roman" w:cs="Times New Roman"/>
                <w:b w:val="0"/>
                <w:bCs/>
                <w:snapToGrid w:val="0"/>
                <w:color w:val="auto"/>
                <w:kern w:val="0"/>
                <w:sz w:val="24"/>
                <w:highlight w:val="none"/>
                <w:lang w:val="en-US" w:eastAsia="zh-CN"/>
              </w:rPr>
              <w:t>对于重点地区，收集的废气中NMHC初始排放速率≥2kgh时，应配置VOCs处理设施，处理效率不应低于80%</w:t>
            </w:r>
            <w:r>
              <w:rPr>
                <w:rFonts w:hint="eastAsia" w:ascii="Times New Roman" w:hAnsi="Times New Roman" w:cs="Times New Roman"/>
                <w:b w:val="0"/>
                <w:bCs/>
                <w:snapToGrid w:val="0"/>
                <w:color w:val="auto"/>
                <w:kern w:val="0"/>
                <w:sz w:val="24"/>
                <w:highlight w:val="none"/>
                <w:lang w:val="en-US" w:eastAsia="zh-CN"/>
              </w:rPr>
              <w:t>；</w:t>
            </w:r>
            <w:r>
              <w:rPr>
                <w:rFonts w:hint="default" w:ascii="Times New Roman" w:hAnsi="Times New Roman" w:cs="Times New Roman"/>
                <w:b w:val="0"/>
                <w:bCs/>
                <w:snapToGrid w:val="0"/>
                <w:color w:val="auto"/>
                <w:kern w:val="0"/>
                <w:sz w:val="24"/>
                <w:highlight w:val="none"/>
                <w:lang w:val="en-US" w:eastAsia="zh-CN"/>
              </w:rPr>
              <w:t>采用的原辅材料符合国家有关低VOCs含量产品规定的除外”</w:t>
            </w:r>
            <w:r>
              <w:rPr>
                <w:rFonts w:hint="eastAsia" w:ascii="Times New Roman" w:hAnsi="Times New Roman" w:cs="Times New Roman"/>
                <w:b w:val="0"/>
                <w:bCs/>
                <w:snapToGrid w:val="0"/>
                <w:color w:val="auto"/>
                <w:kern w:val="0"/>
                <w:sz w:val="24"/>
                <w:highlight w:val="none"/>
                <w:lang w:val="en-US" w:eastAsia="zh-CN"/>
              </w:rPr>
              <w:t>，本项目位于</w:t>
            </w:r>
            <w:r>
              <w:rPr>
                <w:rFonts w:hint="eastAsia" w:cs="Times New Roman"/>
                <w:b w:val="0"/>
                <w:bCs/>
                <w:snapToGrid w:val="0"/>
                <w:color w:val="auto"/>
                <w:kern w:val="0"/>
                <w:sz w:val="24"/>
                <w:highlight w:val="none"/>
                <w:lang w:val="en-US" w:eastAsia="zh-CN"/>
              </w:rPr>
              <w:t>陕西省西咸新区</w:t>
            </w:r>
            <w:r>
              <w:rPr>
                <w:rFonts w:hint="eastAsia" w:ascii="Times New Roman" w:hAnsi="Times New Roman" w:cs="Times New Roman"/>
                <w:b w:val="0"/>
                <w:bCs/>
                <w:snapToGrid w:val="0"/>
                <w:color w:val="auto"/>
                <w:kern w:val="0"/>
                <w:sz w:val="24"/>
                <w:highlight w:val="none"/>
                <w:lang w:val="en-US" w:eastAsia="zh-CN"/>
              </w:rPr>
              <w:t>泾河新城原点西二路陕西力拓重工机械有限公司三号厂房</w:t>
            </w:r>
            <w:r>
              <w:rPr>
                <w:rFonts w:hint="eastAsia" w:cs="Times New Roman"/>
                <w:b w:val="0"/>
                <w:bCs/>
                <w:snapToGrid w:val="0"/>
                <w:color w:val="auto"/>
                <w:kern w:val="0"/>
                <w:sz w:val="24"/>
                <w:highlight w:val="none"/>
                <w:lang w:val="en-US" w:eastAsia="zh-CN"/>
              </w:rPr>
              <w:t>内</w:t>
            </w:r>
            <w:r>
              <w:rPr>
                <w:rFonts w:hint="eastAsia" w:ascii="Times New Roman" w:hAnsi="Times New Roman" w:cs="Times New Roman"/>
                <w:b w:val="0"/>
                <w:bCs/>
                <w:snapToGrid w:val="0"/>
                <w:color w:val="auto"/>
                <w:kern w:val="0"/>
                <w:sz w:val="24"/>
                <w:highlight w:val="none"/>
                <w:lang w:val="en-US" w:eastAsia="zh-CN"/>
              </w:rPr>
              <w:t>，属于重点地区，经核算本项目</w:t>
            </w:r>
            <w:r>
              <w:rPr>
                <w:rFonts w:hint="eastAsia" w:cs="Times New Roman"/>
                <w:b w:val="0"/>
                <w:bCs/>
                <w:snapToGrid w:val="0"/>
                <w:color w:val="auto"/>
                <w:kern w:val="0"/>
                <w:sz w:val="24"/>
                <w:highlight w:val="none"/>
                <w:lang w:val="en-US" w:eastAsia="zh-CN"/>
              </w:rPr>
              <w:t>有机废气</w:t>
            </w:r>
            <w:r>
              <w:rPr>
                <w:rFonts w:hint="eastAsia" w:ascii="Times New Roman" w:hAnsi="Times New Roman" w:cs="Times New Roman"/>
                <w:b w:val="0"/>
                <w:bCs/>
                <w:snapToGrid w:val="0"/>
                <w:color w:val="auto"/>
                <w:kern w:val="0"/>
                <w:sz w:val="24"/>
                <w:highlight w:val="none"/>
                <w:lang w:val="en-US" w:eastAsia="zh-CN"/>
              </w:rPr>
              <w:t>产生</w:t>
            </w:r>
            <w:r>
              <w:rPr>
                <w:rFonts w:hint="default" w:ascii="Times New Roman" w:hAnsi="Times New Roman" w:cs="Times New Roman"/>
                <w:b w:val="0"/>
                <w:bCs/>
                <w:snapToGrid w:val="0"/>
                <w:color w:val="auto"/>
                <w:kern w:val="0"/>
                <w:sz w:val="24"/>
                <w:highlight w:val="none"/>
                <w:lang w:val="en-US" w:eastAsia="zh-CN"/>
              </w:rPr>
              <w:t>速率为</w:t>
            </w:r>
            <w:r>
              <w:rPr>
                <w:rFonts w:hint="eastAsia" w:cs="Times New Roman"/>
                <w:b w:val="0"/>
                <w:bCs/>
                <w:snapToGrid w:val="0"/>
                <w:color w:val="auto"/>
                <w:kern w:val="0"/>
                <w:sz w:val="24"/>
                <w:highlight w:val="none"/>
                <w:lang w:val="en-US" w:eastAsia="zh-CN"/>
              </w:rPr>
              <w:t>0.013</w:t>
            </w:r>
            <w:r>
              <w:rPr>
                <w:rFonts w:hint="default" w:ascii="Times New Roman" w:hAnsi="Times New Roman" w:cs="Times New Roman"/>
                <w:b w:val="0"/>
                <w:bCs/>
                <w:snapToGrid w:val="0"/>
                <w:color w:val="auto"/>
                <w:kern w:val="0"/>
                <w:sz w:val="24"/>
                <w:highlight w:val="none"/>
                <w:lang w:val="en-US" w:eastAsia="zh-CN"/>
              </w:rPr>
              <w:t>kg/h（＜2kgh）</w:t>
            </w:r>
            <w:r>
              <w:rPr>
                <w:rFonts w:hint="eastAsia" w:ascii="Times New Roman" w:hAnsi="Times New Roman" w:cs="Times New Roman"/>
                <w:b w:val="0"/>
                <w:bCs/>
                <w:snapToGrid w:val="0"/>
                <w:color w:val="auto"/>
                <w:kern w:val="0"/>
                <w:sz w:val="24"/>
                <w:highlight w:val="none"/>
                <w:lang w:val="en-US" w:eastAsia="zh-CN"/>
              </w:rPr>
              <w:t>，</w:t>
            </w:r>
            <w:r>
              <w:rPr>
                <w:rFonts w:hint="eastAsia"/>
                <w:color w:val="auto"/>
                <w:kern w:val="0"/>
                <w:sz w:val="24"/>
                <w:szCs w:val="32"/>
                <w:highlight w:val="none"/>
                <w:lang w:val="en-US" w:eastAsia="zh-CN"/>
              </w:rPr>
              <w:t>故本项目有机废气采用活性炭装置技术可行。</w:t>
            </w:r>
          </w:p>
          <w:p w14:paraId="50EDBCA2">
            <w:pPr>
              <w:spacing w:line="360" w:lineRule="auto"/>
              <w:ind w:firstLine="480" w:firstLineChars="200"/>
              <w:rPr>
                <w:color w:val="auto"/>
                <w:kern w:val="0"/>
                <w:sz w:val="24"/>
                <w:szCs w:val="32"/>
                <w:highlight w:val="none"/>
              </w:rPr>
            </w:pPr>
            <w:r>
              <w:rPr>
                <w:rFonts w:hint="eastAsia"/>
                <w:color w:val="auto"/>
                <w:kern w:val="0"/>
                <w:sz w:val="24"/>
                <w:szCs w:val="32"/>
                <w:highlight w:val="none"/>
                <w:lang w:val="en-US" w:eastAsia="zh-CN"/>
              </w:rPr>
              <w:t>综上，</w:t>
            </w:r>
            <w:r>
              <w:rPr>
                <w:rFonts w:hint="eastAsia"/>
                <w:color w:val="auto"/>
                <w:kern w:val="0"/>
                <w:sz w:val="24"/>
                <w:szCs w:val="32"/>
                <w:highlight w:val="none"/>
              </w:rPr>
              <w:t>本项目所采用的废气处理技术</w:t>
            </w:r>
            <w:r>
              <w:rPr>
                <w:rFonts w:hint="eastAsia"/>
                <w:color w:val="auto"/>
                <w:kern w:val="0"/>
                <w:sz w:val="24"/>
                <w:szCs w:val="32"/>
                <w:highlight w:val="none"/>
                <w:lang w:val="en-US" w:eastAsia="zh-CN"/>
              </w:rPr>
              <w:t>均</w:t>
            </w:r>
            <w:r>
              <w:rPr>
                <w:rFonts w:hint="eastAsia"/>
                <w:color w:val="auto"/>
                <w:kern w:val="0"/>
                <w:sz w:val="24"/>
                <w:szCs w:val="32"/>
                <w:highlight w:val="none"/>
              </w:rPr>
              <w:t>为可行技术。</w:t>
            </w:r>
          </w:p>
          <w:p w14:paraId="30F74A96">
            <w:pPr>
              <w:pStyle w:val="7"/>
              <w:ind w:firstLine="482"/>
              <w:rPr>
                <w:b/>
                <w:bCs/>
                <w:color w:val="auto"/>
                <w:highlight w:val="none"/>
              </w:rPr>
            </w:pPr>
            <w:r>
              <w:rPr>
                <w:rFonts w:hint="eastAsia"/>
                <w:b/>
                <w:bCs/>
                <w:color w:val="auto"/>
                <w:highlight w:val="none"/>
              </w:rPr>
              <w:t>6</w:t>
            </w:r>
            <w:r>
              <w:rPr>
                <w:b/>
                <w:bCs/>
                <w:color w:val="auto"/>
                <w:highlight w:val="none"/>
              </w:rPr>
              <w:t>、废气监测计划</w:t>
            </w:r>
          </w:p>
          <w:p w14:paraId="28195B3C">
            <w:pPr>
              <w:pStyle w:val="7"/>
              <w:ind w:firstLine="480"/>
              <w:rPr>
                <w:color w:val="auto"/>
                <w:highlight w:val="none"/>
              </w:rPr>
            </w:pPr>
            <w:r>
              <w:rPr>
                <w:rFonts w:hint="eastAsia"/>
                <w:color w:val="auto"/>
                <w:highlight w:val="none"/>
                <w:lang w:val="en-US" w:eastAsia="zh-CN"/>
              </w:rPr>
              <w:t>根据《排污单位自行监测技术指南 总则》（HJ 819-2017）及</w:t>
            </w:r>
            <w:r>
              <w:rPr>
                <w:rFonts w:hint="eastAsia"/>
                <w:color w:val="auto"/>
                <w:kern w:val="0"/>
                <w:sz w:val="24"/>
                <w:szCs w:val="32"/>
                <w:highlight w:val="none"/>
                <w:lang w:val="en-US" w:eastAsia="zh-CN"/>
              </w:rPr>
              <w:t>《</w:t>
            </w:r>
            <w:r>
              <w:rPr>
                <w:rFonts w:hint="eastAsia"/>
                <w:color w:val="auto"/>
                <w:kern w:val="0"/>
                <w:sz w:val="24"/>
                <w:szCs w:val="32"/>
                <w:highlight w:val="none"/>
                <w:lang w:eastAsia="zh-CN"/>
              </w:rPr>
              <w:t xml:space="preserve">排污许可证申请与核发技术规范 </w:t>
            </w:r>
            <w:r>
              <w:rPr>
                <w:rFonts w:hint="eastAsia"/>
                <w:color w:val="auto"/>
                <w:kern w:val="0"/>
                <w:sz w:val="24"/>
                <w:szCs w:val="32"/>
                <w:highlight w:val="none"/>
                <w:lang w:val="en-US" w:eastAsia="zh-CN"/>
              </w:rPr>
              <w:t>电子工业》（HJ1031-2019）、《排污单位自行监测技术指南 电子工业》（HJ 1253-2022）</w:t>
            </w:r>
            <w:r>
              <w:rPr>
                <w:rFonts w:hint="eastAsia"/>
                <w:color w:val="auto"/>
                <w:highlight w:val="none"/>
                <w:lang w:val="en-US" w:eastAsia="zh-CN"/>
              </w:rPr>
              <w:t>，</w:t>
            </w:r>
            <w:r>
              <w:rPr>
                <w:rFonts w:hint="eastAsia"/>
                <w:color w:val="auto"/>
                <w:highlight w:val="none"/>
              </w:rPr>
              <w:t>本项目废气监测计划</w:t>
            </w:r>
            <w:r>
              <w:rPr>
                <w:rFonts w:hint="eastAsia"/>
                <w:color w:val="auto"/>
                <w:highlight w:val="none"/>
                <w:lang w:val="en-US" w:eastAsia="zh-CN"/>
              </w:rPr>
              <w:t>见表4-6。</w:t>
            </w:r>
          </w:p>
          <w:p w14:paraId="1B780103">
            <w:pPr>
              <w:pStyle w:val="7"/>
              <w:spacing w:line="240" w:lineRule="auto"/>
              <w:ind w:firstLine="482"/>
              <w:jc w:val="center"/>
              <w:rPr>
                <w:b/>
                <w:bCs/>
                <w:color w:val="auto"/>
                <w:highlight w:val="none"/>
              </w:rPr>
            </w:pPr>
            <w:r>
              <w:rPr>
                <w:b/>
                <w:bCs/>
                <w:color w:val="auto"/>
                <w:highlight w:val="none"/>
              </w:rPr>
              <w:t>表4-</w:t>
            </w:r>
            <w:r>
              <w:rPr>
                <w:rFonts w:hint="eastAsia"/>
                <w:b/>
                <w:bCs/>
                <w:color w:val="auto"/>
                <w:highlight w:val="none"/>
              </w:rPr>
              <w:t xml:space="preserve">6 </w:t>
            </w:r>
            <w:r>
              <w:rPr>
                <w:b/>
                <w:bCs/>
                <w:color w:val="auto"/>
                <w:highlight w:val="none"/>
              </w:rPr>
              <w:t>本项目废气监测计划一览表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3"/>
              <w:gridCol w:w="2307"/>
              <w:gridCol w:w="2951"/>
              <w:gridCol w:w="1469"/>
            </w:tblGrid>
            <w:tr w14:paraId="2D3658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626CF5F7">
                  <w:pPr>
                    <w:jc w:val="center"/>
                    <w:rPr>
                      <w:b/>
                      <w:bCs/>
                      <w:color w:val="auto"/>
                      <w:kern w:val="0"/>
                      <w:szCs w:val="21"/>
                      <w:highlight w:val="none"/>
                    </w:rPr>
                  </w:pPr>
                  <w:r>
                    <w:rPr>
                      <w:b/>
                      <w:bCs/>
                      <w:color w:val="auto"/>
                      <w:kern w:val="0"/>
                      <w:szCs w:val="21"/>
                      <w:highlight w:val="none"/>
                    </w:rPr>
                    <w:t>污染源名称</w:t>
                  </w:r>
                </w:p>
              </w:tc>
              <w:tc>
                <w:tcPr>
                  <w:tcW w:w="1371" w:type="pct"/>
                  <w:noWrap w:val="0"/>
                  <w:vAlign w:val="center"/>
                </w:tcPr>
                <w:p w14:paraId="2815D122">
                  <w:pPr>
                    <w:jc w:val="center"/>
                    <w:rPr>
                      <w:b/>
                      <w:bCs/>
                      <w:color w:val="auto"/>
                      <w:kern w:val="0"/>
                      <w:szCs w:val="21"/>
                      <w:highlight w:val="none"/>
                    </w:rPr>
                  </w:pPr>
                  <w:r>
                    <w:rPr>
                      <w:b/>
                      <w:bCs/>
                      <w:color w:val="auto"/>
                      <w:kern w:val="0"/>
                      <w:szCs w:val="21"/>
                      <w:highlight w:val="none"/>
                    </w:rPr>
                    <w:t>监测因子</w:t>
                  </w:r>
                </w:p>
              </w:tc>
              <w:tc>
                <w:tcPr>
                  <w:tcW w:w="1754" w:type="pct"/>
                  <w:noWrap w:val="0"/>
                  <w:vAlign w:val="center"/>
                </w:tcPr>
                <w:p w14:paraId="12466DC1">
                  <w:pPr>
                    <w:jc w:val="center"/>
                    <w:rPr>
                      <w:b/>
                      <w:bCs/>
                      <w:color w:val="auto"/>
                      <w:kern w:val="0"/>
                      <w:szCs w:val="21"/>
                      <w:highlight w:val="none"/>
                    </w:rPr>
                  </w:pPr>
                  <w:r>
                    <w:rPr>
                      <w:b/>
                      <w:bCs/>
                      <w:color w:val="auto"/>
                      <w:kern w:val="0"/>
                      <w:szCs w:val="21"/>
                      <w:highlight w:val="none"/>
                    </w:rPr>
                    <w:t>监测点位</w:t>
                  </w:r>
                </w:p>
              </w:tc>
              <w:tc>
                <w:tcPr>
                  <w:tcW w:w="873" w:type="pct"/>
                  <w:noWrap w:val="0"/>
                  <w:vAlign w:val="center"/>
                </w:tcPr>
                <w:p w14:paraId="6E69961D">
                  <w:pPr>
                    <w:jc w:val="center"/>
                    <w:rPr>
                      <w:b/>
                      <w:bCs/>
                      <w:color w:val="auto"/>
                      <w:kern w:val="0"/>
                      <w:szCs w:val="21"/>
                      <w:highlight w:val="none"/>
                    </w:rPr>
                  </w:pPr>
                  <w:r>
                    <w:rPr>
                      <w:b/>
                      <w:bCs/>
                      <w:color w:val="auto"/>
                      <w:kern w:val="0"/>
                      <w:szCs w:val="21"/>
                      <w:highlight w:val="none"/>
                    </w:rPr>
                    <w:t>监测频次</w:t>
                  </w:r>
                </w:p>
              </w:tc>
            </w:tr>
            <w:tr w14:paraId="26547F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000" w:type="pct"/>
                  <w:noWrap w:val="0"/>
                  <w:vAlign w:val="center"/>
                </w:tcPr>
                <w:p w14:paraId="5BFED34E">
                  <w:pPr>
                    <w:jc w:val="center"/>
                    <w:rPr>
                      <w:color w:val="auto"/>
                      <w:kern w:val="0"/>
                      <w:szCs w:val="21"/>
                      <w:highlight w:val="none"/>
                    </w:rPr>
                  </w:pPr>
                  <w:r>
                    <w:rPr>
                      <w:rFonts w:hint="eastAsia"/>
                      <w:color w:val="auto"/>
                      <w:kern w:val="0"/>
                      <w:szCs w:val="21"/>
                      <w:highlight w:val="none"/>
                    </w:rPr>
                    <w:t>有机废气排放口（DA001）</w:t>
                  </w:r>
                </w:p>
              </w:tc>
              <w:tc>
                <w:tcPr>
                  <w:tcW w:w="1371" w:type="pct"/>
                  <w:noWrap w:val="0"/>
                  <w:vAlign w:val="center"/>
                </w:tcPr>
                <w:p w14:paraId="59792251">
                  <w:pPr>
                    <w:jc w:val="center"/>
                    <w:rPr>
                      <w:color w:val="auto"/>
                      <w:kern w:val="0"/>
                      <w:szCs w:val="21"/>
                      <w:highlight w:val="none"/>
                    </w:rPr>
                  </w:pPr>
                  <w:r>
                    <w:rPr>
                      <w:rFonts w:hint="eastAsia"/>
                      <w:color w:val="auto"/>
                      <w:kern w:val="0"/>
                      <w:szCs w:val="21"/>
                      <w:highlight w:val="none"/>
                    </w:rPr>
                    <w:t>非甲烷总烃</w:t>
                  </w:r>
                </w:p>
              </w:tc>
              <w:tc>
                <w:tcPr>
                  <w:tcW w:w="1754" w:type="pct"/>
                  <w:noWrap w:val="0"/>
                  <w:vAlign w:val="center"/>
                </w:tcPr>
                <w:p w14:paraId="2E09B4E9">
                  <w:pPr>
                    <w:jc w:val="center"/>
                    <w:rPr>
                      <w:color w:val="auto"/>
                      <w:kern w:val="0"/>
                      <w:szCs w:val="21"/>
                      <w:highlight w:val="none"/>
                    </w:rPr>
                  </w:pPr>
                  <w:r>
                    <w:rPr>
                      <w:rFonts w:hint="eastAsia"/>
                      <w:color w:val="auto"/>
                      <w:kern w:val="0"/>
                      <w:szCs w:val="21"/>
                      <w:highlight w:val="none"/>
                    </w:rPr>
                    <w:t>排气筒出口</w:t>
                  </w:r>
                </w:p>
              </w:tc>
              <w:tc>
                <w:tcPr>
                  <w:tcW w:w="873" w:type="pct"/>
                  <w:noWrap w:val="0"/>
                  <w:vAlign w:val="center"/>
                </w:tcPr>
                <w:p w14:paraId="367C1927">
                  <w:pPr>
                    <w:jc w:val="center"/>
                    <w:rPr>
                      <w:color w:val="auto"/>
                      <w:szCs w:val="21"/>
                      <w:highlight w:val="none"/>
                    </w:rPr>
                  </w:pPr>
                  <w:r>
                    <w:rPr>
                      <w:rFonts w:hint="eastAsia"/>
                      <w:color w:val="auto"/>
                      <w:szCs w:val="21"/>
                      <w:highlight w:val="none"/>
                    </w:rPr>
                    <w:t>1次/年</w:t>
                  </w:r>
                </w:p>
              </w:tc>
            </w:tr>
            <w:tr w14:paraId="7BF50E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1000" w:type="pct"/>
                  <w:noWrap w:val="0"/>
                  <w:vAlign w:val="center"/>
                </w:tcPr>
                <w:p w14:paraId="0037C0C8">
                  <w:pPr>
                    <w:jc w:val="center"/>
                    <w:rPr>
                      <w:color w:val="auto"/>
                      <w:kern w:val="0"/>
                      <w:szCs w:val="21"/>
                      <w:highlight w:val="none"/>
                    </w:rPr>
                  </w:pPr>
                  <w:r>
                    <w:rPr>
                      <w:rFonts w:hint="eastAsia"/>
                      <w:color w:val="auto"/>
                      <w:kern w:val="0"/>
                      <w:szCs w:val="21"/>
                      <w:highlight w:val="none"/>
                    </w:rPr>
                    <w:t>厂界</w:t>
                  </w:r>
                </w:p>
              </w:tc>
              <w:tc>
                <w:tcPr>
                  <w:tcW w:w="1371" w:type="pct"/>
                  <w:noWrap w:val="0"/>
                  <w:vAlign w:val="center"/>
                </w:tcPr>
                <w:p w14:paraId="12A2056B">
                  <w:pPr>
                    <w:jc w:val="center"/>
                    <w:rPr>
                      <w:rFonts w:hint="eastAsia" w:eastAsia="宋体"/>
                      <w:color w:val="auto"/>
                      <w:kern w:val="0"/>
                      <w:szCs w:val="21"/>
                      <w:highlight w:val="none"/>
                      <w:lang w:val="en-US" w:eastAsia="zh-CN"/>
                    </w:rPr>
                  </w:pPr>
                  <w:r>
                    <w:rPr>
                      <w:rFonts w:hint="eastAsia"/>
                      <w:color w:val="auto"/>
                      <w:kern w:val="0"/>
                      <w:szCs w:val="21"/>
                      <w:highlight w:val="none"/>
                    </w:rPr>
                    <w:t>非甲烷总烃、</w:t>
                  </w:r>
                  <w:r>
                    <w:rPr>
                      <w:rFonts w:hint="eastAsia"/>
                      <w:color w:val="auto"/>
                      <w:kern w:val="0"/>
                      <w:szCs w:val="21"/>
                      <w:highlight w:val="none"/>
                      <w:lang w:val="en-US" w:eastAsia="zh-CN"/>
                    </w:rPr>
                    <w:t>颗粒物</w:t>
                  </w:r>
                </w:p>
              </w:tc>
              <w:tc>
                <w:tcPr>
                  <w:tcW w:w="1754" w:type="pct"/>
                  <w:noWrap w:val="0"/>
                  <w:vAlign w:val="center"/>
                </w:tcPr>
                <w:p w14:paraId="78D53575">
                  <w:pPr>
                    <w:jc w:val="center"/>
                    <w:rPr>
                      <w:color w:val="auto"/>
                      <w:kern w:val="0"/>
                      <w:szCs w:val="21"/>
                      <w:highlight w:val="none"/>
                    </w:rPr>
                  </w:pPr>
                  <w:r>
                    <w:rPr>
                      <w:color w:val="auto"/>
                      <w:kern w:val="0"/>
                      <w:szCs w:val="21"/>
                      <w:highlight w:val="none"/>
                    </w:rPr>
                    <w:t>厂界（上风向1个点，下风向3个点）</w:t>
                  </w:r>
                </w:p>
              </w:tc>
              <w:tc>
                <w:tcPr>
                  <w:tcW w:w="873" w:type="pct"/>
                  <w:noWrap w:val="0"/>
                  <w:vAlign w:val="center"/>
                </w:tcPr>
                <w:p w14:paraId="49D07BA1">
                  <w:pPr>
                    <w:jc w:val="center"/>
                    <w:rPr>
                      <w:color w:val="auto"/>
                      <w:szCs w:val="21"/>
                      <w:highlight w:val="none"/>
                    </w:rPr>
                  </w:pPr>
                  <w:r>
                    <w:rPr>
                      <w:color w:val="auto"/>
                      <w:szCs w:val="21"/>
                      <w:highlight w:val="none"/>
                    </w:rPr>
                    <w:t>1次/年</w:t>
                  </w:r>
                </w:p>
              </w:tc>
            </w:tr>
            <w:tr w14:paraId="36172F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000" w:type="pct"/>
                  <w:noWrap w:val="0"/>
                  <w:vAlign w:val="center"/>
                </w:tcPr>
                <w:p w14:paraId="45F81DE2">
                  <w:pPr>
                    <w:widowControl/>
                    <w:jc w:val="center"/>
                    <w:rPr>
                      <w:rFonts w:hint="default" w:eastAsia="宋体"/>
                      <w:color w:val="auto"/>
                      <w:kern w:val="0"/>
                      <w:szCs w:val="21"/>
                      <w:highlight w:val="none"/>
                      <w:lang w:val="en-US" w:eastAsia="zh-CN"/>
                    </w:rPr>
                  </w:pPr>
                  <w:r>
                    <w:rPr>
                      <w:rFonts w:hint="default" w:eastAsia="宋体"/>
                      <w:color w:val="auto"/>
                      <w:kern w:val="0"/>
                      <w:szCs w:val="21"/>
                      <w:highlight w:val="none"/>
                      <w:lang w:val="en-US" w:eastAsia="zh-CN"/>
                    </w:rPr>
                    <w:t>厂区内</w:t>
                  </w:r>
                </w:p>
              </w:tc>
              <w:tc>
                <w:tcPr>
                  <w:tcW w:w="1371" w:type="pct"/>
                  <w:noWrap w:val="0"/>
                  <w:vAlign w:val="center"/>
                </w:tcPr>
                <w:p w14:paraId="7AB1291E">
                  <w:pPr>
                    <w:jc w:val="center"/>
                    <w:rPr>
                      <w:color w:val="auto"/>
                      <w:kern w:val="0"/>
                      <w:szCs w:val="21"/>
                      <w:highlight w:val="none"/>
                    </w:rPr>
                  </w:pPr>
                  <w:r>
                    <w:rPr>
                      <w:rFonts w:hint="eastAsia"/>
                      <w:color w:val="auto"/>
                      <w:kern w:val="0"/>
                      <w:szCs w:val="21"/>
                      <w:highlight w:val="none"/>
                    </w:rPr>
                    <w:t>非甲烷总烃</w:t>
                  </w:r>
                </w:p>
              </w:tc>
              <w:tc>
                <w:tcPr>
                  <w:tcW w:w="1754" w:type="pct"/>
                  <w:noWrap w:val="0"/>
                  <w:vAlign w:val="center"/>
                </w:tcPr>
                <w:p w14:paraId="4BF29570">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厂房外</w:t>
                  </w:r>
                </w:p>
              </w:tc>
              <w:tc>
                <w:tcPr>
                  <w:tcW w:w="873" w:type="pct"/>
                  <w:noWrap w:val="0"/>
                  <w:vAlign w:val="center"/>
                </w:tcPr>
                <w:p w14:paraId="32BF3069">
                  <w:pPr>
                    <w:jc w:val="center"/>
                    <w:rPr>
                      <w:rFonts w:hint="eastAsia"/>
                      <w:color w:val="auto"/>
                      <w:szCs w:val="21"/>
                      <w:highlight w:val="none"/>
                    </w:rPr>
                  </w:pPr>
                  <w:r>
                    <w:rPr>
                      <w:color w:val="auto"/>
                      <w:szCs w:val="21"/>
                      <w:highlight w:val="none"/>
                    </w:rPr>
                    <w:t>1次/</w:t>
                  </w:r>
                  <w:r>
                    <w:rPr>
                      <w:rFonts w:hint="eastAsia"/>
                      <w:color w:val="auto"/>
                      <w:szCs w:val="21"/>
                      <w:highlight w:val="none"/>
                    </w:rPr>
                    <w:t>年</w:t>
                  </w:r>
                </w:p>
              </w:tc>
            </w:tr>
          </w:tbl>
          <w:p w14:paraId="677FDF3F">
            <w:pPr>
              <w:pStyle w:val="7"/>
              <w:spacing w:before="120" w:beforeLines="50"/>
              <w:ind w:firstLine="482"/>
              <w:rPr>
                <w:b/>
                <w:bCs/>
                <w:color w:val="auto"/>
                <w:highlight w:val="none"/>
              </w:rPr>
            </w:pPr>
            <w:r>
              <w:rPr>
                <w:b/>
                <w:bCs/>
                <w:color w:val="auto"/>
                <w:highlight w:val="none"/>
              </w:rPr>
              <w:t>二、废水</w:t>
            </w:r>
          </w:p>
          <w:p w14:paraId="4A96C791">
            <w:pPr>
              <w:pStyle w:val="7"/>
              <w:ind w:firstLine="482"/>
              <w:rPr>
                <w:b/>
                <w:bCs/>
                <w:color w:val="auto"/>
                <w:szCs w:val="24"/>
                <w:highlight w:val="none"/>
              </w:rPr>
            </w:pPr>
            <w:r>
              <w:rPr>
                <w:b/>
                <w:bCs/>
                <w:color w:val="auto"/>
                <w:szCs w:val="24"/>
                <w:highlight w:val="none"/>
              </w:rPr>
              <w:t>1、废水产生情况</w:t>
            </w:r>
          </w:p>
          <w:p w14:paraId="6FDD30EF">
            <w:pPr>
              <w:pStyle w:val="7"/>
              <w:ind w:firstLine="480"/>
              <w:rPr>
                <w:color w:val="auto"/>
                <w:szCs w:val="24"/>
                <w:highlight w:val="none"/>
              </w:rPr>
            </w:pPr>
            <w:r>
              <w:rPr>
                <w:color w:val="auto"/>
                <w:szCs w:val="24"/>
                <w:highlight w:val="none"/>
              </w:rPr>
              <w:t>本项目</w:t>
            </w:r>
            <w:r>
              <w:rPr>
                <w:rFonts w:hint="eastAsia"/>
                <w:color w:val="auto"/>
                <w:szCs w:val="24"/>
                <w:highlight w:val="none"/>
              </w:rPr>
              <w:t>废水主要为生活污水。</w:t>
            </w:r>
          </w:p>
          <w:p w14:paraId="1FC224D5">
            <w:pPr>
              <w:pStyle w:val="8"/>
              <w:spacing w:line="360" w:lineRule="auto"/>
              <w:ind w:firstLine="480" w:firstLineChars="200"/>
              <w:jc w:val="left"/>
              <w:rPr>
                <w:rFonts w:hint="eastAsia"/>
                <w:color w:val="auto"/>
                <w:sz w:val="24"/>
                <w:szCs w:val="24"/>
                <w:highlight w:val="none"/>
              </w:rPr>
            </w:pPr>
            <w:r>
              <w:rPr>
                <w:color w:val="auto"/>
                <w:sz w:val="24"/>
                <w:szCs w:val="24"/>
                <w:highlight w:val="none"/>
              </w:rPr>
              <w:t>本项目</w:t>
            </w:r>
            <w:r>
              <w:rPr>
                <w:rFonts w:hint="eastAsia"/>
                <w:color w:val="auto"/>
                <w:sz w:val="24"/>
                <w:szCs w:val="24"/>
                <w:highlight w:val="none"/>
              </w:rPr>
              <w:t>拟招聘员工</w:t>
            </w:r>
            <w:r>
              <w:rPr>
                <w:rFonts w:hint="eastAsia"/>
                <w:color w:val="auto"/>
                <w:sz w:val="24"/>
                <w:szCs w:val="24"/>
                <w:highlight w:val="none"/>
                <w:lang w:val="en-US" w:eastAsia="zh-CN"/>
              </w:rPr>
              <w:t>5</w:t>
            </w:r>
            <w:r>
              <w:rPr>
                <w:rFonts w:hint="eastAsia"/>
                <w:color w:val="auto"/>
                <w:sz w:val="24"/>
                <w:szCs w:val="24"/>
                <w:highlight w:val="none"/>
              </w:rPr>
              <w:t>人，年工作300d，根据前文核算，项目生活污水产生量为</w:t>
            </w:r>
            <w:r>
              <w:rPr>
                <w:rFonts w:hint="eastAsia"/>
                <w:color w:val="auto"/>
                <w:sz w:val="24"/>
                <w:szCs w:val="24"/>
                <w:highlight w:val="none"/>
                <w:lang w:val="en-US" w:eastAsia="zh-CN"/>
              </w:rPr>
              <w:t>1</w:t>
            </w:r>
            <w:r>
              <w:rPr>
                <w:rFonts w:hint="eastAsia"/>
                <w:color w:val="auto"/>
                <w:sz w:val="24"/>
                <w:szCs w:val="24"/>
                <w:highlight w:val="none"/>
              </w:rPr>
              <w:t>00t/a，经化粪池处理后通过市政污水管网排入泾河新城第二污水处理厂集中处理。</w:t>
            </w:r>
          </w:p>
          <w:p w14:paraId="1FC10925">
            <w:pPr>
              <w:pStyle w:val="7"/>
              <w:ind w:firstLine="482"/>
              <w:rPr>
                <w:b/>
                <w:bCs/>
                <w:color w:val="auto"/>
                <w:highlight w:val="none"/>
              </w:rPr>
            </w:pPr>
            <w:r>
              <w:rPr>
                <w:b/>
                <w:bCs/>
                <w:color w:val="auto"/>
                <w:highlight w:val="none"/>
              </w:rPr>
              <w:t>2、废水</w:t>
            </w:r>
            <w:r>
              <w:rPr>
                <w:rFonts w:hint="eastAsia"/>
                <w:b/>
                <w:bCs/>
                <w:color w:val="auto"/>
                <w:highlight w:val="none"/>
              </w:rPr>
              <w:t>收集与排放情况</w:t>
            </w:r>
          </w:p>
          <w:p w14:paraId="0A5FE56A">
            <w:pPr>
              <w:pStyle w:val="7"/>
              <w:ind w:firstLine="480"/>
              <w:rPr>
                <w:color w:val="auto"/>
                <w:highlight w:val="none"/>
              </w:rPr>
            </w:pPr>
            <w:r>
              <w:rPr>
                <w:rFonts w:hint="eastAsia"/>
                <w:color w:val="auto"/>
                <w:highlight w:val="none"/>
              </w:rPr>
              <w:t>生活污水经化粪池处理后通过市政污水管网排入泾河新城第二污水处理厂集中处理，生活污水排放量为</w:t>
            </w:r>
            <w:r>
              <w:rPr>
                <w:rFonts w:hint="eastAsia"/>
                <w:color w:val="auto"/>
                <w:highlight w:val="none"/>
                <w:lang w:val="en-US" w:eastAsia="zh-CN"/>
              </w:rPr>
              <w:t>1</w:t>
            </w:r>
            <w:r>
              <w:rPr>
                <w:rFonts w:hint="eastAsia"/>
                <w:color w:val="auto"/>
                <w:highlight w:val="none"/>
              </w:rPr>
              <w:t>00t/a。类比同行业生活污水产排情况，项目生活污水产生及排放情况</w:t>
            </w:r>
            <w:r>
              <w:rPr>
                <w:rFonts w:hint="eastAsia"/>
                <w:color w:val="auto"/>
                <w:highlight w:val="none"/>
                <w:lang w:val="en-US" w:eastAsia="zh-CN"/>
              </w:rPr>
              <w:t>见表4-7。</w:t>
            </w:r>
          </w:p>
          <w:p w14:paraId="1CC3275C">
            <w:pPr>
              <w:tabs>
                <w:tab w:val="left" w:pos="3144"/>
              </w:tabs>
              <w:ind w:firstLine="482"/>
              <w:jc w:val="center"/>
              <w:rPr>
                <w:b/>
                <w:color w:val="auto"/>
                <w:sz w:val="24"/>
                <w:highlight w:val="none"/>
              </w:rPr>
            </w:pPr>
            <w:r>
              <w:rPr>
                <w:b/>
                <w:color w:val="auto"/>
                <w:sz w:val="24"/>
                <w:highlight w:val="none"/>
              </w:rPr>
              <w:t>表4-</w:t>
            </w:r>
            <w:r>
              <w:rPr>
                <w:rFonts w:hint="eastAsia"/>
                <w:b/>
                <w:color w:val="auto"/>
                <w:sz w:val="24"/>
                <w:highlight w:val="none"/>
              </w:rPr>
              <w:t>7</w:t>
            </w:r>
            <w:r>
              <w:rPr>
                <w:b/>
                <w:color w:val="auto"/>
                <w:sz w:val="24"/>
                <w:highlight w:val="none"/>
              </w:rPr>
              <w:t xml:space="preserve">  </w:t>
            </w:r>
            <w:r>
              <w:rPr>
                <w:rFonts w:hint="eastAsia"/>
                <w:b/>
                <w:color w:val="auto"/>
                <w:sz w:val="24"/>
                <w:highlight w:val="none"/>
              </w:rPr>
              <w:t>生活</w:t>
            </w:r>
            <w:r>
              <w:rPr>
                <w:b/>
                <w:color w:val="auto"/>
                <w:sz w:val="24"/>
                <w:highlight w:val="none"/>
              </w:rPr>
              <w:t>污水产生及排放情况一览表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220"/>
              <w:gridCol w:w="1085"/>
              <w:gridCol w:w="1061"/>
              <w:gridCol w:w="1016"/>
              <w:gridCol w:w="1152"/>
              <w:gridCol w:w="923"/>
            </w:tblGrid>
            <w:tr w14:paraId="5F835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47556A6A">
                  <w:pPr>
                    <w:widowControl/>
                    <w:jc w:val="center"/>
                    <w:textAlignment w:val="center"/>
                    <w:rPr>
                      <w:b/>
                      <w:bCs/>
                      <w:color w:val="auto"/>
                      <w:szCs w:val="21"/>
                      <w:highlight w:val="none"/>
                    </w:rPr>
                  </w:pPr>
                  <w:r>
                    <w:rPr>
                      <w:b/>
                      <w:bCs/>
                      <w:color w:val="auto"/>
                      <w:kern w:val="0"/>
                      <w:szCs w:val="21"/>
                      <w:highlight w:val="none"/>
                      <w:lang w:bidi="ar"/>
                    </w:rPr>
                    <w:t>项目污染物</w:t>
                  </w:r>
                </w:p>
              </w:tc>
              <w:tc>
                <w:tcPr>
                  <w:tcW w:w="726" w:type="pct"/>
                  <w:noWrap w:val="0"/>
                  <w:vAlign w:val="center"/>
                </w:tcPr>
                <w:p w14:paraId="4982CB87">
                  <w:pPr>
                    <w:widowControl/>
                    <w:jc w:val="center"/>
                    <w:textAlignment w:val="center"/>
                    <w:rPr>
                      <w:b/>
                      <w:bCs/>
                      <w:color w:val="auto"/>
                      <w:szCs w:val="21"/>
                      <w:highlight w:val="none"/>
                    </w:rPr>
                  </w:pPr>
                  <w:r>
                    <w:rPr>
                      <w:b/>
                      <w:bCs/>
                      <w:color w:val="auto"/>
                      <w:kern w:val="0"/>
                      <w:szCs w:val="21"/>
                      <w:highlight w:val="none"/>
                      <w:lang w:bidi="ar"/>
                    </w:rPr>
                    <w:t>COD</w:t>
                  </w:r>
                </w:p>
              </w:tc>
              <w:tc>
                <w:tcPr>
                  <w:tcW w:w="645" w:type="pct"/>
                  <w:noWrap w:val="0"/>
                  <w:vAlign w:val="center"/>
                </w:tcPr>
                <w:p w14:paraId="5DA39DB5">
                  <w:pPr>
                    <w:widowControl/>
                    <w:jc w:val="center"/>
                    <w:textAlignment w:val="center"/>
                    <w:rPr>
                      <w:b/>
                      <w:bCs/>
                      <w:color w:val="auto"/>
                      <w:szCs w:val="21"/>
                      <w:highlight w:val="none"/>
                    </w:rPr>
                  </w:pPr>
                  <w:r>
                    <w:rPr>
                      <w:rFonts w:hint="eastAsia"/>
                      <w:b/>
                      <w:bCs/>
                      <w:color w:val="auto"/>
                      <w:szCs w:val="21"/>
                      <w:highlight w:val="none"/>
                    </w:rPr>
                    <w:t>SS</w:t>
                  </w:r>
                </w:p>
              </w:tc>
              <w:tc>
                <w:tcPr>
                  <w:tcW w:w="631" w:type="pct"/>
                  <w:noWrap w:val="0"/>
                  <w:vAlign w:val="center"/>
                </w:tcPr>
                <w:p w14:paraId="5282505C">
                  <w:pPr>
                    <w:widowControl/>
                    <w:jc w:val="center"/>
                    <w:textAlignment w:val="center"/>
                    <w:rPr>
                      <w:rFonts w:hint="eastAsia"/>
                      <w:b/>
                      <w:bCs/>
                      <w:color w:val="auto"/>
                      <w:szCs w:val="21"/>
                      <w:highlight w:val="none"/>
                    </w:rPr>
                  </w:pPr>
                  <w:r>
                    <w:rPr>
                      <w:rFonts w:hint="eastAsia"/>
                      <w:b/>
                      <w:bCs/>
                      <w:color w:val="auto"/>
                      <w:kern w:val="0"/>
                      <w:szCs w:val="21"/>
                      <w:highlight w:val="none"/>
                      <w:lang w:bidi="ar"/>
                    </w:rPr>
                    <w:t>BOD</w:t>
                  </w:r>
                  <w:r>
                    <w:rPr>
                      <w:rFonts w:hint="eastAsia"/>
                      <w:b/>
                      <w:bCs/>
                      <w:color w:val="auto"/>
                      <w:kern w:val="0"/>
                      <w:szCs w:val="21"/>
                      <w:highlight w:val="none"/>
                      <w:vertAlign w:val="subscript"/>
                      <w:lang w:bidi="ar"/>
                    </w:rPr>
                    <w:t>5</w:t>
                  </w:r>
                </w:p>
              </w:tc>
              <w:tc>
                <w:tcPr>
                  <w:tcW w:w="604" w:type="pct"/>
                  <w:noWrap w:val="0"/>
                  <w:vAlign w:val="center"/>
                </w:tcPr>
                <w:p w14:paraId="2E9C5175">
                  <w:pPr>
                    <w:widowControl/>
                    <w:jc w:val="center"/>
                    <w:textAlignment w:val="center"/>
                    <w:rPr>
                      <w:rFonts w:hint="eastAsia"/>
                      <w:b/>
                      <w:bCs/>
                      <w:color w:val="auto"/>
                      <w:kern w:val="0"/>
                      <w:szCs w:val="21"/>
                      <w:highlight w:val="none"/>
                      <w:lang w:bidi="ar"/>
                    </w:rPr>
                  </w:pPr>
                  <w:r>
                    <w:rPr>
                      <w:rFonts w:hint="eastAsia"/>
                      <w:b/>
                      <w:bCs/>
                      <w:color w:val="auto"/>
                      <w:kern w:val="0"/>
                      <w:szCs w:val="21"/>
                      <w:highlight w:val="none"/>
                      <w:lang w:bidi="ar"/>
                    </w:rPr>
                    <w:t>氨氮</w:t>
                  </w:r>
                </w:p>
              </w:tc>
              <w:tc>
                <w:tcPr>
                  <w:tcW w:w="685" w:type="pct"/>
                  <w:noWrap w:val="0"/>
                  <w:vAlign w:val="center"/>
                </w:tcPr>
                <w:p w14:paraId="78CB072B">
                  <w:pPr>
                    <w:widowControl/>
                    <w:jc w:val="center"/>
                    <w:textAlignment w:val="center"/>
                    <w:rPr>
                      <w:rFonts w:hint="eastAsia"/>
                      <w:b/>
                      <w:bCs/>
                      <w:color w:val="auto"/>
                      <w:kern w:val="0"/>
                      <w:szCs w:val="21"/>
                      <w:highlight w:val="none"/>
                      <w:lang w:bidi="ar"/>
                    </w:rPr>
                  </w:pPr>
                  <w:r>
                    <w:rPr>
                      <w:rFonts w:hint="eastAsia"/>
                      <w:b/>
                      <w:bCs/>
                      <w:color w:val="auto"/>
                      <w:kern w:val="0"/>
                      <w:szCs w:val="21"/>
                      <w:highlight w:val="none"/>
                      <w:lang w:bidi="ar"/>
                    </w:rPr>
                    <w:t>总氮</w:t>
                  </w:r>
                </w:p>
              </w:tc>
              <w:tc>
                <w:tcPr>
                  <w:tcW w:w="547" w:type="pct"/>
                  <w:noWrap w:val="0"/>
                  <w:vAlign w:val="center"/>
                </w:tcPr>
                <w:p w14:paraId="00F5D42F">
                  <w:pPr>
                    <w:widowControl/>
                    <w:jc w:val="center"/>
                    <w:textAlignment w:val="center"/>
                    <w:rPr>
                      <w:rFonts w:hint="eastAsia"/>
                      <w:b/>
                      <w:bCs/>
                      <w:color w:val="auto"/>
                      <w:kern w:val="0"/>
                      <w:szCs w:val="21"/>
                      <w:highlight w:val="none"/>
                      <w:lang w:bidi="ar"/>
                    </w:rPr>
                  </w:pPr>
                  <w:r>
                    <w:rPr>
                      <w:rFonts w:hint="eastAsia"/>
                      <w:b/>
                      <w:bCs/>
                      <w:color w:val="auto"/>
                      <w:kern w:val="0"/>
                      <w:szCs w:val="21"/>
                      <w:highlight w:val="none"/>
                      <w:lang w:bidi="ar"/>
                    </w:rPr>
                    <w:t>总磷</w:t>
                  </w:r>
                </w:p>
              </w:tc>
            </w:tr>
            <w:tr w14:paraId="1A4A6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63101C82">
                  <w:pPr>
                    <w:widowControl/>
                    <w:jc w:val="center"/>
                    <w:textAlignment w:val="center"/>
                    <w:rPr>
                      <w:color w:val="auto"/>
                      <w:szCs w:val="21"/>
                      <w:highlight w:val="none"/>
                    </w:rPr>
                  </w:pPr>
                  <w:r>
                    <w:rPr>
                      <w:rFonts w:hint="eastAsia"/>
                      <w:color w:val="auto"/>
                      <w:kern w:val="0"/>
                      <w:szCs w:val="21"/>
                      <w:highlight w:val="none"/>
                      <w:lang w:bidi="ar"/>
                    </w:rPr>
                    <w:t>生活污水</w:t>
                  </w:r>
                  <w:r>
                    <w:rPr>
                      <w:color w:val="auto"/>
                      <w:kern w:val="0"/>
                      <w:szCs w:val="21"/>
                      <w:highlight w:val="none"/>
                      <w:lang w:bidi="ar"/>
                    </w:rPr>
                    <w:t>（</w:t>
                  </w:r>
                  <w:r>
                    <w:rPr>
                      <w:rFonts w:hint="eastAsia"/>
                      <w:color w:val="auto"/>
                      <w:kern w:val="0"/>
                      <w:szCs w:val="21"/>
                      <w:highlight w:val="none"/>
                      <w:lang w:bidi="ar"/>
                    </w:rPr>
                    <w:t>t/a</w:t>
                  </w:r>
                  <w:r>
                    <w:rPr>
                      <w:color w:val="auto"/>
                      <w:kern w:val="0"/>
                      <w:szCs w:val="21"/>
                      <w:highlight w:val="none"/>
                      <w:lang w:bidi="ar"/>
                    </w:rPr>
                    <w:t>）</w:t>
                  </w:r>
                </w:p>
              </w:tc>
              <w:tc>
                <w:tcPr>
                  <w:tcW w:w="3840" w:type="pct"/>
                  <w:gridSpan w:val="6"/>
                  <w:noWrap w:val="0"/>
                  <w:vAlign w:val="center"/>
                </w:tcPr>
                <w:p w14:paraId="2DC739C8">
                  <w:pPr>
                    <w:widowControl/>
                    <w:jc w:val="center"/>
                    <w:textAlignment w:val="center"/>
                    <w:rPr>
                      <w:color w:val="auto"/>
                      <w:kern w:val="0"/>
                      <w:szCs w:val="21"/>
                      <w:highlight w:val="none"/>
                      <w:lang w:bidi="ar"/>
                    </w:rPr>
                  </w:pPr>
                  <w:r>
                    <w:rPr>
                      <w:rFonts w:hint="eastAsia"/>
                      <w:color w:val="auto"/>
                      <w:kern w:val="0"/>
                      <w:szCs w:val="21"/>
                      <w:highlight w:val="none"/>
                      <w:lang w:bidi="ar"/>
                    </w:rPr>
                    <w:t>300</w:t>
                  </w:r>
                </w:p>
              </w:tc>
            </w:tr>
            <w:tr w14:paraId="42B3D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43159921">
                  <w:pPr>
                    <w:widowControl/>
                    <w:jc w:val="center"/>
                    <w:textAlignment w:val="center"/>
                    <w:rPr>
                      <w:rFonts w:hint="eastAsia"/>
                      <w:color w:val="auto"/>
                      <w:szCs w:val="21"/>
                      <w:highlight w:val="none"/>
                    </w:rPr>
                  </w:pPr>
                  <w:r>
                    <w:rPr>
                      <w:rFonts w:hint="eastAsia"/>
                      <w:color w:val="auto"/>
                      <w:kern w:val="0"/>
                      <w:szCs w:val="21"/>
                      <w:highlight w:val="none"/>
                      <w:lang w:bidi="ar"/>
                    </w:rPr>
                    <w:t>污染物产生</w:t>
                  </w:r>
                  <w:r>
                    <w:rPr>
                      <w:color w:val="auto"/>
                      <w:kern w:val="0"/>
                      <w:szCs w:val="21"/>
                      <w:highlight w:val="none"/>
                      <w:lang w:bidi="ar"/>
                    </w:rPr>
                    <w:t>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726" w:type="pct"/>
                  <w:noWrap w:val="0"/>
                  <w:vAlign w:val="center"/>
                </w:tcPr>
                <w:p w14:paraId="6FDF39DB">
                  <w:pPr>
                    <w:widowControl/>
                    <w:jc w:val="center"/>
                    <w:textAlignment w:val="center"/>
                    <w:rPr>
                      <w:color w:val="auto"/>
                      <w:szCs w:val="21"/>
                      <w:highlight w:val="none"/>
                    </w:rPr>
                  </w:pPr>
                  <w:r>
                    <w:rPr>
                      <w:rFonts w:hint="eastAsia"/>
                      <w:color w:val="auto"/>
                      <w:szCs w:val="21"/>
                      <w:highlight w:val="none"/>
                    </w:rPr>
                    <w:t>400</w:t>
                  </w:r>
                </w:p>
              </w:tc>
              <w:tc>
                <w:tcPr>
                  <w:tcW w:w="645" w:type="pct"/>
                  <w:noWrap w:val="0"/>
                  <w:vAlign w:val="center"/>
                </w:tcPr>
                <w:p w14:paraId="0F0F8349">
                  <w:pPr>
                    <w:widowControl/>
                    <w:jc w:val="center"/>
                    <w:textAlignment w:val="center"/>
                    <w:rPr>
                      <w:color w:val="auto"/>
                      <w:szCs w:val="21"/>
                      <w:highlight w:val="none"/>
                    </w:rPr>
                  </w:pPr>
                  <w:r>
                    <w:rPr>
                      <w:rFonts w:hint="eastAsia"/>
                      <w:color w:val="auto"/>
                      <w:szCs w:val="21"/>
                      <w:highlight w:val="none"/>
                    </w:rPr>
                    <w:t>300</w:t>
                  </w:r>
                </w:p>
              </w:tc>
              <w:tc>
                <w:tcPr>
                  <w:tcW w:w="631" w:type="pct"/>
                  <w:noWrap w:val="0"/>
                  <w:vAlign w:val="center"/>
                </w:tcPr>
                <w:p w14:paraId="77F61013">
                  <w:pPr>
                    <w:widowControl/>
                    <w:jc w:val="center"/>
                    <w:textAlignment w:val="center"/>
                    <w:rPr>
                      <w:color w:val="auto"/>
                      <w:szCs w:val="21"/>
                      <w:highlight w:val="none"/>
                    </w:rPr>
                  </w:pPr>
                  <w:r>
                    <w:rPr>
                      <w:rFonts w:hint="eastAsia"/>
                      <w:color w:val="auto"/>
                      <w:szCs w:val="21"/>
                      <w:highlight w:val="none"/>
                    </w:rPr>
                    <w:t>200</w:t>
                  </w:r>
                </w:p>
              </w:tc>
              <w:tc>
                <w:tcPr>
                  <w:tcW w:w="604" w:type="pct"/>
                  <w:noWrap w:val="0"/>
                  <w:vAlign w:val="center"/>
                </w:tcPr>
                <w:p w14:paraId="0D07DF7E">
                  <w:pPr>
                    <w:widowControl/>
                    <w:jc w:val="center"/>
                    <w:textAlignment w:val="center"/>
                    <w:rPr>
                      <w:color w:val="auto"/>
                      <w:kern w:val="0"/>
                      <w:szCs w:val="21"/>
                      <w:highlight w:val="none"/>
                      <w:lang w:bidi="ar"/>
                    </w:rPr>
                  </w:pPr>
                  <w:r>
                    <w:rPr>
                      <w:rFonts w:hint="eastAsia"/>
                      <w:color w:val="auto"/>
                      <w:kern w:val="0"/>
                      <w:szCs w:val="21"/>
                      <w:highlight w:val="none"/>
                      <w:lang w:bidi="ar"/>
                    </w:rPr>
                    <w:t>30</w:t>
                  </w:r>
                </w:p>
              </w:tc>
              <w:tc>
                <w:tcPr>
                  <w:tcW w:w="685" w:type="pct"/>
                  <w:noWrap w:val="0"/>
                  <w:vAlign w:val="center"/>
                </w:tcPr>
                <w:p w14:paraId="7CAA7281">
                  <w:pPr>
                    <w:widowControl/>
                    <w:jc w:val="center"/>
                    <w:textAlignment w:val="center"/>
                    <w:rPr>
                      <w:color w:val="auto"/>
                      <w:kern w:val="0"/>
                      <w:szCs w:val="21"/>
                      <w:highlight w:val="none"/>
                      <w:lang w:bidi="ar"/>
                    </w:rPr>
                  </w:pPr>
                  <w:r>
                    <w:rPr>
                      <w:rFonts w:hint="eastAsia"/>
                      <w:color w:val="auto"/>
                      <w:kern w:val="0"/>
                      <w:szCs w:val="21"/>
                      <w:highlight w:val="none"/>
                      <w:lang w:bidi="ar"/>
                    </w:rPr>
                    <w:t>50</w:t>
                  </w:r>
                </w:p>
              </w:tc>
              <w:tc>
                <w:tcPr>
                  <w:tcW w:w="547" w:type="pct"/>
                  <w:noWrap w:val="0"/>
                  <w:vAlign w:val="center"/>
                </w:tcPr>
                <w:p w14:paraId="138B87B6">
                  <w:pPr>
                    <w:widowControl/>
                    <w:jc w:val="center"/>
                    <w:textAlignment w:val="center"/>
                    <w:rPr>
                      <w:color w:val="auto"/>
                      <w:kern w:val="0"/>
                      <w:szCs w:val="21"/>
                      <w:highlight w:val="none"/>
                      <w:lang w:bidi="ar"/>
                    </w:rPr>
                  </w:pPr>
                  <w:r>
                    <w:rPr>
                      <w:rFonts w:hint="eastAsia"/>
                      <w:color w:val="auto"/>
                      <w:kern w:val="0"/>
                      <w:szCs w:val="21"/>
                      <w:highlight w:val="none"/>
                      <w:lang w:bidi="ar"/>
                    </w:rPr>
                    <w:t>6</w:t>
                  </w:r>
                </w:p>
              </w:tc>
            </w:tr>
            <w:tr w14:paraId="14D1E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7BB2A50A">
                  <w:pPr>
                    <w:widowControl/>
                    <w:jc w:val="center"/>
                    <w:textAlignment w:val="center"/>
                    <w:rPr>
                      <w:rFonts w:hint="eastAsia"/>
                      <w:color w:val="auto"/>
                      <w:szCs w:val="21"/>
                      <w:highlight w:val="none"/>
                    </w:rPr>
                  </w:pPr>
                  <w:r>
                    <w:rPr>
                      <w:color w:val="auto"/>
                      <w:kern w:val="0"/>
                      <w:szCs w:val="21"/>
                      <w:highlight w:val="none"/>
                      <w:lang w:bidi="ar"/>
                    </w:rPr>
                    <w:t>污染物产生量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1220" w:type="dxa"/>
                  <w:noWrap w:val="0"/>
                  <w:vAlign w:val="center"/>
                </w:tcPr>
                <w:p w14:paraId="5B2BC4A5">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0.040</w:t>
                  </w:r>
                </w:p>
              </w:tc>
              <w:tc>
                <w:tcPr>
                  <w:tcW w:w="1085" w:type="dxa"/>
                  <w:noWrap w:val="0"/>
                  <w:vAlign w:val="center"/>
                </w:tcPr>
                <w:p w14:paraId="0A081FC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0.030</w:t>
                  </w:r>
                </w:p>
              </w:tc>
              <w:tc>
                <w:tcPr>
                  <w:tcW w:w="1061" w:type="dxa"/>
                  <w:noWrap w:val="0"/>
                  <w:vAlign w:val="center"/>
                </w:tcPr>
                <w:p w14:paraId="2A9E73D7">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c>
                <w:tcPr>
                  <w:tcW w:w="1016" w:type="dxa"/>
                  <w:noWrap w:val="0"/>
                  <w:vAlign w:val="center"/>
                </w:tcPr>
                <w:p w14:paraId="59B58750">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152" w:type="dxa"/>
                  <w:noWrap w:val="0"/>
                  <w:vAlign w:val="center"/>
                </w:tcPr>
                <w:p w14:paraId="131D444F">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923" w:type="dxa"/>
                  <w:noWrap w:val="0"/>
                  <w:vAlign w:val="center"/>
                </w:tcPr>
                <w:p w14:paraId="263F6ECB">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0.0006</w:t>
                  </w:r>
                </w:p>
              </w:tc>
            </w:tr>
            <w:tr w14:paraId="4219F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464B5E82">
                  <w:pPr>
                    <w:widowControl/>
                    <w:jc w:val="center"/>
                    <w:textAlignment w:val="center"/>
                    <w:rPr>
                      <w:color w:val="auto"/>
                      <w:szCs w:val="21"/>
                      <w:highlight w:val="none"/>
                    </w:rPr>
                  </w:pPr>
                  <w:r>
                    <w:rPr>
                      <w:color w:val="auto"/>
                      <w:kern w:val="0"/>
                      <w:szCs w:val="21"/>
                      <w:highlight w:val="none"/>
                      <w:lang w:bidi="ar"/>
                    </w:rPr>
                    <w:t>去除</w:t>
                  </w:r>
                  <w:r>
                    <w:rPr>
                      <w:rFonts w:hint="eastAsia"/>
                      <w:color w:val="auto"/>
                      <w:kern w:val="0"/>
                      <w:szCs w:val="21"/>
                      <w:highlight w:val="none"/>
                      <w:lang w:bidi="ar"/>
                    </w:rPr>
                    <w:t>效</w:t>
                  </w:r>
                  <w:r>
                    <w:rPr>
                      <w:color w:val="auto"/>
                      <w:kern w:val="0"/>
                      <w:szCs w:val="21"/>
                      <w:highlight w:val="none"/>
                      <w:lang w:bidi="ar"/>
                    </w:rPr>
                    <w:t>率%</w:t>
                  </w:r>
                </w:p>
              </w:tc>
              <w:tc>
                <w:tcPr>
                  <w:tcW w:w="726" w:type="pct"/>
                  <w:noWrap w:val="0"/>
                  <w:vAlign w:val="center"/>
                </w:tcPr>
                <w:p w14:paraId="04BF217D">
                  <w:pPr>
                    <w:widowControl/>
                    <w:jc w:val="center"/>
                    <w:textAlignment w:val="center"/>
                    <w:rPr>
                      <w:color w:val="auto"/>
                      <w:szCs w:val="21"/>
                      <w:highlight w:val="none"/>
                    </w:rPr>
                  </w:pPr>
                  <w:r>
                    <w:rPr>
                      <w:rFonts w:hint="eastAsia"/>
                      <w:color w:val="auto"/>
                      <w:szCs w:val="21"/>
                      <w:highlight w:val="none"/>
                    </w:rPr>
                    <w:t>10</w:t>
                  </w:r>
                </w:p>
              </w:tc>
              <w:tc>
                <w:tcPr>
                  <w:tcW w:w="645" w:type="pct"/>
                  <w:noWrap w:val="0"/>
                  <w:vAlign w:val="center"/>
                </w:tcPr>
                <w:p w14:paraId="68C753AB">
                  <w:pPr>
                    <w:widowControl/>
                    <w:jc w:val="center"/>
                    <w:textAlignment w:val="center"/>
                    <w:rPr>
                      <w:color w:val="auto"/>
                      <w:szCs w:val="21"/>
                      <w:highlight w:val="none"/>
                    </w:rPr>
                  </w:pPr>
                  <w:r>
                    <w:rPr>
                      <w:rFonts w:hint="eastAsia"/>
                      <w:color w:val="auto"/>
                      <w:szCs w:val="21"/>
                      <w:highlight w:val="none"/>
                    </w:rPr>
                    <w:t>20</w:t>
                  </w:r>
                </w:p>
              </w:tc>
              <w:tc>
                <w:tcPr>
                  <w:tcW w:w="631" w:type="pct"/>
                  <w:noWrap w:val="0"/>
                  <w:vAlign w:val="center"/>
                </w:tcPr>
                <w:p w14:paraId="4535D606">
                  <w:pPr>
                    <w:widowControl/>
                    <w:jc w:val="center"/>
                    <w:textAlignment w:val="center"/>
                    <w:rPr>
                      <w:color w:val="auto"/>
                      <w:szCs w:val="21"/>
                      <w:highlight w:val="none"/>
                    </w:rPr>
                  </w:pPr>
                  <w:r>
                    <w:rPr>
                      <w:rFonts w:hint="eastAsia"/>
                      <w:color w:val="auto"/>
                      <w:szCs w:val="21"/>
                      <w:highlight w:val="none"/>
                    </w:rPr>
                    <w:t>10</w:t>
                  </w:r>
                </w:p>
              </w:tc>
              <w:tc>
                <w:tcPr>
                  <w:tcW w:w="604" w:type="pct"/>
                  <w:noWrap w:val="0"/>
                  <w:vAlign w:val="center"/>
                </w:tcPr>
                <w:p w14:paraId="5135623F">
                  <w:pPr>
                    <w:widowControl/>
                    <w:jc w:val="center"/>
                    <w:textAlignment w:val="center"/>
                    <w:rPr>
                      <w:color w:val="auto"/>
                      <w:kern w:val="0"/>
                      <w:szCs w:val="21"/>
                      <w:highlight w:val="none"/>
                      <w:lang w:bidi="ar"/>
                    </w:rPr>
                  </w:pPr>
                  <w:r>
                    <w:rPr>
                      <w:rFonts w:hint="eastAsia"/>
                      <w:color w:val="auto"/>
                      <w:kern w:val="0"/>
                      <w:szCs w:val="21"/>
                      <w:highlight w:val="none"/>
                      <w:lang w:bidi="ar"/>
                    </w:rPr>
                    <w:t>0</w:t>
                  </w:r>
                </w:p>
              </w:tc>
              <w:tc>
                <w:tcPr>
                  <w:tcW w:w="685" w:type="pct"/>
                  <w:noWrap w:val="0"/>
                  <w:vAlign w:val="center"/>
                </w:tcPr>
                <w:p w14:paraId="2BD2D47A">
                  <w:pPr>
                    <w:widowControl/>
                    <w:jc w:val="center"/>
                    <w:textAlignment w:val="center"/>
                    <w:rPr>
                      <w:color w:val="auto"/>
                      <w:kern w:val="0"/>
                      <w:szCs w:val="21"/>
                      <w:highlight w:val="none"/>
                      <w:lang w:bidi="ar"/>
                    </w:rPr>
                  </w:pPr>
                  <w:r>
                    <w:rPr>
                      <w:rFonts w:hint="eastAsia"/>
                      <w:color w:val="auto"/>
                      <w:kern w:val="0"/>
                      <w:szCs w:val="21"/>
                      <w:highlight w:val="none"/>
                      <w:lang w:bidi="ar"/>
                    </w:rPr>
                    <w:t>0</w:t>
                  </w:r>
                </w:p>
              </w:tc>
              <w:tc>
                <w:tcPr>
                  <w:tcW w:w="547" w:type="pct"/>
                  <w:noWrap w:val="0"/>
                  <w:vAlign w:val="center"/>
                </w:tcPr>
                <w:p w14:paraId="7DE15E74">
                  <w:pPr>
                    <w:widowControl/>
                    <w:jc w:val="center"/>
                    <w:textAlignment w:val="center"/>
                    <w:rPr>
                      <w:color w:val="auto"/>
                      <w:kern w:val="0"/>
                      <w:szCs w:val="21"/>
                      <w:highlight w:val="none"/>
                      <w:lang w:bidi="ar"/>
                    </w:rPr>
                  </w:pPr>
                  <w:r>
                    <w:rPr>
                      <w:rFonts w:hint="eastAsia"/>
                      <w:color w:val="auto"/>
                      <w:kern w:val="0"/>
                      <w:szCs w:val="21"/>
                      <w:highlight w:val="none"/>
                      <w:lang w:bidi="ar"/>
                    </w:rPr>
                    <w:t>0</w:t>
                  </w:r>
                </w:p>
              </w:tc>
            </w:tr>
            <w:tr w14:paraId="27712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14A0DCD5">
                  <w:pPr>
                    <w:widowControl/>
                    <w:jc w:val="center"/>
                    <w:textAlignment w:val="center"/>
                    <w:rPr>
                      <w:color w:val="auto"/>
                      <w:kern w:val="0"/>
                      <w:szCs w:val="21"/>
                      <w:highlight w:val="none"/>
                      <w:lang w:bidi="ar"/>
                    </w:rPr>
                  </w:pPr>
                  <w:r>
                    <w:rPr>
                      <w:rFonts w:hint="eastAsia"/>
                      <w:color w:val="auto"/>
                      <w:kern w:val="0"/>
                      <w:szCs w:val="21"/>
                      <w:highlight w:val="none"/>
                      <w:lang w:bidi="ar"/>
                    </w:rPr>
                    <w:t>去除工艺</w:t>
                  </w:r>
                </w:p>
              </w:tc>
              <w:tc>
                <w:tcPr>
                  <w:tcW w:w="3840" w:type="pct"/>
                  <w:gridSpan w:val="6"/>
                  <w:noWrap w:val="0"/>
                  <w:vAlign w:val="center"/>
                </w:tcPr>
                <w:p w14:paraId="76DEE0A4">
                  <w:pPr>
                    <w:widowControl/>
                    <w:jc w:val="center"/>
                    <w:textAlignment w:val="center"/>
                    <w:rPr>
                      <w:color w:val="auto"/>
                      <w:kern w:val="0"/>
                      <w:szCs w:val="21"/>
                      <w:highlight w:val="none"/>
                      <w:lang w:bidi="ar"/>
                    </w:rPr>
                  </w:pPr>
                  <w:r>
                    <w:rPr>
                      <w:rFonts w:hint="eastAsia"/>
                      <w:color w:val="auto"/>
                      <w:kern w:val="0"/>
                      <w:szCs w:val="21"/>
                      <w:highlight w:val="none"/>
                      <w:lang w:bidi="ar"/>
                    </w:rPr>
                    <w:t>化粪池</w:t>
                  </w:r>
                </w:p>
              </w:tc>
            </w:tr>
            <w:tr w14:paraId="55738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2B21B63B">
                  <w:pPr>
                    <w:widowControl/>
                    <w:jc w:val="center"/>
                    <w:textAlignment w:val="center"/>
                    <w:rPr>
                      <w:color w:val="auto"/>
                      <w:kern w:val="0"/>
                      <w:szCs w:val="21"/>
                      <w:highlight w:val="none"/>
                      <w:lang w:bidi="ar"/>
                    </w:rPr>
                  </w:pPr>
                  <w:r>
                    <w:rPr>
                      <w:rFonts w:hint="eastAsia"/>
                      <w:color w:val="auto"/>
                      <w:kern w:val="0"/>
                      <w:szCs w:val="21"/>
                      <w:highlight w:val="none"/>
                      <w:lang w:bidi="ar"/>
                    </w:rPr>
                    <w:t>是否为可行技术</w:t>
                  </w:r>
                </w:p>
              </w:tc>
              <w:tc>
                <w:tcPr>
                  <w:tcW w:w="3840" w:type="pct"/>
                  <w:gridSpan w:val="6"/>
                  <w:noWrap w:val="0"/>
                  <w:vAlign w:val="center"/>
                </w:tcPr>
                <w:p w14:paraId="16C54D51">
                  <w:pPr>
                    <w:widowControl/>
                    <w:jc w:val="center"/>
                    <w:textAlignment w:val="center"/>
                    <w:rPr>
                      <w:color w:val="auto"/>
                      <w:kern w:val="0"/>
                      <w:szCs w:val="21"/>
                      <w:highlight w:val="none"/>
                      <w:lang w:bidi="ar"/>
                    </w:rPr>
                  </w:pPr>
                  <w:r>
                    <w:rPr>
                      <w:rFonts w:hint="eastAsia"/>
                      <w:color w:val="auto"/>
                      <w:kern w:val="0"/>
                      <w:szCs w:val="21"/>
                      <w:highlight w:val="none"/>
                      <w:lang w:bidi="ar"/>
                    </w:rPr>
                    <w:t>是</w:t>
                  </w:r>
                </w:p>
              </w:tc>
            </w:tr>
            <w:tr w14:paraId="04ABD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1192A450">
                  <w:pPr>
                    <w:widowControl/>
                    <w:jc w:val="center"/>
                    <w:textAlignment w:val="center"/>
                    <w:rPr>
                      <w:rFonts w:hint="eastAsia"/>
                      <w:color w:val="auto"/>
                      <w:szCs w:val="21"/>
                      <w:highlight w:val="none"/>
                    </w:rPr>
                  </w:pPr>
                  <w:r>
                    <w:rPr>
                      <w:color w:val="auto"/>
                      <w:kern w:val="0"/>
                      <w:szCs w:val="21"/>
                      <w:highlight w:val="none"/>
                      <w:lang w:bidi="ar"/>
                    </w:rPr>
                    <w:t>污染物排放浓度</w:t>
                  </w:r>
                  <w:r>
                    <w:rPr>
                      <w:rFonts w:hint="eastAsia"/>
                      <w:color w:val="auto"/>
                      <w:kern w:val="0"/>
                      <w:szCs w:val="21"/>
                      <w:highlight w:val="none"/>
                      <w:lang w:bidi="ar"/>
                    </w:rPr>
                    <w:t>（</w:t>
                  </w:r>
                  <w:r>
                    <w:rPr>
                      <w:color w:val="auto"/>
                      <w:kern w:val="0"/>
                      <w:szCs w:val="21"/>
                      <w:highlight w:val="none"/>
                      <w:lang w:bidi="ar"/>
                    </w:rPr>
                    <w:t>mg/L</w:t>
                  </w:r>
                  <w:r>
                    <w:rPr>
                      <w:rFonts w:hint="eastAsia"/>
                      <w:color w:val="auto"/>
                      <w:kern w:val="0"/>
                      <w:szCs w:val="21"/>
                      <w:highlight w:val="none"/>
                      <w:lang w:bidi="ar"/>
                    </w:rPr>
                    <w:t>）</w:t>
                  </w:r>
                </w:p>
              </w:tc>
              <w:tc>
                <w:tcPr>
                  <w:tcW w:w="1220" w:type="dxa"/>
                  <w:noWrap w:val="0"/>
                  <w:vAlign w:val="center"/>
                </w:tcPr>
                <w:p w14:paraId="74429540">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c>
                <w:tcPr>
                  <w:tcW w:w="1085" w:type="dxa"/>
                  <w:noWrap w:val="0"/>
                  <w:vAlign w:val="center"/>
                </w:tcPr>
                <w:p w14:paraId="281A616E">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1061" w:type="dxa"/>
                  <w:noWrap w:val="0"/>
                  <w:vAlign w:val="center"/>
                </w:tcPr>
                <w:p w14:paraId="7C2CAD74">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c>
                <w:tcPr>
                  <w:tcW w:w="1016" w:type="dxa"/>
                  <w:noWrap w:val="0"/>
                  <w:vAlign w:val="center"/>
                </w:tcPr>
                <w:p w14:paraId="6E9C52A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152" w:type="dxa"/>
                  <w:noWrap w:val="0"/>
                  <w:vAlign w:val="center"/>
                </w:tcPr>
                <w:p w14:paraId="40CDEC56">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923" w:type="dxa"/>
                  <w:noWrap w:val="0"/>
                  <w:vAlign w:val="center"/>
                </w:tcPr>
                <w:p w14:paraId="77187FF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14:paraId="31E20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5CCFA534">
                  <w:pPr>
                    <w:widowControl/>
                    <w:jc w:val="center"/>
                    <w:textAlignment w:val="center"/>
                    <w:rPr>
                      <w:rFonts w:hint="eastAsia"/>
                      <w:color w:val="auto"/>
                      <w:szCs w:val="21"/>
                      <w:highlight w:val="none"/>
                    </w:rPr>
                  </w:pPr>
                  <w:r>
                    <w:rPr>
                      <w:color w:val="auto"/>
                      <w:kern w:val="0"/>
                      <w:szCs w:val="21"/>
                      <w:highlight w:val="none"/>
                      <w:lang w:bidi="ar"/>
                    </w:rPr>
                    <w:t>污染物排放量</w:t>
                  </w:r>
                  <w:r>
                    <w:rPr>
                      <w:rFonts w:hint="eastAsia"/>
                      <w:color w:val="auto"/>
                      <w:kern w:val="0"/>
                      <w:szCs w:val="21"/>
                      <w:highlight w:val="none"/>
                      <w:lang w:bidi="ar"/>
                    </w:rPr>
                    <w:t>（</w:t>
                  </w:r>
                  <w:r>
                    <w:rPr>
                      <w:color w:val="auto"/>
                      <w:kern w:val="0"/>
                      <w:szCs w:val="21"/>
                      <w:highlight w:val="none"/>
                      <w:lang w:bidi="ar"/>
                    </w:rPr>
                    <w:t>t/a</w:t>
                  </w:r>
                  <w:r>
                    <w:rPr>
                      <w:rFonts w:hint="eastAsia"/>
                      <w:color w:val="auto"/>
                      <w:kern w:val="0"/>
                      <w:szCs w:val="21"/>
                      <w:highlight w:val="none"/>
                      <w:lang w:bidi="ar"/>
                    </w:rPr>
                    <w:t>）</w:t>
                  </w:r>
                </w:p>
              </w:tc>
              <w:tc>
                <w:tcPr>
                  <w:tcW w:w="1220" w:type="dxa"/>
                  <w:noWrap w:val="0"/>
                  <w:vAlign w:val="center"/>
                </w:tcPr>
                <w:p w14:paraId="5A8B1E9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0.036</w:t>
                  </w:r>
                </w:p>
              </w:tc>
              <w:tc>
                <w:tcPr>
                  <w:tcW w:w="1085" w:type="dxa"/>
                  <w:noWrap w:val="0"/>
                  <w:vAlign w:val="center"/>
                </w:tcPr>
                <w:p w14:paraId="691FB0CC">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1061" w:type="dxa"/>
                  <w:noWrap w:val="0"/>
                  <w:vAlign w:val="center"/>
                </w:tcPr>
                <w:p w14:paraId="5BB83588">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0.018</w:t>
                  </w:r>
                </w:p>
              </w:tc>
              <w:tc>
                <w:tcPr>
                  <w:tcW w:w="1016" w:type="dxa"/>
                  <w:noWrap w:val="0"/>
                  <w:vAlign w:val="center"/>
                </w:tcPr>
                <w:p w14:paraId="5100FD25">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152" w:type="dxa"/>
                  <w:noWrap w:val="0"/>
                  <w:vAlign w:val="center"/>
                </w:tcPr>
                <w:p w14:paraId="17800832">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923" w:type="dxa"/>
                  <w:noWrap w:val="0"/>
                  <w:vAlign w:val="center"/>
                </w:tcPr>
                <w:p w14:paraId="44AC376C">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0.0006</w:t>
                  </w:r>
                </w:p>
              </w:tc>
            </w:tr>
            <w:tr w14:paraId="6B642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285F023B">
                  <w:pPr>
                    <w:widowControl/>
                    <w:jc w:val="center"/>
                    <w:textAlignment w:val="center"/>
                    <w:rPr>
                      <w:color w:val="auto"/>
                      <w:szCs w:val="21"/>
                      <w:highlight w:val="none"/>
                    </w:rPr>
                  </w:pPr>
                  <w:r>
                    <w:rPr>
                      <w:rFonts w:hint="eastAsia"/>
                      <w:color w:val="auto"/>
                      <w:szCs w:val="21"/>
                      <w:highlight w:val="none"/>
                    </w:rPr>
                    <w:t>标准限值</w:t>
                  </w:r>
                </w:p>
              </w:tc>
              <w:tc>
                <w:tcPr>
                  <w:tcW w:w="726" w:type="pct"/>
                  <w:noWrap w:val="0"/>
                  <w:vAlign w:val="center"/>
                </w:tcPr>
                <w:p w14:paraId="58062E52">
                  <w:pPr>
                    <w:widowControl/>
                    <w:jc w:val="center"/>
                    <w:textAlignment w:val="center"/>
                    <w:rPr>
                      <w:color w:val="auto"/>
                      <w:kern w:val="0"/>
                      <w:szCs w:val="21"/>
                      <w:highlight w:val="none"/>
                      <w:lang w:bidi="ar"/>
                    </w:rPr>
                  </w:pPr>
                  <w:r>
                    <w:rPr>
                      <w:rFonts w:hint="eastAsia"/>
                      <w:color w:val="auto"/>
                      <w:kern w:val="0"/>
                      <w:szCs w:val="21"/>
                      <w:highlight w:val="none"/>
                      <w:lang w:bidi="ar"/>
                    </w:rPr>
                    <w:t>500</w:t>
                  </w:r>
                </w:p>
              </w:tc>
              <w:tc>
                <w:tcPr>
                  <w:tcW w:w="645" w:type="pct"/>
                  <w:noWrap w:val="0"/>
                  <w:vAlign w:val="center"/>
                </w:tcPr>
                <w:p w14:paraId="1B62DD01">
                  <w:pPr>
                    <w:widowControl/>
                    <w:jc w:val="center"/>
                    <w:textAlignment w:val="center"/>
                    <w:rPr>
                      <w:color w:val="auto"/>
                      <w:kern w:val="0"/>
                      <w:szCs w:val="21"/>
                      <w:highlight w:val="none"/>
                      <w:lang w:bidi="ar"/>
                    </w:rPr>
                  </w:pPr>
                  <w:r>
                    <w:rPr>
                      <w:rFonts w:hint="eastAsia"/>
                      <w:color w:val="auto"/>
                      <w:kern w:val="0"/>
                      <w:szCs w:val="21"/>
                      <w:highlight w:val="none"/>
                      <w:lang w:bidi="ar"/>
                    </w:rPr>
                    <w:t>400</w:t>
                  </w:r>
                </w:p>
              </w:tc>
              <w:tc>
                <w:tcPr>
                  <w:tcW w:w="631" w:type="pct"/>
                  <w:noWrap w:val="0"/>
                  <w:vAlign w:val="center"/>
                </w:tcPr>
                <w:p w14:paraId="1445A432">
                  <w:pPr>
                    <w:widowControl/>
                    <w:jc w:val="center"/>
                    <w:textAlignment w:val="center"/>
                    <w:rPr>
                      <w:color w:val="auto"/>
                      <w:kern w:val="0"/>
                      <w:szCs w:val="21"/>
                      <w:highlight w:val="none"/>
                      <w:lang w:bidi="ar"/>
                    </w:rPr>
                  </w:pPr>
                  <w:r>
                    <w:rPr>
                      <w:rFonts w:hint="eastAsia"/>
                      <w:color w:val="auto"/>
                      <w:kern w:val="0"/>
                      <w:szCs w:val="21"/>
                      <w:highlight w:val="none"/>
                      <w:lang w:bidi="ar"/>
                    </w:rPr>
                    <w:t>300</w:t>
                  </w:r>
                </w:p>
              </w:tc>
              <w:tc>
                <w:tcPr>
                  <w:tcW w:w="604" w:type="pct"/>
                  <w:noWrap w:val="0"/>
                  <w:vAlign w:val="center"/>
                </w:tcPr>
                <w:p w14:paraId="35487AB6">
                  <w:pPr>
                    <w:widowControl/>
                    <w:jc w:val="center"/>
                    <w:textAlignment w:val="center"/>
                    <w:rPr>
                      <w:color w:val="auto"/>
                      <w:kern w:val="0"/>
                      <w:szCs w:val="21"/>
                      <w:highlight w:val="none"/>
                      <w:lang w:bidi="ar"/>
                    </w:rPr>
                  </w:pPr>
                  <w:r>
                    <w:rPr>
                      <w:rFonts w:hint="eastAsia"/>
                      <w:color w:val="auto"/>
                      <w:kern w:val="0"/>
                      <w:szCs w:val="21"/>
                      <w:highlight w:val="none"/>
                      <w:lang w:bidi="ar"/>
                    </w:rPr>
                    <w:t>45</w:t>
                  </w:r>
                </w:p>
              </w:tc>
              <w:tc>
                <w:tcPr>
                  <w:tcW w:w="685" w:type="pct"/>
                  <w:noWrap w:val="0"/>
                  <w:vAlign w:val="center"/>
                </w:tcPr>
                <w:p w14:paraId="3EF8D9A4">
                  <w:pPr>
                    <w:widowControl/>
                    <w:jc w:val="center"/>
                    <w:textAlignment w:val="center"/>
                    <w:rPr>
                      <w:color w:val="auto"/>
                      <w:kern w:val="0"/>
                      <w:szCs w:val="21"/>
                      <w:highlight w:val="none"/>
                      <w:lang w:bidi="ar"/>
                    </w:rPr>
                  </w:pPr>
                  <w:r>
                    <w:rPr>
                      <w:rFonts w:hint="eastAsia"/>
                      <w:color w:val="auto"/>
                      <w:kern w:val="0"/>
                      <w:szCs w:val="21"/>
                      <w:highlight w:val="none"/>
                      <w:lang w:bidi="ar"/>
                    </w:rPr>
                    <w:t>70</w:t>
                  </w:r>
                </w:p>
              </w:tc>
              <w:tc>
                <w:tcPr>
                  <w:tcW w:w="547" w:type="pct"/>
                  <w:noWrap w:val="0"/>
                  <w:vAlign w:val="center"/>
                </w:tcPr>
                <w:p w14:paraId="7501A5D1">
                  <w:pPr>
                    <w:widowControl/>
                    <w:jc w:val="center"/>
                    <w:textAlignment w:val="center"/>
                    <w:rPr>
                      <w:color w:val="auto"/>
                      <w:kern w:val="0"/>
                      <w:szCs w:val="21"/>
                      <w:highlight w:val="none"/>
                      <w:lang w:bidi="ar"/>
                    </w:rPr>
                  </w:pPr>
                  <w:r>
                    <w:rPr>
                      <w:rFonts w:hint="eastAsia"/>
                      <w:color w:val="auto"/>
                      <w:kern w:val="0"/>
                      <w:szCs w:val="21"/>
                      <w:highlight w:val="none"/>
                      <w:lang w:bidi="ar"/>
                    </w:rPr>
                    <w:t>8</w:t>
                  </w:r>
                </w:p>
              </w:tc>
            </w:tr>
            <w:tr w14:paraId="3812E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pct"/>
                  <w:noWrap w:val="0"/>
                  <w:vAlign w:val="center"/>
                </w:tcPr>
                <w:p w14:paraId="41AB3FE1">
                  <w:pPr>
                    <w:widowControl/>
                    <w:jc w:val="center"/>
                    <w:textAlignment w:val="center"/>
                    <w:rPr>
                      <w:rFonts w:hint="eastAsia"/>
                      <w:color w:val="auto"/>
                      <w:szCs w:val="21"/>
                      <w:highlight w:val="none"/>
                    </w:rPr>
                  </w:pPr>
                  <w:r>
                    <w:rPr>
                      <w:rFonts w:hint="eastAsia"/>
                      <w:color w:val="auto"/>
                      <w:szCs w:val="21"/>
                      <w:highlight w:val="none"/>
                    </w:rPr>
                    <w:t>执行标准</w:t>
                  </w:r>
                </w:p>
              </w:tc>
              <w:tc>
                <w:tcPr>
                  <w:tcW w:w="3840" w:type="pct"/>
                  <w:gridSpan w:val="6"/>
                  <w:noWrap w:val="0"/>
                  <w:vAlign w:val="center"/>
                </w:tcPr>
                <w:p w14:paraId="38FBA9D2">
                  <w:pPr>
                    <w:widowControl/>
                    <w:jc w:val="center"/>
                    <w:textAlignment w:val="center"/>
                    <w:rPr>
                      <w:color w:val="auto"/>
                      <w:kern w:val="0"/>
                      <w:szCs w:val="21"/>
                      <w:highlight w:val="none"/>
                      <w:lang w:bidi="ar"/>
                    </w:rPr>
                  </w:pPr>
                  <w:r>
                    <w:rPr>
                      <w:rFonts w:hint="eastAsia"/>
                      <w:color w:val="auto"/>
                      <w:kern w:val="0"/>
                      <w:szCs w:val="21"/>
                      <w:highlight w:val="none"/>
                      <w:lang w:bidi="ar"/>
                    </w:rPr>
                    <w:t>《污水综合排放标准》（GB8978-1996）三级标准、《污水排入城镇下水道水质标准》（GB/T31962-2015）</w:t>
                  </w:r>
                  <w:r>
                    <w:rPr>
                      <w:rFonts w:hint="eastAsia"/>
                      <w:color w:val="auto"/>
                      <w:kern w:val="0"/>
                      <w:szCs w:val="21"/>
                      <w:highlight w:val="none"/>
                      <w:lang w:val="en-US" w:eastAsia="zh-CN" w:bidi="ar"/>
                    </w:rPr>
                    <w:t>A</w:t>
                  </w:r>
                  <w:r>
                    <w:rPr>
                      <w:rFonts w:hint="eastAsia"/>
                      <w:color w:val="auto"/>
                      <w:kern w:val="0"/>
                      <w:szCs w:val="21"/>
                      <w:highlight w:val="none"/>
                      <w:lang w:bidi="ar"/>
                    </w:rPr>
                    <w:t>级标准限值</w:t>
                  </w:r>
                </w:p>
              </w:tc>
            </w:tr>
          </w:tbl>
          <w:p w14:paraId="1E1CCE32">
            <w:pPr>
              <w:pStyle w:val="7"/>
              <w:ind w:firstLine="482"/>
              <w:rPr>
                <w:b/>
                <w:bCs/>
                <w:color w:val="auto"/>
                <w:highlight w:val="none"/>
              </w:rPr>
            </w:pPr>
            <w:r>
              <w:rPr>
                <w:rFonts w:hint="eastAsia"/>
                <w:b/>
                <w:bCs/>
                <w:color w:val="auto"/>
                <w:highlight w:val="none"/>
              </w:rPr>
              <w:t>3</w:t>
            </w:r>
            <w:r>
              <w:rPr>
                <w:b/>
                <w:bCs/>
                <w:color w:val="auto"/>
                <w:highlight w:val="none"/>
              </w:rPr>
              <w:t>、污水处理厂依托可行性分析</w:t>
            </w:r>
          </w:p>
          <w:p w14:paraId="177E289A">
            <w:pPr>
              <w:pStyle w:val="7"/>
              <w:ind w:firstLine="480"/>
              <w:rPr>
                <w:color w:val="auto"/>
                <w:highlight w:val="none"/>
              </w:rPr>
            </w:pPr>
            <w:r>
              <w:rPr>
                <w:color w:val="auto"/>
                <w:highlight w:val="none"/>
              </w:rPr>
              <w:t>泾河新城第二污水处理厂位于</w:t>
            </w:r>
            <w:r>
              <w:rPr>
                <w:color w:val="auto"/>
                <w:highlight w:val="none"/>
                <w:lang w:bidi="ar"/>
              </w:rPr>
              <w:t>泾河新城西安工业资产经营有限公司南侧</w:t>
            </w:r>
            <w:r>
              <w:rPr>
                <w:color w:val="auto"/>
                <w:highlight w:val="none"/>
              </w:rPr>
              <w:t>，</w:t>
            </w:r>
            <w:r>
              <w:rPr>
                <w:color w:val="auto"/>
                <w:highlight w:val="none"/>
                <w:lang w:bidi="ar"/>
              </w:rPr>
              <w:t>建设规模为40000m³/d，</w:t>
            </w:r>
            <w:r>
              <w:rPr>
                <w:rFonts w:hint="eastAsia"/>
                <w:color w:val="auto"/>
                <w:highlight w:val="none"/>
                <w:lang w:bidi="ar"/>
              </w:rPr>
              <w:t>目前最大处理量为32000m</w:t>
            </w:r>
            <w:r>
              <w:rPr>
                <w:rFonts w:hint="eastAsia"/>
                <w:color w:val="auto"/>
                <w:highlight w:val="none"/>
                <w:vertAlign w:val="superscript"/>
                <w:lang w:bidi="ar"/>
              </w:rPr>
              <w:t>3</w:t>
            </w:r>
            <w:r>
              <w:rPr>
                <w:rFonts w:hint="eastAsia"/>
                <w:color w:val="auto"/>
                <w:highlight w:val="none"/>
                <w:lang w:bidi="ar"/>
              </w:rPr>
              <w:t>/d，</w:t>
            </w:r>
            <w:r>
              <w:rPr>
                <w:color w:val="auto"/>
                <w:highlight w:val="none"/>
                <w:lang w:bidi="ar"/>
              </w:rPr>
              <w:t>采用“粗格栅及提升泵房+细格栅+沉砂池+MBBR复合工艺+二沉池+超效沉淀池+次氯酸钠消毒”，处理后尾水经消毒后排入泾河，出水水质执行《陕西省黄河流域污水综合排放标准》（DB61/224-2018）表1中A标准。本项目位于泾河新城第二污水处理厂收水范围内，废水主要是生活污水，水质简单，生活污水水量仅为</w:t>
            </w:r>
            <w:r>
              <w:rPr>
                <w:rFonts w:hint="eastAsia"/>
                <w:color w:val="auto"/>
                <w:highlight w:val="none"/>
                <w:lang w:val="en-US" w:eastAsia="zh-CN" w:bidi="ar"/>
              </w:rPr>
              <w:t>0.33</w:t>
            </w:r>
            <w:r>
              <w:rPr>
                <w:rFonts w:hint="eastAsia"/>
                <w:color w:val="auto"/>
                <w:highlight w:val="none"/>
                <w:lang w:bidi="ar"/>
              </w:rPr>
              <w:t>m</w:t>
            </w:r>
            <w:r>
              <w:rPr>
                <w:rFonts w:hint="eastAsia"/>
                <w:color w:val="auto"/>
                <w:highlight w:val="none"/>
                <w:vertAlign w:val="superscript"/>
                <w:lang w:bidi="ar"/>
              </w:rPr>
              <w:t>3</w:t>
            </w:r>
            <w:r>
              <w:rPr>
                <w:rFonts w:hint="eastAsia"/>
                <w:color w:val="auto"/>
                <w:highlight w:val="none"/>
                <w:lang w:bidi="ar"/>
              </w:rPr>
              <w:t>/d</w:t>
            </w:r>
            <w:r>
              <w:rPr>
                <w:color w:val="auto"/>
                <w:highlight w:val="none"/>
                <w:lang w:bidi="ar"/>
              </w:rPr>
              <w:t>，排放量</w:t>
            </w:r>
            <w:r>
              <w:rPr>
                <w:rFonts w:hint="eastAsia"/>
                <w:color w:val="auto"/>
                <w:highlight w:val="none"/>
                <w:lang w:bidi="ar"/>
              </w:rPr>
              <w:t>较小</w:t>
            </w:r>
            <w:r>
              <w:rPr>
                <w:color w:val="auto"/>
                <w:highlight w:val="none"/>
                <w:lang w:bidi="ar"/>
              </w:rPr>
              <w:t>，排入泾河新城第二污水处理厂后不会对其正常运行产生冲击，依托可行。</w:t>
            </w:r>
          </w:p>
          <w:p w14:paraId="195D27DB">
            <w:pPr>
              <w:pStyle w:val="7"/>
              <w:ind w:firstLine="482"/>
              <w:rPr>
                <w:b/>
                <w:bCs/>
                <w:color w:val="auto"/>
                <w:highlight w:val="none"/>
              </w:rPr>
            </w:pPr>
            <w:r>
              <w:rPr>
                <w:rFonts w:hint="eastAsia"/>
                <w:b/>
                <w:bCs/>
                <w:color w:val="auto"/>
                <w:highlight w:val="none"/>
              </w:rPr>
              <w:t>4、废水处理设施依托可行性分析</w:t>
            </w:r>
          </w:p>
          <w:p w14:paraId="02640604">
            <w:pPr>
              <w:pStyle w:val="7"/>
              <w:ind w:firstLine="480"/>
              <w:rPr>
                <w:ins w:id="0" w:author="夜雨听风" w:date="2025-10-20T16:34:23Z"/>
                <w:rFonts w:hint="eastAsia"/>
                <w:color w:val="auto"/>
                <w:highlight w:val="none"/>
              </w:rPr>
            </w:pPr>
            <w:r>
              <w:rPr>
                <w:rFonts w:hint="eastAsia"/>
                <w:color w:val="auto"/>
                <w:highlight w:val="none"/>
              </w:rPr>
              <w:t>根据《排污许可证申请与核发技术规范 总则》（HJ942</w:t>
            </w:r>
            <w:r>
              <w:rPr>
                <w:rFonts w:hint="eastAsia"/>
                <w:color w:val="auto"/>
                <w:highlight w:val="none"/>
                <w:lang w:val="en-US" w:eastAsia="zh-CN"/>
              </w:rPr>
              <w:t>-</w:t>
            </w:r>
            <w:r>
              <w:rPr>
                <w:rFonts w:hint="eastAsia"/>
                <w:color w:val="auto"/>
                <w:highlight w:val="none"/>
              </w:rPr>
              <w:t>2018），生活污水治理可行技术为“隔油池、化粪池、调节池、厌氧-好氧、兼性-好氧、好氧生物处理”。</w:t>
            </w:r>
          </w:p>
          <w:p w14:paraId="315C319F">
            <w:pPr>
              <w:pStyle w:val="7"/>
              <w:ind w:firstLine="480"/>
              <w:rPr>
                <w:rFonts w:hint="eastAsia"/>
                <w:color w:val="auto"/>
                <w:highlight w:val="none"/>
              </w:rPr>
            </w:pPr>
            <w:r>
              <w:rPr>
                <w:rFonts w:hint="eastAsia"/>
                <w:color w:val="auto"/>
                <w:highlight w:val="none"/>
              </w:rPr>
              <w:t>本项目不设</w:t>
            </w:r>
            <w:r>
              <w:rPr>
                <w:rFonts w:hint="eastAsia"/>
                <w:color w:val="auto"/>
                <w:highlight w:val="none"/>
                <w:lang w:val="en-US" w:eastAsia="zh-CN"/>
              </w:rPr>
              <w:t>食宿</w:t>
            </w:r>
            <w:r>
              <w:rPr>
                <w:rFonts w:hint="eastAsia"/>
                <w:color w:val="auto"/>
                <w:highlight w:val="none"/>
              </w:rPr>
              <w:t>，生活污水中无动植物油产生，无须设置隔油池，</w:t>
            </w:r>
            <w:r>
              <w:rPr>
                <w:rFonts w:hint="eastAsia"/>
                <w:color w:val="auto"/>
                <w:highlight w:val="none"/>
                <w:lang w:val="en-US" w:eastAsia="zh-CN"/>
              </w:rPr>
              <w:t>故</w:t>
            </w:r>
            <w:r>
              <w:rPr>
                <w:rFonts w:hint="eastAsia"/>
                <w:color w:val="auto"/>
                <w:highlight w:val="none"/>
              </w:rPr>
              <w:t>项目采用化粪池处理生活污水技术可行。本项目排入化粪池的废水量为</w:t>
            </w:r>
            <w:r>
              <w:rPr>
                <w:rFonts w:hint="eastAsia"/>
                <w:color w:val="auto"/>
                <w:highlight w:val="none"/>
                <w:lang w:val="en-US" w:eastAsia="zh-CN"/>
              </w:rPr>
              <w:t>0.33</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100</w:t>
            </w:r>
            <w:r>
              <w:rPr>
                <w:rFonts w:hint="eastAsia"/>
                <w:color w:val="auto"/>
                <w:highlight w:val="none"/>
              </w:rPr>
              <w:t>m</w:t>
            </w:r>
            <w:r>
              <w:rPr>
                <w:rFonts w:hint="eastAsia"/>
                <w:color w:val="auto"/>
                <w:highlight w:val="none"/>
                <w:vertAlign w:val="superscript"/>
              </w:rPr>
              <w:t>3</w:t>
            </w:r>
            <w:r>
              <w:rPr>
                <w:rFonts w:hint="eastAsia"/>
                <w:color w:val="auto"/>
                <w:highlight w:val="none"/>
              </w:rPr>
              <w:t>/a），依托厂区现有化粪池，该化粪池容积约为50m</w:t>
            </w:r>
            <w:r>
              <w:rPr>
                <w:rFonts w:hint="eastAsia"/>
                <w:color w:val="auto"/>
                <w:highlight w:val="none"/>
                <w:vertAlign w:val="superscript"/>
              </w:rPr>
              <w:t>3</w:t>
            </w:r>
            <w:r>
              <w:rPr>
                <w:rFonts w:hint="eastAsia"/>
                <w:color w:val="auto"/>
                <w:highlight w:val="none"/>
              </w:rPr>
              <w:t>，余量约</w:t>
            </w:r>
            <w:r>
              <w:rPr>
                <w:rFonts w:hint="eastAsia"/>
                <w:color w:val="auto"/>
                <w:highlight w:val="none"/>
                <w:lang w:val="en-US" w:eastAsia="zh-CN"/>
              </w:rPr>
              <w:t>5</w:t>
            </w:r>
            <w:r>
              <w:rPr>
                <w:rFonts w:hint="eastAsia"/>
                <w:color w:val="auto"/>
                <w:highlight w:val="none"/>
              </w:rPr>
              <w:t>0%，水力停留时间为24h，因此，本项目</w:t>
            </w:r>
            <w:r>
              <w:rPr>
                <w:rFonts w:hint="eastAsia"/>
                <w:color w:val="auto"/>
                <w:highlight w:val="none"/>
                <w:lang w:val="en-US" w:eastAsia="zh-CN"/>
              </w:rPr>
              <w:t>员工</w:t>
            </w:r>
            <w:r>
              <w:rPr>
                <w:rFonts w:hint="eastAsia"/>
                <w:color w:val="auto"/>
                <w:highlight w:val="none"/>
              </w:rPr>
              <w:t>生活污水依托该化粪池可行。</w:t>
            </w:r>
          </w:p>
          <w:p w14:paraId="61C26235">
            <w:pPr>
              <w:pStyle w:val="7"/>
              <w:ind w:firstLine="482"/>
              <w:rPr>
                <w:b/>
                <w:bCs/>
                <w:color w:val="auto"/>
                <w:highlight w:val="none"/>
              </w:rPr>
            </w:pPr>
            <w:r>
              <w:rPr>
                <w:rFonts w:hint="eastAsia"/>
                <w:b/>
                <w:bCs/>
                <w:color w:val="auto"/>
                <w:highlight w:val="none"/>
              </w:rPr>
              <w:t>5、废水排放口基本情况</w:t>
            </w:r>
          </w:p>
          <w:p w14:paraId="48383DB1">
            <w:pPr>
              <w:autoSpaceDE w:val="0"/>
              <w:autoSpaceDN w:val="0"/>
              <w:jc w:val="center"/>
              <w:rPr>
                <w:b/>
                <w:color w:val="auto"/>
                <w:sz w:val="24"/>
                <w:highlight w:val="none"/>
              </w:rPr>
            </w:pPr>
            <w:r>
              <w:rPr>
                <w:b/>
                <w:color w:val="auto"/>
                <w:sz w:val="24"/>
                <w:highlight w:val="none"/>
              </w:rPr>
              <w:t>表4-</w:t>
            </w:r>
            <w:r>
              <w:rPr>
                <w:rFonts w:hint="eastAsia"/>
                <w:b/>
                <w:color w:val="auto"/>
                <w:sz w:val="24"/>
                <w:highlight w:val="none"/>
              </w:rPr>
              <w:t xml:space="preserve">8  </w:t>
            </w:r>
            <w:r>
              <w:rPr>
                <w:b/>
                <w:color w:val="auto"/>
                <w:sz w:val="24"/>
                <w:highlight w:val="none"/>
              </w:rPr>
              <w:t>废水</w:t>
            </w:r>
            <w:r>
              <w:rPr>
                <w:rFonts w:hint="eastAsia"/>
                <w:b/>
                <w:color w:val="auto"/>
                <w:sz w:val="24"/>
                <w:highlight w:val="none"/>
              </w:rPr>
              <w:t>排放口基本</w:t>
            </w:r>
            <w:r>
              <w:rPr>
                <w:b/>
                <w:color w:val="auto"/>
                <w:sz w:val="24"/>
                <w:highlight w:val="none"/>
              </w:rPr>
              <w:t>信息表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2"/>
              <w:gridCol w:w="645"/>
              <w:gridCol w:w="928"/>
              <w:gridCol w:w="825"/>
              <w:gridCol w:w="832"/>
              <w:gridCol w:w="849"/>
              <w:gridCol w:w="657"/>
              <w:gridCol w:w="832"/>
              <w:gridCol w:w="931"/>
              <w:gridCol w:w="733"/>
              <w:gridCol w:w="759"/>
            </w:tblGrid>
            <w:tr w14:paraId="68C89E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251" w:type="pct"/>
                  <w:vMerge w:val="restart"/>
                  <w:noWrap w:val="0"/>
                  <w:vAlign w:val="center"/>
                </w:tcPr>
                <w:p w14:paraId="0B57F39D">
                  <w:pPr>
                    <w:jc w:val="center"/>
                    <w:rPr>
                      <w:b/>
                      <w:bCs/>
                      <w:color w:val="auto"/>
                      <w:highlight w:val="none"/>
                    </w:rPr>
                  </w:pPr>
                  <w:r>
                    <w:rPr>
                      <w:b/>
                      <w:bCs/>
                      <w:color w:val="auto"/>
                      <w:highlight w:val="none"/>
                    </w:rPr>
                    <w:t>序号</w:t>
                  </w:r>
                </w:p>
              </w:tc>
              <w:tc>
                <w:tcPr>
                  <w:tcW w:w="383" w:type="pct"/>
                  <w:vMerge w:val="restart"/>
                  <w:noWrap w:val="0"/>
                  <w:vAlign w:val="center"/>
                </w:tcPr>
                <w:p w14:paraId="7855BD4B">
                  <w:pPr>
                    <w:jc w:val="center"/>
                    <w:rPr>
                      <w:b/>
                      <w:bCs/>
                      <w:color w:val="auto"/>
                      <w:highlight w:val="none"/>
                    </w:rPr>
                  </w:pPr>
                  <w:r>
                    <w:rPr>
                      <w:b/>
                      <w:bCs/>
                      <w:color w:val="auto"/>
                      <w:highlight w:val="none"/>
                    </w:rPr>
                    <w:t>废水类别</w:t>
                  </w:r>
                </w:p>
              </w:tc>
              <w:tc>
                <w:tcPr>
                  <w:tcW w:w="551" w:type="pct"/>
                  <w:vMerge w:val="restart"/>
                  <w:noWrap w:val="0"/>
                  <w:vAlign w:val="center"/>
                </w:tcPr>
                <w:p w14:paraId="745A27E2">
                  <w:pPr>
                    <w:jc w:val="center"/>
                    <w:rPr>
                      <w:b/>
                      <w:bCs/>
                      <w:color w:val="auto"/>
                      <w:highlight w:val="none"/>
                    </w:rPr>
                  </w:pPr>
                  <w:r>
                    <w:rPr>
                      <w:b/>
                      <w:bCs/>
                      <w:color w:val="auto"/>
                      <w:highlight w:val="none"/>
                    </w:rPr>
                    <w:t>污染物种类</w:t>
                  </w:r>
                </w:p>
              </w:tc>
              <w:tc>
                <w:tcPr>
                  <w:tcW w:w="490" w:type="pct"/>
                  <w:vMerge w:val="restart"/>
                  <w:noWrap w:val="0"/>
                  <w:vAlign w:val="center"/>
                </w:tcPr>
                <w:p w14:paraId="02653F26">
                  <w:pPr>
                    <w:jc w:val="center"/>
                    <w:rPr>
                      <w:b/>
                      <w:bCs/>
                      <w:color w:val="auto"/>
                      <w:highlight w:val="none"/>
                    </w:rPr>
                  </w:pPr>
                  <w:r>
                    <w:rPr>
                      <w:b/>
                      <w:bCs/>
                      <w:color w:val="auto"/>
                      <w:highlight w:val="none"/>
                    </w:rPr>
                    <w:t>排放去向</w:t>
                  </w:r>
                </w:p>
              </w:tc>
              <w:tc>
                <w:tcPr>
                  <w:tcW w:w="494" w:type="pct"/>
                  <w:vMerge w:val="restart"/>
                  <w:noWrap w:val="0"/>
                  <w:vAlign w:val="center"/>
                </w:tcPr>
                <w:p w14:paraId="5BE6E24F">
                  <w:pPr>
                    <w:jc w:val="center"/>
                    <w:rPr>
                      <w:b/>
                      <w:bCs/>
                      <w:color w:val="auto"/>
                      <w:highlight w:val="none"/>
                    </w:rPr>
                  </w:pPr>
                  <w:r>
                    <w:rPr>
                      <w:b/>
                      <w:bCs/>
                      <w:color w:val="auto"/>
                      <w:highlight w:val="none"/>
                    </w:rPr>
                    <w:t>排放规律</w:t>
                  </w:r>
                </w:p>
              </w:tc>
              <w:tc>
                <w:tcPr>
                  <w:tcW w:w="1388" w:type="pct"/>
                  <w:gridSpan w:val="3"/>
                  <w:noWrap w:val="0"/>
                  <w:vAlign w:val="center"/>
                </w:tcPr>
                <w:p w14:paraId="4093FC3B">
                  <w:pPr>
                    <w:jc w:val="center"/>
                    <w:rPr>
                      <w:b/>
                      <w:bCs/>
                      <w:color w:val="auto"/>
                      <w:highlight w:val="none"/>
                    </w:rPr>
                  </w:pPr>
                  <w:r>
                    <w:rPr>
                      <w:b/>
                      <w:bCs/>
                      <w:color w:val="auto"/>
                      <w:highlight w:val="none"/>
                    </w:rPr>
                    <w:t>污染治理设施</w:t>
                  </w:r>
                </w:p>
              </w:tc>
              <w:tc>
                <w:tcPr>
                  <w:tcW w:w="553" w:type="pct"/>
                  <w:vMerge w:val="restart"/>
                  <w:noWrap w:val="0"/>
                  <w:vAlign w:val="center"/>
                </w:tcPr>
                <w:p w14:paraId="76BDF667">
                  <w:pPr>
                    <w:jc w:val="center"/>
                    <w:rPr>
                      <w:b/>
                      <w:bCs/>
                      <w:color w:val="auto"/>
                      <w:highlight w:val="none"/>
                    </w:rPr>
                  </w:pPr>
                  <w:r>
                    <w:rPr>
                      <w:b/>
                      <w:bCs/>
                      <w:color w:val="auto"/>
                      <w:highlight w:val="none"/>
                    </w:rPr>
                    <w:t>排放口编号</w:t>
                  </w:r>
                </w:p>
              </w:tc>
              <w:tc>
                <w:tcPr>
                  <w:tcW w:w="435" w:type="pct"/>
                  <w:vMerge w:val="restart"/>
                  <w:noWrap w:val="0"/>
                  <w:vAlign w:val="center"/>
                </w:tcPr>
                <w:p w14:paraId="7BAFA541">
                  <w:pPr>
                    <w:jc w:val="center"/>
                    <w:rPr>
                      <w:b/>
                      <w:bCs/>
                      <w:color w:val="auto"/>
                      <w:highlight w:val="none"/>
                    </w:rPr>
                  </w:pPr>
                  <w:r>
                    <w:rPr>
                      <w:b/>
                      <w:bCs/>
                      <w:color w:val="auto"/>
                      <w:highlight w:val="none"/>
                    </w:rPr>
                    <w:t>排放口设置是否符合要求</w:t>
                  </w:r>
                </w:p>
              </w:tc>
              <w:tc>
                <w:tcPr>
                  <w:tcW w:w="451" w:type="pct"/>
                  <w:vMerge w:val="restart"/>
                  <w:noWrap w:val="0"/>
                  <w:vAlign w:val="center"/>
                </w:tcPr>
                <w:p w14:paraId="1BBDFCAE">
                  <w:pPr>
                    <w:jc w:val="center"/>
                    <w:rPr>
                      <w:b/>
                      <w:bCs/>
                      <w:color w:val="auto"/>
                      <w:highlight w:val="none"/>
                    </w:rPr>
                  </w:pPr>
                  <w:r>
                    <w:rPr>
                      <w:b/>
                      <w:bCs/>
                      <w:color w:val="auto"/>
                      <w:highlight w:val="none"/>
                    </w:rPr>
                    <w:t>排放口类型</w:t>
                  </w:r>
                </w:p>
              </w:tc>
            </w:tr>
            <w:tr w14:paraId="6D27F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251" w:type="pct"/>
                  <w:vMerge w:val="continue"/>
                  <w:noWrap w:val="0"/>
                  <w:vAlign w:val="center"/>
                </w:tcPr>
                <w:p w14:paraId="6D715F0D">
                  <w:pPr>
                    <w:rPr>
                      <w:color w:val="auto"/>
                      <w:highlight w:val="none"/>
                    </w:rPr>
                  </w:pPr>
                </w:p>
              </w:tc>
              <w:tc>
                <w:tcPr>
                  <w:tcW w:w="383" w:type="pct"/>
                  <w:vMerge w:val="continue"/>
                  <w:noWrap w:val="0"/>
                  <w:vAlign w:val="center"/>
                </w:tcPr>
                <w:p w14:paraId="0D6CA9CA">
                  <w:pPr>
                    <w:rPr>
                      <w:color w:val="auto"/>
                      <w:highlight w:val="none"/>
                    </w:rPr>
                  </w:pPr>
                </w:p>
              </w:tc>
              <w:tc>
                <w:tcPr>
                  <w:tcW w:w="551" w:type="pct"/>
                  <w:vMerge w:val="continue"/>
                  <w:noWrap w:val="0"/>
                  <w:vAlign w:val="center"/>
                </w:tcPr>
                <w:p w14:paraId="7326A5D8">
                  <w:pPr>
                    <w:rPr>
                      <w:color w:val="auto"/>
                      <w:highlight w:val="none"/>
                    </w:rPr>
                  </w:pPr>
                </w:p>
              </w:tc>
              <w:tc>
                <w:tcPr>
                  <w:tcW w:w="490" w:type="pct"/>
                  <w:vMerge w:val="continue"/>
                  <w:noWrap w:val="0"/>
                  <w:vAlign w:val="center"/>
                </w:tcPr>
                <w:p w14:paraId="1DF0C39F">
                  <w:pPr>
                    <w:rPr>
                      <w:color w:val="auto"/>
                      <w:highlight w:val="none"/>
                    </w:rPr>
                  </w:pPr>
                </w:p>
              </w:tc>
              <w:tc>
                <w:tcPr>
                  <w:tcW w:w="494" w:type="pct"/>
                  <w:vMerge w:val="continue"/>
                  <w:noWrap w:val="0"/>
                  <w:vAlign w:val="center"/>
                </w:tcPr>
                <w:p w14:paraId="25109660">
                  <w:pPr>
                    <w:rPr>
                      <w:color w:val="auto"/>
                      <w:highlight w:val="none"/>
                    </w:rPr>
                  </w:pPr>
                </w:p>
              </w:tc>
              <w:tc>
                <w:tcPr>
                  <w:tcW w:w="504" w:type="pct"/>
                  <w:noWrap w:val="0"/>
                  <w:vAlign w:val="center"/>
                </w:tcPr>
                <w:p w14:paraId="2FE826CF">
                  <w:pPr>
                    <w:jc w:val="center"/>
                    <w:rPr>
                      <w:b/>
                      <w:bCs/>
                      <w:color w:val="auto"/>
                      <w:highlight w:val="none"/>
                    </w:rPr>
                  </w:pPr>
                  <w:r>
                    <w:rPr>
                      <w:b/>
                      <w:bCs/>
                      <w:color w:val="auto"/>
                      <w:highlight w:val="none"/>
                    </w:rPr>
                    <w:t>污染物治理设施编号</w:t>
                  </w:r>
                </w:p>
              </w:tc>
              <w:tc>
                <w:tcPr>
                  <w:tcW w:w="390" w:type="pct"/>
                  <w:noWrap w:val="0"/>
                  <w:vAlign w:val="center"/>
                </w:tcPr>
                <w:p w14:paraId="5918FBAF">
                  <w:pPr>
                    <w:jc w:val="center"/>
                    <w:rPr>
                      <w:b/>
                      <w:bCs/>
                      <w:color w:val="auto"/>
                      <w:highlight w:val="none"/>
                    </w:rPr>
                  </w:pPr>
                  <w:r>
                    <w:rPr>
                      <w:b/>
                      <w:bCs/>
                      <w:color w:val="auto"/>
                      <w:highlight w:val="none"/>
                    </w:rPr>
                    <w:t>污染治理设施名称</w:t>
                  </w:r>
                </w:p>
              </w:tc>
              <w:tc>
                <w:tcPr>
                  <w:tcW w:w="493" w:type="pct"/>
                  <w:noWrap w:val="0"/>
                  <w:vAlign w:val="center"/>
                </w:tcPr>
                <w:p w14:paraId="652C911C">
                  <w:pPr>
                    <w:jc w:val="center"/>
                    <w:rPr>
                      <w:b/>
                      <w:bCs/>
                      <w:color w:val="auto"/>
                      <w:highlight w:val="none"/>
                    </w:rPr>
                  </w:pPr>
                  <w:r>
                    <w:rPr>
                      <w:b/>
                      <w:bCs/>
                      <w:color w:val="auto"/>
                      <w:highlight w:val="none"/>
                    </w:rPr>
                    <w:t>污染治理设施工艺</w:t>
                  </w:r>
                </w:p>
              </w:tc>
              <w:tc>
                <w:tcPr>
                  <w:tcW w:w="553" w:type="pct"/>
                  <w:vMerge w:val="continue"/>
                  <w:noWrap w:val="0"/>
                  <w:vAlign w:val="center"/>
                </w:tcPr>
                <w:p w14:paraId="355A54D1">
                  <w:pPr>
                    <w:jc w:val="center"/>
                    <w:rPr>
                      <w:color w:val="auto"/>
                      <w:highlight w:val="none"/>
                    </w:rPr>
                  </w:pPr>
                </w:p>
              </w:tc>
              <w:tc>
                <w:tcPr>
                  <w:tcW w:w="435" w:type="pct"/>
                  <w:vMerge w:val="continue"/>
                  <w:noWrap w:val="0"/>
                  <w:vAlign w:val="center"/>
                </w:tcPr>
                <w:p w14:paraId="03833B28">
                  <w:pPr>
                    <w:jc w:val="center"/>
                    <w:rPr>
                      <w:color w:val="auto"/>
                      <w:highlight w:val="none"/>
                    </w:rPr>
                  </w:pPr>
                </w:p>
              </w:tc>
              <w:tc>
                <w:tcPr>
                  <w:tcW w:w="451" w:type="pct"/>
                  <w:vMerge w:val="continue"/>
                  <w:noWrap w:val="0"/>
                  <w:vAlign w:val="center"/>
                </w:tcPr>
                <w:p w14:paraId="56CEEE71">
                  <w:pPr>
                    <w:jc w:val="center"/>
                    <w:rPr>
                      <w:color w:val="auto"/>
                      <w:highlight w:val="none"/>
                    </w:rPr>
                  </w:pPr>
                </w:p>
              </w:tc>
            </w:tr>
            <w:tr w14:paraId="30480E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251" w:type="pct"/>
                  <w:noWrap w:val="0"/>
                  <w:vAlign w:val="center"/>
                </w:tcPr>
                <w:p w14:paraId="570DED7E">
                  <w:pPr>
                    <w:jc w:val="center"/>
                    <w:rPr>
                      <w:color w:val="auto"/>
                      <w:highlight w:val="none"/>
                    </w:rPr>
                  </w:pPr>
                  <w:r>
                    <w:rPr>
                      <w:color w:val="auto"/>
                      <w:highlight w:val="none"/>
                    </w:rPr>
                    <w:t>1</w:t>
                  </w:r>
                </w:p>
              </w:tc>
              <w:tc>
                <w:tcPr>
                  <w:tcW w:w="383" w:type="pct"/>
                  <w:noWrap w:val="0"/>
                  <w:vAlign w:val="center"/>
                </w:tcPr>
                <w:p w14:paraId="581FBCB5">
                  <w:pPr>
                    <w:jc w:val="center"/>
                    <w:rPr>
                      <w:color w:val="auto"/>
                      <w:highlight w:val="none"/>
                    </w:rPr>
                  </w:pPr>
                  <w:r>
                    <w:rPr>
                      <w:rFonts w:hint="eastAsia"/>
                      <w:color w:val="auto"/>
                      <w:highlight w:val="none"/>
                    </w:rPr>
                    <w:t>生活污水排放口</w:t>
                  </w:r>
                </w:p>
              </w:tc>
              <w:tc>
                <w:tcPr>
                  <w:tcW w:w="551" w:type="pct"/>
                  <w:noWrap w:val="0"/>
                  <w:vAlign w:val="center"/>
                </w:tcPr>
                <w:p w14:paraId="2DF149B2">
                  <w:pPr>
                    <w:jc w:val="center"/>
                    <w:rPr>
                      <w:color w:val="auto"/>
                      <w:highlight w:val="none"/>
                    </w:rPr>
                  </w:pPr>
                  <w:r>
                    <w:rPr>
                      <w:rFonts w:hint="eastAsia"/>
                      <w:color w:val="auto"/>
                      <w:highlight w:val="none"/>
                    </w:rPr>
                    <w:t>COD、SS、BOD</w:t>
                  </w:r>
                  <w:r>
                    <w:rPr>
                      <w:rFonts w:hint="eastAsia"/>
                      <w:color w:val="auto"/>
                      <w:highlight w:val="none"/>
                      <w:vertAlign w:val="subscript"/>
                    </w:rPr>
                    <w:t>5</w:t>
                  </w:r>
                  <w:r>
                    <w:rPr>
                      <w:rFonts w:hint="eastAsia"/>
                      <w:color w:val="auto"/>
                      <w:highlight w:val="none"/>
                    </w:rPr>
                    <w:t>、氨氮、总氮、总磷</w:t>
                  </w:r>
                  <w:r>
                    <w:rPr>
                      <w:color w:val="auto"/>
                      <w:highlight w:val="none"/>
                    </w:rPr>
                    <w:t xml:space="preserve"> </w:t>
                  </w:r>
                </w:p>
              </w:tc>
              <w:tc>
                <w:tcPr>
                  <w:tcW w:w="490" w:type="pct"/>
                  <w:noWrap w:val="0"/>
                  <w:vAlign w:val="center"/>
                </w:tcPr>
                <w:p w14:paraId="3D55B267">
                  <w:pPr>
                    <w:jc w:val="center"/>
                    <w:rPr>
                      <w:rFonts w:hint="eastAsia"/>
                      <w:color w:val="auto"/>
                      <w:highlight w:val="none"/>
                    </w:rPr>
                  </w:pPr>
                  <w:r>
                    <w:rPr>
                      <w:color w:val="auto"/>
                      <w:highlight w:val="none"/>
                    </w:rPr>
                    <w:t>泾河新城</w:t>
                  </w:r>
                  <w:r>
                    <w:rPr>
                      <w:rFonts w:hint="eastAsia"/>
                      <w:color w:val="auto"/>
                      <w:highlight w:val="none"/>
                    </w:rPr>
                    <w:t>第二污水处理厂</w:t>
                  </w:r>
                </w:p>
              </w:tc>
              <w:tc>
                <w:tcPr>
                  <w:tcW w:w="494" w:type="pct"/>
                  <w:noWrap w:val="0"/>
                  <w:vAlign w:val="center"/>
                </w:tcPr>
                <w:p w14:paraId="04784721">
                  <w:pPr>
                    <w:jc w:val="center"/>
                    <w:rPr>
                      <w:color w:val="auto"/>
                      <w:highlight w:val="none"/>
                    </w:rPr>
                  </w:pPr>
                  <w:r>
                    <w:rPr>
                      <w:rFonts w:hint="eastAsia"/>
                      <w:color w:val="auto"/>
                      <w:highlight w:val="none"/>
                    </w:rPr>
                    <w:t>非连续排放且无规律，但不属于冲击型排放</w:t>
                  </w:r>
                </w:p>
              </w:tc>
              <w:tc>
                <w:tcPr>
                  <w:tcW w:w="504" w:type="pct"/>
                  <w:noWrap w:val="0"/>
                  <w:vAlign w:val="center"/>
                </w:tcPr>
                <w:p w14:paraId="3A58191D">
                  <w:pPr>
                    <w:jc w:val="center"/>
                    <w:rPr>
                      <w:color w:val="auto"/>
                      <w:highlight w:val="none"/>
                    </w:rPr>
                  </w:pPr>
                  <w:r>
                    <w:rPr>
                      <w:rFonts w:hint="eastAsia"/>
                      <w:color w:val="auto"/>
                      <w:highlight w:val="none"/>
                    </w:rPr>
                    <w:t>TW001</w:t>
                  </w:r>
                </w:p>
              </w:tc>
              <w:tc>
                <w:tcPr>
                  <w:tcW w:w="390" w:type="pct"/>
                  <w:noWrap w:val="0"/>
                  <w:vAlign w:val="center"/>
                </w:tcPr>
                <w:p w14:paraId="65C20498">
                  <w:pPr>
                    <w:jc w:val="center"/>
                    <w:rPr>
                      <w:rFonts w:hint="eastAsia"/>
                      <w:color w:val="auto"/>
                      <w:highlight w:val="none"/>
                    </w:rPr>
                  </w:pPr>
                  <w:r>
                    <w:rPr>
                      <w:rFonts w:hint="eastAsia"/>
                      <w:color w:val="auto"/>
                      <w:highlight w:val="none"/>
                    </w:rPr>
                    <w:t>化粪池</w:t>
                  </w:r>
                </w:p>
              </w:tc>
              <w:tc>
                <w:tcPr>
                  <w:tcW w:w="493" w:type="pct"/>
                  <w:noWrap w:val="0"/>
                  <w:vAlign w:val="center"/>
                </w:tcPr>
                <w:p w14:paraId="4630EDC2">
                  <w:pPr>
                    <w:jc w:val="center"/>
                    <w:rPr>
                      <w:rFonts w:hint="eastAsia"/>
                      <w:color w:val="auto"/>
                      <w:highlight w:val="none"/>
                    </w:rPr>
                  </w:pPr>
                  <w:r>
                    <w:rPr>
                      <w:rFonts w:hint="eastAsia"/>
                      <w:color w:val="auto"/>
                      <w:highlight w:val="none"/>
                    </w:rPr>
                    <w:t>/</w:t>
                  </w:r>
                </w:p>
              </w:tc>
              <w:tc>
                <w:tcPr>
                  <w:tcW w:w="553" w:type="pct"/>
                  <w:noWrap w:val="0"/>
                  <w:vAlign w:val="center"/>
                </w:tcPr>
                <w:p w14:paraId="5ABE6194">
                  <w:pPr>
                    <w:rPr>
                      <w:color w:val="auto"/>
                      <w:highlight w:val="none"/>
                    </w:rPr>
                  </w:pPr>
                  <w:r>
                    <w:rPr>
                      <w:rFonts w:hint="eastAsia"/>
                      <w:color w:val="auto"/>
                      <w:highlight w:val="none"/>
                    </w:rPr>
                    <w:t>DW001</w:t>
                  </w:r>
                </w:p>
              </w:tc>
              <w:tc>
                <w:tcPr>
                  <w:tcW w:w="435" w:type="pct"/>
                  <w:noWrap w:val="0"/>
                  <w:vAlign w:val="center"/>
                </w:tcPr>
                <w:p w14:paraId="5C30205A">
                  <w:pPr>
                    <w:jc w:val="center"/>
                    <w:rPr>
                      <w:color w:val="auto"/>
                      <w:highlight w:val="none"/>
                    </w:rPr>
                  </w:pPr>
                  <w:r>
                    <w:rPr>
                      <w:color w:val="auto"/>
                      <w:highlight w:val="none"/>
                    </w:rPr>
                    <w:t>是</w:t>
                  </w:r>
                </w:p>
              </w:tc>
              <w:tc>
                <w:tcPr>
                  <w:tcW w:w="451" w:type="pct"/>
                  <w:noWrap w:val="0"/>
                  <w:vAlign w:val="center"/>
                </w:tcPr>
                <w:p w14:paraId="52DB614D">
                  <w:pPr>
                    <w:jc w:val="center"/>
                    <w:rPr>
                      <w:color w:val="auto"/>
                      <w:highlight w:val="none"/>
                    </w:rPr>
                  </w:pPr>
                  <w:r>
                    <w:rPr>
                      <w:color w:val="auto"/>
                      <w:highlight w:val="none"/>
                    </w:rPr>
                    <w:t>一般排放口</w:t>
                  </w:r>
                </w:p>
              </w:tc>
            </w:tr>
          </w:tbl>
          <w:p w14:paraId="4479234E">
            <w:pPr>
              <w:pStyle w:val="7"/>
              <w:keepNext w:val="0"/>
              <w:keepLines w:val="0"/>
              <w:pageBreakBefore w:val="0"/>
              <w:widowControl/>
              <w:kinsoku/>
              <w:wordWrap/>
              <w:overflowPunct/>
              <w:topLinePunct w:val="0"/>
              <w:autoSpaceDE/>
              <w:autoSpaceDN/>
              <w:bidi w:val="0"/>
              <w:adjustRightInd w:val="0"/>
              <w:snapToGrid w:val="0"/>
              <w:ind w:firstLine="482"/>
              <w:textAlignment w:val="auto"/>
              <w:rPr>
                <w:b/>
                <w:bCs/>
                <w:color w:val="auto"/>
                <w:highlight w:val="none"/>
              </w:rPr>
            </w:pPr>
            <w:r>
              <w:rPr>
                <w:rFonts w:hint="eastAsia"/>
                <w:b/>
                <w:bCs/>
                <w:color w:val="auto"/>
                <w:highlight w:val="none"/>
              </w:rPr>
              <w:t>5、监测计划</w:t>
            </w:r>
          </w:p>
          <w:p w14:paraId="1C306134">
            <w:pPr>
              <w:pStyle w:val="7"/>
              <w:bidi w:val="0"/>
              <w:rPr>
                <w:rFonts w:hint="default"/>
                <w:color w:val="auto"/>
                <w:kern w:val="0"/>
                <w:sz w:val="24"/>
                <w:szCs w:val="32"/>
                <w:highlight w:val="none"/>
                <w:lang w:val="en-US" w:eastAsia="zh-CN"/>
              </w:rPr>
            </w:pPr>
            <w:r>
              <w:rPr>
                <w:rFonts w:hint="eastAsia"/>
                <w:color w:val="auto"/>
                <w:kern w:val="0"/>
                <w:sz w:val="24"/>
                <w:szCs w:val="32"/>
                <w:highlight w:val="none"/>
                <w:lang w:val="en-US" w:eastAsia="zh-CN"/>
              </w:rPr>
              <w:t>根据《</w:t>
            </w:r>
            <w:r>
              <w:rPr>
                <w:rFonts w:hint="eastAsia"/>
                <w:color w:val="auto"/>
                <w:kern w:val="0"/>
                <w:sz w:val="24"/>
                <w:szCs w:val="32"/>
                <w:highlight w:val="none"/>
                <w:lang w:eastAsia="zh-CN"/>
              </w:rPr>
              <w:t xml:space="preserve">排污许可证申请与核发技术规范 </w:t>
            </w:r>
            <w:r>
              <w:rPr>
                <w:rFonts w:hint="eastAsia"/>
                <w:color w:val="auto"/>
                <w:kern w:val="0"/>
                <w:sz w:val="24"/>
                <w:szCs w:val="32"/>
                <w:highlight w:val="none"/>
                <w:lang w:val="en-US" w:eastAsia="zh-CN"/>
              </w:rPr>
              <w:t>电子工业》（HJ1031-2019）、</w:t>
            </w:r>
            <w:r>
              <w:rPr>
                <w:rFonts w:hint="eastAsia"/>
                <w:color w:val="auto"/>
                <w:kern w:val="0"/>
                <w:sz w:val="24"/>
                <w:szCs w:val="32"/>
                <w:highlight w:val="none"/>
                <w:lang w:eastAsia="zh-CN"/>
              </w:rPr>
              <w:t>《排污单位自行监测技术指南 电子工业》（HJ 1253—2022）</w:t>
            </w:r>
            <w:r>
              <w:rPr>
                <w:rFonts w:hint="eastAsia"/>
                <w:color w:val="auto"/>
                <w:kern w:val="0"/>
                <w:sz w:val="24"/>
                <w:szCs w:val="32"/>
                <w:highlight w:val="none"/>
                <w:lang w:val="en-US" w:eastAsia="zh-CN"/>
              </w:rPr>
              <w:t>，单独排向市政污水处理厂的生活污水不要求开展自行监测。本项目仅生活污水，故不对本项目生活污水排放开展自行监测要求。</w:t>
            </w:r>
          </w:p>
          <w:p w14:paraId="180050D3">
            <w:pPr>
              <w:pStyle w:val="7"/>
              <w:ind w:firstLine="482"/>
              <w:rPr>
                <w:b/>
                <w:bCs/>
                <w:color w:val="auto"/>
                <w:highlight w:val="none"/>
              </w:rPr>
            </w:pPr>
            <w:r>
              <w:rPr>
                <w:b/>
                <w:bCs/>
                <w:color w:val="auto"/>
                <w:highlight w:val="none"/>
              </w:rPr>
              <w:t>三、噪声</w:t>
            </w:r>
          </w:p>
          <w:p w14:paraId="739E299E">
            <w:pPr>
              <w:pStyle w:val="7"/>
              <w:ind w:firstLine="482"/>
              <w:rPr>
                <w:b/>
                <w:bCs/>
                <w:color w:val="auto"/>
                <w:highlight w:val="none"/>
              </w:rPr>
            </w:pPr>
            <w:r>
              <w:rPr>
                <w:b/>
                <w:bCs/>
                <w:color w:val="auto"/>
                <w:highlight w:val="none"/>
              </w:rPr>
              <w:t>1、</w:t>
            </w:r>
            <w:r>
              <w:rPr>
                <w:rFonts w:hint="eastAsia"/>
                <w:b/>
                <w:bCs/>
                <w:color w:val="auto"/>
                <w:highlight w:val="none"/>
              </w:rPr>
              <w:t>噪声源强分析</w:t>
            </w:r>
          </w:p>
          <w:p w14:paraId="0EF77116">
            <w:pPr>
              <w:pStyle w:val="7"/>
              <w:ind w:firstLine="480"/>
              <w:rPr>
                <w:rFonts w:hint="eastAsia"/>
                <w:color w:val="auto"/>
                <w:highlight w:val="none"/>
              </w:rPr>
            </w:pPr>
            <w:r>
              <w:rPr>
                <w:color w:val="auto"/>
                <w:highlight w:val="none"/>
              </w:rPr>
              <w:t>本项目</w:t>
            </w:r>
            <w:r>
              <w:rPr>
                <w:rFonts w:hint="eastAsia"/>
                <w:color w:val="auto"/>
                <w:highlight w:val="none"/>
                <w:lang w:val="en-US" w:eastAsia="zh-CN"/>
              </w:rPr>
              <w:t>运营期</w:t>
            </w:r>
            <w:r>
              <w:rPr>
                <w:color w:val="auto"/>
                <w:highlight w:val="none"/>
              </w:rPr>
              <w:t>噪声源</w:t>
            </w:r>
            <w:r>
              <w:rPr>
                <w:rFonts w:hint="eastAsia"/>
                <w:color w:val="auto"/>
                <w:highlight w:val="none"/>
              </w:rPr>
              <w:t>主要</w:t>
            </w:r>
            <w:r>
              <w:rPr>
                <w:color w:val="auto"/>
                <w:highlight w:val="none"/>
              </w:rPr>
              <w:t>为</w:t>
            </w:r>
            <w:r>
              <w:rPr>
                <w:rFonts w:hint="eastAsia"/>
                <w:color w:val="auto"/>
                <w:highlight w:val="none"/>
                <w:lang w:val="en-US" w:eastAsia="zh-CN"/>
              </w:rPr>
              <w:t>搅拌罐、</w:t>
            </w:r>
            <w:r>
              <w:rPr>
                <w:rFonts w:hint="eastAsia"/>
                <w:color w:val="auto"/>
                <w:highlight w:val="none"/>
                <w:lang w:val="en-US" w:eastAsia="zh-CN"/>
              </w:rPr>
              <w:t>三维运动混料机</w:t>
            </w:r>
            <w:r>
              <w:rPr>
                <w:rFonts w:hint="eastAsia"/>
                <w:color w:val="auto"/>
                <w:highlight w:val="none"/>
                <w:lang w:val="en-US" w:eastAsia="zh-CN"/>
              </w:rPr>
              <w:t>、热风循环烘箱、高速混合机、球磨机、电阻炉、井式加热炉、空压机、箱式电阻炉、液压机、上料粉尘处理装置（脉冲净化器）、有机废气处理装置</w:t>
            </w:r>
            <w:r>
              <w:rPr>
                <w:rFonts w:hint="eastAsia"/>
                <w:color w:val="auto"/>
                <w:highlight w:val="none"/>
                <w:lang w:val="en-US" w:eastAsia="zh-CN"/>
              </w:rPr>
              <w:t>（包含配套风机）</w:t>
            </w:r>
            <w:r>
              <w:rPr>
                <w:rFonts w:hint="eastAsia"/>
                <w:color w:val="auto"/>
                <w:highlight w:val="none"/>
              </w:rPr>
              <w:t>等，</w:t>
            </w:r>
            <w:r>
              <w:rPr>
                <w:color w:val="auto"/>
                <w:highlight w:val="none"/>
              </w:rPr>
              <w:t>噪声源强在</w:t>
            </w:r>
            <w:r>
              <w:rPr>
                <w:rFonts w:hint="eastAsia"/>
                <w:color w:val="auto"/>
                <w:highlight w:val="none"/>
                <w:lang w:val="en-US" w:eastAsia="zh-CN"/>
              </w:rPr>
              <w:t>70-100</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r>
              <w:rPr>
                <w:rFonts w:hint="eastAsia"/>
                <w:color w:val="auto"/>
                <w:highlight w:val="none"/>
                <w:lang w:eastAsia="zh-CN"/>
              </w:rPr>
              <w:t>，声源性质一般为机械噪声</w:t>
            </w:r>
            <w:r>
              <w:rPr>
                <w:color w:val="auto"/>
                <w:highlight w:val="none"/>
              </w:rPr>
              <w:t>。</w:t>
            </w:r>
            <w:r>
              <w:rPr>
                <w:rFonts w:hint="eastAsia"/>
                <w:color w:val="auto"/>
                <w:highlight w:val="none"/>
                <w:lang w:val="en-US" w:eastAsia="zh-CN"/>
              </w:rPr>
              <w:t>本项目</w:t>
            </w:r>
            <w:r>
              <w:rPr>
                <w:rFonts w:hint="eastAsia"/>
                <w:color w:val="auto"/>
                <w:highlight w:val="none"/>
              </w:rPr>
              <w:t>噪声</w:t>
            </w:r>
            <w:r>
              <w:rPr>
                <w:rFonts w:hint="eastAsia"/>
                <w:color w:val="auto"/>
                <w:highlight w:val="none"/>
                <w:lang w:val="en-US" w:eastAsia="zh-CN"/>
              </w:rPr>
              <w:t>设备</w:t>
            </w:r>
            <w:r>
              <w:rPr>
                <w:color w:val="auto"/>
                <w:highlight w:val="none"/>
              </w:rPr>
              <w:t>均布设在生产车间内</w:t>
            </w:r>
            <w:r>
              <w:rPr>
                <w:rFonts w:hint="eastAsia"/>
                <w:color w:val="auto"/>
                <w:highlight w:val="none"/>
              </w:rPr>
              <w:t>，经过合理布局、增设减振基座、</w:t>
            </w:r>
            <w:r>
              <w:rPr>
                <w:rFonts w:hint="eastAsia"/>
                <w:color w:val="auto"/>
                <w:highlight w:val="none"/>
                <w:lang w:val="en-US" w:eastAsia="zh-CN"/>
              </w:rPr>
              <w:t>消声、</w:t>
            </w:r>
            <w:r>
              <w:rPr>
                <w:rFonts w:hint="eastAsia"/>
                <w:color w:val="auto"/>
                <w:highlight w:val="none"/>
              </w:rPr>
              <w:t>厂房隔声等降噪措施后</w:t>
            </w:r>
            <w:r>
              <w:rPr>
                <w:color w:val="auto"/>
                <w:highlight w:val="none"/>
              </w:rPr>
              <w:t>噪声源强</w:t>
            </w:r>
            <w:r>
              <w:rPr>
                <w:rFonts w:hint="eastAsia"/>
                <w:color w:val="auto"/>
                <w:highlight w:val="none"/>
                <w:lang w:val="en-US" w:eastAsia="zh-CN"/>
              </w:rPr>
              <w:t>见</w:t>
            </w:r>
            <w:r>
              <w:rPr>
                <w:rFonts w:hint="eastAsia"/>
                <w:color w:val="auto"/>
                <w:highlight w:val="none"/>
              </w:rPr>
              <w:t>表</w:t>
            </w:r>
            <w:r>
              <w:rPr>
                <w:rFonts w:hint="eastAsia"/>
                <w:color w:val="auto"/>
                <w:highlight w:val="none"/>
                <w:lang w:val="en-US" w:eastAsia="zh-CN"/>
              </w:rPr>
              <w:t>4-9。</w:t>
            </w:r>
          </w:p>
          <w:p w14:paraId="669C6FAF">
            <w:pPr>
              <w:pStyle w:val="13"/>
              <w:widowControl w:val="0"/>
              <w:numPr>
                <w:ilvl w:val="0"/>
                <w:numId w:val="0"/>
              </w:numPr>
              <w:adjustRightInd w:val="0"/>
              <w:snapToGrid w:val="0"/>
              <w:jc w:val="both"/>
              <w:rPr>
                <w:rFonts w:hint="eastAsia"/>
                <w:color w:val="auto"/>
                <w:highlight w:val="none"/>
              </w:rPr>
            </w:pPr>
          </w:p>
          <w:p w14:paraId="2CBBC2EB">
            <w:pPr>
              <w:pStyle w:val="13"/>
              <w:widowControl w:val="0"/>
              <w:numPr>
                <w:ilvl w:val="0"/>
                <w:numId w:val="0"/>
              </w:numPr>
              <w:adjustRightInd w:val="0"/>
              <w:snapToGrid w:val="0"/>
              <w:jc w:val="both"/>
              <w:rPr>
                <w:rFonts w:hint="eastAsia"/>
                <w:color w:val="auto"/>
                <w:highlight w:val="none"/>
              </w:rPr>
            </w:pPr>
          </w:p>
          <w:p w14:paraId="20722DE6">
            <w:pPr>
              <w:pStyle w:val="13"/>
              <w:widowControl w:val="0"/>
              <w:numPr>
                <w:ilvl w:val="0"/>
                <w:numId w:val="0"/>
              </w:numPr>
              <w:adjustRightInd w:val="0"/>
              <w:snapToGrid w:val="0"/>
              <w:jc w:val="both"/>
              <w:rPr>
                <w:rFonts w:hint="eastAsia"/>
                <w:color w:val="auto"/>
                <w:highlight w:val="none"/>
              </w:rPr>
            </w:pPr>
          </w:p>
          <w:p w14:paraId="3DF41163">
            <w:pPr>
              <w:pStyle w:val="13"/>
              <w:widowControl w:val="0"/>
              <w:numPr>
                <w:ilvl w:val="0"/>
                <w:numId w:val="0"/>
              </w:numPr>
              <w:adjustRightInd w:val="0"/>
              <w:snapToGrid w:val="0"/>
              <w:jc w:val="both"/>
              <w:rPr>
                <w:rFonts w:hint="eastAsia"/>
                <w:color w:val="auto"/>
                <w:highlight w:val="none"/>
              </w:rPr>
            </w:pPr>
          </w:p>
          <w:p w14:paraId="1E144D1F">
            <w:pPr>
              <w:pStyle w:val="13"/>
              <w:widowControl w:val="0"/>
              <w:numPr>
                <w:ilvl w:val="0"/>
                <w:numId w:val="0"/>
              </w:numPr>
              <w:adjustRightInd w:val="0"/>
              <w:snapToGrid w:val="0"/>
              <w:jc w:val="both"/>
              <w:rPr>
                <w:rFonts w:hint="eastAsia"/>
                <w:color w:val="auto"/>
                <w:highlight w:val="none"/>
              </w:rPr>
            </w:pPr>
          </w:p>
          <w:p w14:paraId="109B6743">
            <w:pPr>
              <w:pStyle w:val="13"/>
              <w:widowControl w:val="0"/>
              <w:numPr>
                <w:ilvl w:val="0"/>
                <w:numId w:val="0"/>
              </w:numPr>
              <w:adjustRightInd w:val="0"/>
              <w:snapToGrid w:val="0"/>
              <w:jc w:val="both"/>
              <w:rPr>
                <w:rFonts w:hint="eastAsia"/>
                <w:color w:val="auto"/>
                <w:highlight w:val="none"/>
              </w:rPr>
            </w:pPr>
          </w:p>
        </w:tc>
      </w:tr>
    </w:tbl>
    <w:p w14:paraId="1566EF6D">
      <w:pPr>
        <w:pStyle w:val="7"/>
        <w:ind w:firstLine="562"/>
        <w:rPr>
          <w:rFonts w:hint="eastAsia" w:ascii="宋体" w:cs="宋体"/>
          <w:b/>
          <w:color w:val="auto"/>
          <w:sz w:val="28"/>
          <w:szCs w:val="28"/>
          <w:highlight w:val="none"/>
        </w:rPr>
        <w:sectPr>
          <w:pgSz w:w="11907" w:h="16840"/>
          <w:pgMar w:top="1701" w:right="1531" w:bottom="2127" w:left="1531" w:header="851" w:footer="851" w:gutter="0"/>
          <w:cols w:space="720" w:num="1"/>
          <w:docGrid w:linePitch="312" w:charSpace="0"/>
        </w:sectPr>
      </w:pP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2606"/>
      </w:tblGrid>
      <w:tr w14:paraId="6636D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416" w:hRule="atLeast"/>
          <w:jc w:val="center"/>
        </w:trPr>
        <w:tc>
          <w:tcPr>
            <w:tcW w:w="205" w:type="pct"/>
            <w:noWrap w:val="0"/>
            <w:tcMar>
              <w:left w:w="28" w:type="dxa"/>
              <w:right w:w="28" w:type="dxa"/>
            </w:tcMar>
            <w:vAlign w:val="center"/>
          </w:tcPr>
          <w:p w14:paraId="5296740C">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运营</w:t>
            </w:r>
          </w:p>
          <w:p w14:paraId="009B221C">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期环</w:t>
            </w:r>
          </w:p>
          <w:p w14:paraId="0790E9EF">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境影</w:t>
            </w:r>
          </w:p>
          <w:p w14:paraId="21299AC5">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响和</w:t>
            </w:r>
          </w:p>
          <w:p w14:paraId="790450EE">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保护</w:t>
            </w:r>
          </w:p>
          <w:p w14:paraId="014D0FAB">
            <w:pPr>
              <w:jc w:val="center"/>
              <w:rPr>
                <w:rFonts w:ascii="宋体" w:hAnsi="宋体" w:cs="宋体"/>
                <w:bCs/>
                <w:color w:val="auto"/>
                <w:szCs w:val="21"/>
                <w:highlight w:val="none"/>
              </w:rPr>
            </w:pPr>
            <w:r>
              <w:rPr>
                <w:rFonts w:hint="eastAsia" w:ascii="宋体" w:hAnsi="宋体" w:cs="宋体"/>
                <w:bCs/>
                <w:color w:val="auto"/>
                <w:sz w:val="24"/>
                <w:szCs w:val="24"/>
                <w:highlight w:val="none"/>
              </w:rPr>
              <w:t>措施</w:t>
            </w:r>
          </w:p>
        </w:tc>
        <w:tc>
          <w:tcPr>
            <w:tcW w:w="4794" w:type="pct"/>
            <w:noWrap w:val="0"/>
            <w:vAlign w:val="center"/>
          </w:tcPr>
          <w:p w14:paraId="27053D07">
            <w:pPr>
              <w:jc w:val="center"/>
              <w:rPr>
                <w:b/>
                <w:bCs/>
                <w:color w:val="auto"/>
                <w:sz w:val="32"/>
                <w:szCs w:val="32"/>
                <w:highlight w:val="none"/>
              </w:rPr>
            </w:pPr>
            <w:r>
              <w:rPr>
                <w:b/>
                <w:bCs/>
                <w:color w:val="auto"/>
                <w:sz w:val="24"/>
                <w:szCs w:val="32"/>
                <w:highlight w:val="none"/>
              </w:rPr>
              <w:t>4-</w:t>
            </w:r>
            <w:r>
              <w:rPr>
                <w:rFonts w:hint="eastAsia"/>
                <w:b/>
                <w:bCs/>
                <w:color w:val="auto"/>
                <w:sz w:val="24"/>
                <w:szCs w:val="32"/>
                <w:highlight w:val="none"/>
                <w:lang w:val="en-US" w:eastAsia="zh-CN"/>
              </w:rPr>
              <w:t>9</w:t>
            </w:r>
            <w:r>
              <w:rPr>
                <w:rFonts w:hint="eastAsia"/>
                <w:b/>
                <w:bCs/>
                <w:color w:val="auto"/>
                <w:sz w:val="24"/>
                <w:szCs w:val="32"/>
                <w:highlight w:val="none"/>
              </w:rPr>
              <w:t xml:space="preserve">  </w:t>
            </w:r>
            <w:r>
              <w:rPr>
                <w:b/>
                <w:bCs/>
                <w:color w:val="auto"/>
                <w:sz w:val="24"/>
                <w:szCs w:val="32"/>
                <w:highlight w:val="none"/>
              </w:rPr>
              <w:t>项目室内噪声源强调查清单</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454"/>
              <w:gridCol w:w="1458"/>
              <w:gridCol w:w="955"/>
              <w:gridCol w:w="531"/>
              <w:gridCol w:w="672"/>
              <w:gridCol w:w="727"/>
              <w:gridCol w:w="677"/>
              <w:gridCol w:w="950"/>
              <w:gridCol w:w="846"/>
              <w:gridCol w:w="719"/>
              <w:gridCol w:w="950"/>
              <w:gridCol w:w="821"/>
              <w:gridCol w:w="950"/>
              <w:gridCol w:w="950"/>
              <w:gridCol w:w="730"/>
            </w:tblGrid>
            <w:tr w14:paraId="313E2E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restart"/>
                  <w:noWrap w:val="0"/>
                  <w:vAlign w:val="center"/>
                </w:tcPr>
                <w:p w14:paraId="4892E24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建筑物名称</w:t>
                  </w:r>
                </w:p>
              </w:tc>
              <w:tc>
                <w:tcPr>
                  <w:tcW w:w="588" w:type="pct"/>
                  <w:vMerge w:val="restart"/>
                  <w:noWrap w:val="0"/>
                  <w:vAlign w:val="center"/>
                </w:tcPr>
                <w:p w14:paraId="06C9A22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主要噪声源</w:t>
                  </w:r>
                </w:p>
              </w:tc>
              <w:tc>
                <w:tcPr>
                  <w:tcW w:w="385" w:type="pct"/>
                  <w:vMerge w:val="restart"/>
                  <w:noWrap w:val="0"/>
                  <w:vAlign w:val="center"/>
                </w:tcPr>
                <w:p w14:paraId="102619B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声源类型</w:t>
                  </w:r>
                </w:p>
              </w:tc>
              <w:tc>
                <w:tcPr>
                  <w:tcW w:w="214" w:type="pct"/>
                  <w:vMerge w:val="restart"/>
                  <w:noWrap w:val="0"/>
                  <w:vAlign w:val="center"/>
                </w:tcPr>
                <w:p w14:paraId="4DCE086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数量</w:t>
                  </w:r>
                </w:p>
              </w:tc>
              <w:tc>
                <w:tcPr>
                  <w:tcW w:w="837" w:type="pct"/>
                  <w:gridSpan w:val="3"/>
                  <w:noWrap w:val="0"/>
                  <w:vAlign w:val="center"/>
                </w:tcPr>
                <w:p w14:paraId="2DCD889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位置坐标</w:t>
                  </w:r>
                </w:p>
              </w:tc>
              <w:tc>
                <w:tcPr>
                  <w:tcW w:w="383" w:type="pct"/>
                  <w:vMerge w:val="restart"/>
                  <w:noWrap w:val="0"/>
                  <w:vAlign w:val="center"/>
                </w:tcPr>
                <w:p w14:paraId="56EA950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声功率级/dB(A)</w:t>
                  </w:r>
                </w:p>
              </w:tc>
              <w:tc>
                <w:tcPr>
                  <w:tcW w:w="341" w:type="pct"/>
                  <w:vMerge w:val="restart"/>
                  <w:noWrap w:val="0"/>
                  <w:vAlign w:val="center"/>
                </w:tcPr>
                <w:p w14:paraId="6E45FDE0">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降噪措施</w:t>
                  </w:r>
                </w:p>
              </w:tc>
              <w:tc>
                <w:tcPr>
                  <w:tcW w:w="290" w:type="pct"/>
                  <w:vMerge w:val="restart"/>
                  <w:noWrap w:val="0"/>
                  <w:vAlign w:val="center"/>
                </w:tcPr>
                <w:p w14:paraId="56C1FB2E">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距室内边界距离/m</w:t>
                  </w:r>
                </w:p>
              </w:tc>
              <w:tc>
                <w:tcPr>
                  <w:tcW w:w="383" w:type="pct"/>
                  <w:vMerge w:val="restart"/>
                  <w:noWrap w:val="0"/>
                  <w:vAlign w:val="center"/>
                </w:tcPr>
                <w:p w14:paraId="3C39580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室内边界声级/dB(A)</w:t>
                  </w:r>
                </w:p>
              </w:tc>
              <w:tc>
                <w:tcPr>
                  <w:tcW w:w="331" w:type="pct"/>
                  <w:vMerge w:val="restart"/>
                  <w:noWrap w:val="0"/>
                  <w:vAlign w:val="center"/>
                </w:tcPr>
                <w:p w14:paraId="6CD99448">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运行时间</w:t>
                  </w:r>
                </w:p>
              </w:tc>
              <w:tc>
                <w:tcPr>
                  <w:tcW w:w="383" w:type="pct"/>
                  <w:vMerge w:val="restart"/>
                  <w:noWrap w:val="0"/>
                  <w:vAlign w:val="center"/>
                </w:tcPr>
                <w:p w14:paraId="1957E07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建筑物插入损失/dB(A)</w:t>
                  </w:r>
                </w:p>
              </w:tc>
              <w:tc>
                <w:tcPr>
                  <w:tcW w:w="677" w:type="pct"/>
                  <w:gridSpan w:val="2"/>
                  <w:noWrap w:val="0"/>
                  <w:vAlign w:val="center"/>
                </w:tcPr>
                <w:p w14:paraId="062C1AE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建筑物外噪声</w:t>
                  </w:r>
                </w:p>
              </w:tc>
            </w:tr>
            <w:tr w14:paraId="1F3492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5A2C62F8">
                  <w:pPr>
                    <w:widowControl/>
                    <w:jc w:val="left"/>
                    <w:rPr>
                      <w:rFonts w:hint="default" w:ascii="Times New Roman" w:hAnsi="Times New Roman" w:cs="Times New Roman"/>
                      <w:b/>
                      <w:bCs/>
                      <w:color w:val="auto"/>
                      <w:szCs w:val="21"/>
                      <w:highlight w:val="none"/>
                    </w:rPr>
                  </w:pPr>
                </w:p>
              </w:tc>
              <w:tc>
                <w:tcPr>
                  <w:tcW w:w="588" w:type="pct"/>
                  <w:vMerge w:val="continue"/>
                  <w:noWrap w:val="0"/>
                  <w:vAlign w:val="center"/>
                </w:tcPr>
                <w:p w14:paraId="581D9B2D">
                  <w:pPr>
                    <w:widowControl/>
                    <w:jc w:val="left"/>
                    <w:rPr>
                      <w:rFonts w:hint="default" w:ascii="Times New Roman" w:hAnsi="Times New Roman" w:cs="Times New Roman"/>
                      <w:b/>
                      <w:bCs/>
                      <w:color w:val="auto"/>
                      <w:szCs w:val="21"/>
                      <w:highlight w:val="none"/>
                    </w:rPr>
                  </w:pPr>
                </w:p>
              </w:tc>
              <w:tc>
                <w:tcPr>
                  <w:tcW w:w="385" w:type="pct"/>
                  <w:vMerge w:val="continue"/>
                  <w:noWrap w:val="0"/>
                  <w:vAlign w:val="center"/>
                </w:tcPr>
                <w:p w14:paraId="778E2570">
                  <w:pPr>
                    <w:widowControl/>
                    <w:jc w:val="left"/>
                    <w:rPr>
                      <w:rFonts w:hint="default" w:ascii="Times New Roman" w:hAnsi="Times New Roman" w:cs="Times New Roman"/>
                      <w:b/>
                      <w:bCs/>
                      <w:color w:val="auto"/>
                      <w:szCs w:val="21"/>
                      <w:highlight w:val="none"/>
                    </w:rPr>
                  </w:pPr>
                </w:p>
              </w:tc>
              <w:tc>
                <w:tcPr>
                  <w:tcW w:w="214" w:type="pct"/>
                  <w:vMerge w:val="continue"/>
                  <w:noWrap w:val="0"/>
                  <w:vAlign w:val="center"/>
                </w:tcPr>
                <w:p w14:paraId="2029482D">
                  <w:pPr>
                    <w:widowControl/>
                    <w:jc w:val="left"/>
                    <w:rPr>
                      <w:rFonts w:hint="default" w:ascii="Times New Roman" w:hAnsi="Times New Roman" w:cs="Times New Roman"/>
                      <w:b/>
                      <w:bCs/>
                      <w:color w:val="auto"/>
                      <w:szCs w:val="21"/>
                      <w:highlight w:val="none"/>
                    </w:rPr>
                  </w:pPr>
                </w:p>
              </w:tc>
              <w:tc>
                <w:tcPr>
                  <w:tcW w:w="271" w:type="pct"/>
                  <w:noWrap w:val="0"/>
                  <w:vAlign w:val="center"/>
                </w:tcPr>
                <w:p w14:paraId="4B7D56E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X</w:t>
                  </w:r>
                </w:p>
              </w:tc>
              <w:tc>
                <w:tcPr>
                  <w:tcW w:w="293" w:type="pct"/>
                  <w:noWrap w:val="0"/>
                  <w:vAlign w:val="center"/>
                </w:tcPr>
                <w:p w14:paraId="1CB0BE9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Y</w:t>
                  </w:r>
                </w:p>
              </w:tc>
              <w:tc>
                <w:tcPr>
                  <w:tcW w:w="273" w:type="pct"/>
                  <w:noWrap w:val="0"/>
                  <w:vAlign w:val="center"/>
                </w:tcPr>
                <w:p w14:paraId="69E35F6D">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Z</w:t>
                  </w:r>
                </w:p>
              </w:tc>
              <w:tc>
                <w:tcPr>
                  <w:tcW w:w="383" w:type="pct"/>
                  <w:vMerge w:val="continue"/>
                  <w:noWrap w:val="0"/>
                  <w:vAlign w:val="center"/>
                </w:tcPr>
                <w:p w14:paraId="7808B51D">
                  <w:pPr>
                    <w:widowControl/>
                    <w:jc w:val="left"/>
                    <w:rPr>
                      <w:rFonts w:hint="default" w:ascii="Times New Roman" w:hAnsi="Times New Roman" w:cs="Times New Roman"/>
                      <w:b/>
                      <w:bCs/>
                      <w:color w:val="auto"/>
                      <w:szCs w:val="21"/>
                      <w:highlight w:val="none"/>
                    </w:rPr>
                  </w:pPr>
                </w:p>
              </w:tc>
              <w:tc>
                <w:tcPr>
                  <w:tcW w:w="341" w:type="pct"/>
                  <w:vMerge w:val="continue"/>
                  <w:noWrap w:val="0"/>
                  <w:vAlign w:val="center"/>
                </w:tcPr>
                <w:p w14:paraId="3FD8535A">
                  <w:pPr>
                    <w:widowControl/>
                    <w:jc w:val="left"/>
                    <w:rPr>
                      <w:rFonts w:hint="default" w:ascii="Times New Roman" w:hAnsi="Times New Roman" w:cs="Times New Roman"/>
                      <w:b/>
                      <w:bCs/>
                      <w:color w:val="auto"/>
                      <w:szCs w:val="21"/>
                      <w:highlight w:val="none"/>
                    </w:rPr>
                  </w:pPr>
                </w:p>
              </w:tc>
              <w:tc>
                <w:tcPr>
                  <w:tcW w:w="290" w:type="pct"/>
                  <w:vMerge w:val="continue"/>
                  <w:noWrap w:val="0"/>
                  <w:vAlign w:val="center"/>
                </w:tcPr>
                <w:p w14:paraId="36B43D03">
                  <w:pPr>
                    <w:widowControl/>
                    <w:jc w:val="left"/>
                    <w:rPr>
                      <w:rFonts w:hint="default" w:ascii="Times New Roman" w:hAnsi="Times New Roman" w:cs="Times New Roman"/>
                      <w:b/>
                      <w:bCs/>
                      <w:color w:val="auto"/>
                      <w:szCs w:val="21"/>
                      <w:highlight w:val="none"/>
                    </w:rPr>
                  </w:pPr>
                </w:p>
              </w:tc>
              <w:tc>
                <w:tcPr>
                  <w:tcW w:w="383" w:type="pct"/>
                  <w:vMerge w:val="continue"/>
                  <w:noWrap w:val="0"/>
                  <w:vAlign w:val="center"/>
                </w:tcPr>
                <w:p w14:paraId="5974D3F3">
                  <w:pPr>
                    <w:widowControl/>
                    <w:jc w:val="left"/>
                    <w:rPr>
                      <w:rFonts w:hint="default" w:ascii="Times New Roman" w:hAnsi="Times New Roman" w:cs="Times New Roman"/>
                      <w:b/>
                      <w:bCs/>
                      <w:color w:val="auto"/>
                      <w:szCs w:val="21"/>
                      <w:highlight w:val="none"/>
                    </w:rPr>
                  </w:pPr>
                </w:p>
              </w:tc>
              <w:tc>
                <w:tcPr>
                  <w:tcW w:w="331" w:type="pct"/>
                  <w:vMerge w:val="continue"/>
                  <w:noWrap w:val="0"/>
                  <w:vAlign w:val="center"/>
                </w:tcPr>
                <w:p w14:paraId="63FC5A2E">
                  <w:pPr>
                    <w:widowControl/>
                    <w:jc w:val="left"/>
                    <w:rPr>
                      <w:rFonts w:hint="default" w:ascii="Times New Roman" w:hAnsi="Times New Roman" w:cs="Times New Roman"/>
                      <w:b/>
                      <w:bCs/>
                      <w:color w:val="auto"/>
                      <w:szCs w:val="21"/>
                      <w:highlight w:val="none"/>
                    </w:rPr>
                  </w:pPr>
                </w:p>
              </w:tc>
              <w:tc>
                <w:tcPr>
                  <w:tcW w:w="383" w:type="pct"/>
                  <w:vMerge w:val="continue"/>
                  <w:noWrap w:val="0"/>
                  <w:vAlign w:val="center"/>
                </w:tcPr>
                <w:p w14:paraId="4128708D">
                  <w:pPr>
                    <w:widowControl/>
                    <w:jc w:val="left"/>
                    <w:rPr>
                      <w:rFonts w:hint="default" w:ascii="Times New Roman" w:hAnsi="Times New Roman" w:cs="Times New Roman"/>
                      <w:b/>
                      <w:bCs/>
                      <w:color w:val="auto"/>
                      <w:szCs w:val="21"/>
                      <w:highlight w:val="none"/>
                    </w:rPr>
                  </w:pPr>
                </w:p>
              </w:tc>
              <w:tc>
                <w:tcPr>
                  <w:tcW w:w="383" w:type="pct"/>
                  <w:noWrap w:val="0"/>
                  <w:vAlign w:val="center"/>
                </w:tcPr>
                <w:p w14:paraId="6C21FD11">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声压级/dB(A)</w:t>
                  </w:r>
                </w:p>
              </w:tc>
              <w:tc>
                <w:tcPr>
                  <w:tcW w:w="294" w:type="pct"/>
                  <w:noWrap w:val="0"/>
                  <w:vAlign w:val="center"/>
                </w:tcPr>
                <w:p w14:paraId="77040AC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建筑物外距离</w:t>
                  </w:r>
                </w:p>
              </w:tc>
            </w:tr>
            <w:tr w14:paraId="1969FB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restart"/>
                  <w:noWrap w:val="0"/>
                  <w:vAlign w:val="center"/>
                </w:tcPr>
                <w:p w14:paraId="294E0FF0">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生产车间</w:t>
                  </w:r>
                </w:p>
              </w:tc>
              <w:tc>
                <w:tcPr>
                  <w:tcW w:w="588" w:type="pct"/>
                  <w:noWrap w:val="0"/>
                  <w:vAlign w:val="center"/>
                </w:tcPr>
                <w:p w14:paraId="6442AD19">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搅拌罐</w:t>
                  </w:r>
                </w:p>
              </w:tc>
              <w:tc>
                <w:tcPr>
                  <w:tcW w:w="385" w:type="pct"/>
                  <w:noWrap w:val="0"/>
                  <w:vAlign w:val="center"/>
                </w:tcPr>
                <w:p w14:paraId="5A6D579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4DE9027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6C361912">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93" w:type="pct"/>
                  <w:noWrap w:val="0"/>
                  <w:vAlign w:val="center"/>
                </w:tcPr>
                <w:p w14:paraId="01D57A9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26E747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4C576A2">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w:t>
                  </w:r>
                </w:p>
              </w:tc>
              <w:tc>
                <w:tcPr>
                  <w:tcW w:w="341" w:type="pct"/>
                  <w:vMerge w:val="restart"/>
                  <w:noWrap w:val="0"/>
                  <w:vAlign w:val="center"/>
                </w:tcPr>
                <w:p w14:paraId="69B94B5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基础减振、厂房隔声</w:t>
                  </w:r>
                </w:p>
              </w:tc>
              <w:tc>
                <w:tcPr>
                  <w:tcW w:w="290" w:type="pct"/>
                  <w:noWrap w:val="0"/>
                  <w:vAlign w:val="center"/>
                </w:tcPr>
                <w:p w14:paraId="2BBC8809">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01C18E9B">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31" w:type="pct"/>
                  <w:noWrap w:val="0"/>
                  <w:vAlign w:val="center"/>
                </w:tcPr>
                <w:p w14:paraId="3F4BA0F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7E60083F">
                  <w:pPr>
                    <w:widowControl/>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eastAsia" w:cs="Times New Roman"/>
                      <w:color w:val="auto"/>
                      <w:szCs w:val="21"/>
                      <w:highlight w:val="none"/>
                      <w:lang w:val="en-US" w:eastAsia="zh-CN"/>
                    </w:rPr>
                    <w:t>1</w:t>
                  </w:r>
                </w:p>
              </w:tc>
              <w:tc>
                <w:tcPr>
                  <w:tcW w:w="950" w:type="dxa"/>
                  <w:noWrap w:val="0"/>
                  <w:vAlign w:val="center"/>
                </w:tcPr>
                <w:p w14:paraId="6AA6988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294" w:type="pct"/>
                  <w:noWrap w:val="0"/>
                  <w:vAlign w:val="center"/>
                </w:tcPr>
                <w:p w14:paraId="7D8C666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2DEFE1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29A55105">
                  <w:pPr>
                    <w:widowControl/>
                    <w:jc w:val="center"/>
                    <w:rPr>
                      <w:rFonts w:hint="default" w:ascii="Times New Roman" w:hAnsi="Times New Roman" w:cs="Times New Roman"/>
                      <w:color w:val="auto"/>
                      <w:szCs w:val="21"/>
                      <w:highlight w:val="none"/>
                    </w:rPr>
                  </w:pPr>
                </w:p>
              </w:tc>
              <w:tc>
                <w:tcPr>
                  <w:tcW w:w="588" w:type="pct"/>
                  <w:noWrap w:val="0"/>
                  <w:vAlign w:val="center"/>
                </w:tcPr>
                <w:p w14:paraId="33B06F47">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三维运动混料机</w:t>
                  </w:r>
                  <w:r>
                    <w:rPr>
                      <w:rFonts w:hint="default" w:ascii="Times New Roman" w:hAnsi="Times New Roman" w:cs="Times New Roman"/>
                      <w:color w:val="auto"/>
                      <w:szCs w:val="21"/>
                      <w:highlight w:val="none"/>
                      <w:lang w:val="en-US" w:eastAsia="zh-CN"/>
                    </w:rPr>
                    <w:t>1#</w:t>
                  </w:r>
                </w:p>
              </w:tc>
              <w:tc>
                <w:tcPr>
                  <w:tcW w:w="385" w:type="pct"/>
                  <w:noWrap w:val="0"/>
                  <w:vAlign w:val="center"/>
                </w:tcPr>
                <w:p w14:paraId="2246737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50CB700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452A078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w:t>
                  </w:r>
                </w:p>
              </w:tc>
              <w:tc>
                <w:tcPr>
                  <w:tcW w:w="293" w:type="pct"/>
                  <w:noWrap w:val="0"/>
                  <w:vAlign w:val="center"/>
                </w:tcPr>
                <w:p w14:paraId="0B8FD3D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25FBC00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18B7FAD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w:t>
                  </w:r>
                </w:p>
              </w:tc>
              <w:tc>
                <w:tcPr>
                  <w:tcW w:w="341" w:type="pct"/>
                  <w:vMerge w:val="continue"/>
                  <w:noWrap w:val="0"/>
                  <w:vAlign w:val="center"/>
                </w:tcPr>
                <w:p w14:paraId="4A6BD316">
                  <w:pPr>
                    <w:widowControl/>
                    <w:jc w:val="center"/>
                    <w:rPr>
                      <w:rFonts w:hint="default" w:ascii="Times New Roman" w:hAnsi="Times New Roman" w:cs="Times New Roman"/>
                      <w:color w:val="auto"/>
                      <w:szCs w:val="21"/>
                      <w:highlight w:val="none"/>
                    </w:rPr>
                  </w:pPr>
                </w:p>
              </w:tc>
              <w:tc>
                <w:tcPr>
                  <w:tcW w:w="290" w:type="pct"/>
                  <w:noWrap w:val="0"/>
                  <w:vAlign w:val="center"/>
                </w:tcPr>
                <w:p w14:paraId="3BADBFF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0ED812B1">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31" w:type="pct"/>
                  <w:noWrap w:val="0"/>
                  <w:vAlign w:val="center"/>
                </w:tcPr>
                <w:p w14:paraId="5333B4D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19D4CF9D">
                  <w:pPr>
                    <w:widowControl/>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21</w:t>
                  </w:r>
                </w:p>
              </w:tc>
              <w:tc>
                <w:tcPr>
                  <w:tcW w:w="950" w:type="dxa"/>
                  <w:noWrap w:val="0"/>
                  <w:vAlign w:val="center"/>
                </w:tcPr>
                <w:p w14:paraId="7E037A55">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294" w:type="pct"/>
                  <w:noWrap w:val="0"/>
                  <w:vAlign w:val="center"/>
                </w:tcPr>
                <w:p w14:paraId="1A98153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1E0D34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6A4AFEFC">
                  <w:pPr>
                    <w:widowControl/>
                    <w:jc w:val="center"/>
                    <w:rPr>
                      <w:rFonts w:hint="default" w:ascii="Times New Roman" w:hAnsi="Times New Roman" w:cs="Times New Roman"/>
                      <w:color w:val="auto"/>
                      <w:szCs w:val="21"/>
                      <w:highlight w:val="none"/>
                    </w:rPr>
                  </w:pPr>
                </w:p>
              </w:tc>
              <w:tc>
                <w:tcPr>
                  <w:tcW w:w="588" w:type="pct"/>
                  <w:noWrap w:val="0"/>
                  <w:vAlign w:val="center"/>
                </w:tcPr>
                <w:p w14:paraId="1A1EDC8B">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三维运动混料机</w:t>
                  </w:r>
                  <w:r>
                    <w:rPr>
                      <w:rFonts w:hint="default" w:ascii="Times New Roman" w:hAnsi="Times New Roman" w:cs="Times New Roman"/>
                      <w:color w:val="auto"/>
                      <w:szCs w:val="21"/>
                      <w:highlight w:val="none"/>
                      <w:lang w:val="en-US" w:eastAsia="zh-CN"/>
                    </w:rPr>
                    <w:t>2#</w:t>
                  </w:r>
                </w:p>
              </w:tc>
              <w:tc>
                <w:tcPr>
                  <w:tcW w:w="385" w:type="pct"/>
                  <w:noWrap w:val="0"/>
                  <w:vAlign w:val="center"/>
                </w:tcPr>
                <w:p w14:paraId="5FCB794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02DECED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0E89091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25</w:t>
                  </w:r>
                </w:p>
              </w:tc>
              <w:tc>
                <w:tcPr>
                  <w:tcW w:w="293" w:type="pct"/>
                  <w:noWrap w:val="0"/>
                  <w:vAlign w:val="center"/>
                </w:tcPr>
                <w:p w14:paraId="150F574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6FAD85C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6869CEC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w:t>
                  </w:r>
                </w:p>
              </w:tc>
              <w:tc>
                <w:tcPr>
                  <w:tcW w:w="341" w:type="pct"/>
                  <w:vMerge w:val="continue"/>
                  <w:noWrap w:val="0"/>
                  <w:vAlign w:val="center"/>
                </w:tcPr>
                <w:p w14:paraId="3555CF33">
                  <w:pPr>
                    <w:widowControl/>
                    <w:jc w:val="center"/>
                    <w:rPr>
                      <w:rFonts w:hint="default" w:ascii="Times New Roman" w:hAnsi="Times New Roman" w:cs="Times New Roman"/>
                      <w:color w:val="auto"/>
                      <w:szCs w:val="21"/>
                      <w:highlight w:val="none"/>
                    </w:rPr>
                  </w:pPr>
                </w:p>
              </w:tc>
              <w:tc>
                <w:tcPr>
                  <w:tcW w:w="290" w:type="pct"/>
                  <w:noWrap w:val="0"/>
                  <w:vAlign w:val="center"/>
                </w:tcPr>
                <w:p w14:paraId="7E93CEC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183618F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31" w:type="pct"/>
                  <w:noWrap w:val="0"/>
                  <w:vAlign w:val="center"/>
                </w:tcPr>
                <w:p w14:paraId="081386D5">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9A57349">
                  <w:pPr>
                    <w:widowControl/>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21</w:t>
                  </w:r>
                </w:p>
              </w:tc>
              <w:tc>
                <w:tcPr>
                  <w:tcW w:w="950" w:type="dxa"/>
                  <w:noWrap w:val="0"/>
                  <w:vAlign w:val="center"/>
                </w:tcPr>
                <w:p w14:paraId="6795AEB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294" w:type="pct"/>
                  <w:noWrap w:val="0"/>
                  <w:vAlign w:val="center"/>
                </w:tcPr>
                <w:p w14:paraId="4DA0C12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0360C14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67D83B93">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3A535CF8">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热风循环烘箱</w:t>
                  </w:r>
                </w:p>
              </w:tc>
              <w:tc>
                <w:tcPr>
                  <w:tcW w:w="385" w:type="pct"/>
                  <w:noWrap w:val="0"/>
                  <w:vAlign w:val="center"/>
                </w:tcPr>
                <w:p w14:paraId="74D7AB6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5FF0954E">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5405C1E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31</w:t>
                  </w:r>
                </w:p>
              </w:tc>
              <w:tc>
                <w:tcPr>
                  <w:tcW w:w="293" w:type="pct"/>
                  <w:noWrap w:val="0"/>
                  <w:vAlign w:val="center"/>
                </w:tcPr>
                <w:p w14:paraId="2AD4E81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73" w:type="pct"/>
                  <w:noWrap w:val="0"/>
                  <w:vAlign w:val="center"/>
                </w:tcPr>
                <w:p w14:paraId="756D43C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42BD6F9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80</w:t>
                  </w:r>
                </w:p>
              </w:tc>
              <w:tc>
                <w:tcPr>
                  <w:tcW w:w="341" w:type="pct"/>
                  <w:vMerge w:val="continue"/>
                  <w:noWrap w:val="0"/>
                  <w:vAlign w:val="center"/>
                </w:tcPr>
                <w:p w14:paraId="742565A4">
                  <w:pPr>
                    <w:widowControl/>
                    <w:jc w:val="center"/>
                    <w:rPr>
                      <w:rFonts w:hint="default" w:ascii="Times New Roman" w:hAnsi="Times New Roman" w:cs="Times New Roman"/>
                      <w:color w:val="auto"/>
                      <w:szCs w:val="21"/>
                      <w:highlight w:val="none"/>
                    </w:rPr>
                  </w:pPr>
                </w:p>
              </w:tc>
              <w:tc>
                <w:tcPr>
                  <w:tcW w:w="290" w:type="pct"/>
                  <w:noWrap w:val="0"/>
                  <w:vAlign w:val="center"/>
                </w:tcPr>
                <w:p w14:paraId="76A6AF7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950" w:type="dxa"/>
                  <w:noWrap w:val="0"/>
                  <w:vAlign w:val="center"/>
                </w:tcPr>
                <w:p w14:paraId="0D147CAF">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331" w:type="pct"/>
                  <w:noWrap w:val="0"/>
                  <w:vAlign w:val="center"/>
                </w:tcPr>
                <w:p w14:paraId="5E212606">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7AD4984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3715244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294" w:type="pct"/>
                  <w:noWrap w:val="0"/>
                  <w:vAlign w:val="center"/>
                </w:tcPr>
                <w:p w14:paraId="2BF55D2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79AB21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51AE1169">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7464378D">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高速混合机</w:t>
                  </w:r>
                </w:p>
              </w:tc>
              <w:tc>
                <w:tcPr>
                  <w:tcW w:w="385" w:type="pct"/>
                  <w:noWrap w:val="0"/>
                  <w:vAlign w:val="center"/>
                </w:tcPr>
                <w:p w14:paraId="2B74AF3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314FD073">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65ACEF4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34</w:t>
                  </w:r>
                </w:p>
              </w:tc>
              <w:tc>
                <w:tcPr>
                  <w:tcW w:w="293" w:type="pct"/>
                  <w:noWrap w:val="0"/>
                  <w:vAlign w:val="center"/>
                </w:tcPr>
                <w:p w14:paraId="0F2FD71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3E9EE8D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A637ED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90</w:t>
                  </w:r>
                </w:p>
              </w:tc>
              <w:tc>
                <w:tcPr>
                  <w:tcW w:w="341" w:type="pct"/>
                  <w:vMerge w:val="continue"/>
                  <w:noWrap w:val="0"/>
                  <w:vAlign w:val="center"/>
                </w:tcPr>
                <w:p w14:paraId="121EFDAE">
                  <w:pPr>
                    <w:widowControl/>
                    <w:jc w:val="center"/>
                    <w:rPr>
                      <w:rFonts w:hint="default" w:ascii="Times New Roman" w:hAnsi="Times New Roman" w:cs="Times New Roman"/>
                      <w:color w:val="auto"/>
                      <w:szCs w:val="21"/>
                      <w:highlight w:val="none"/>
                    </w:rPr>
                  </w:pPr>
                </w:p>
              </w:tc>
              <w:tc>
                <w:tcPr>
                  <w:tcW w:w="290" w:type="pct"/>
                  <w:noWrap w:val="0"/>
                  <w:vAlign w:val="center"/>
                </w:tcPr>
                <w:p w14:paraId="3371A15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6AA8051C">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331" w:type="pct"/>
                  <w:noWrap w:val="0"/>
                  <w:vAlign w:val="center"/>
                </w:tcPr>
                <w:p w14:paraId="53AE395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3F3A15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09043FF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294" w:type="pct"/>
                  <w:noWrap w:val="0"/>
                  <w:vAlign w:val="center"/>
                </w:tcPr>
                <w:p w14:paraId="5FDC132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5660ED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1EBCD2DE">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72DBEFEF">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球磨机</w:t>
                  </w:r>
                </w:p>
              </w:tc>
              <w:tc>
                <w:tcPr>
                  <w:tcW w:w="385" w:type="pct"/>
                  <w:noWrap w:val="0"/>
                  <w:vAlign w:val="center"/>
                </w:tcPr>
                <w:p w14:paraId="689BFB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0A05DA6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441216D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23</w:t>
                  </w:r>
                </w:p>
              </w:tc>
              <w:tc>
                <w:tcPr>
                  <w:tcW w:w="293" w:type="pct"/>
                  <w:noWrap w:val="0"/>
                  <w:vAlign w:val="center"/>
                </w:tcPr>
                <w:p w14:paraId="3EC2129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w:t>
                  </w:r>
                </w:p>
              </w:tc>
              <w:tc>
                <w:tcPr>
                  <w:tcW w:w="273" w:type="pct"/>
                  <w:noWrap w:val="0"/>
                  <w:vAlign w:val="center"/>
                </w:tcPr>
                <w:p w14:paraId="6EA66C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B5B0BD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90</w:t>
                  </w:r>
                </w:p>
              </w:tc>
              <w:tc>
                <w:tcPr>
                  <w:tcW w:w="341" w:type="pct"/>
                  <w:vMerge w:val="continue"/>
                  <w:noWrap w:val="0"/>
                  <w:vAlign w:val="center"/>
                </w:tcPr>
                <w:p w14:paraId="2DDB880D">
                  <w:pPr>
                    <w:widowControl/>
                    <w:jc w:val="center"/>
                    <w:rPr>
                      <w:rFonts w:hint="default" w:ascii="Times New Roman" w:hAnsi="Times New Roman" w:cs="Times New Roman"/>
                      <w:color w:val="auto"/>
                      <w:szCs w:val="21"/>
                      <w:highlight w:val="none"/>
                    </w:rPr>
                  </w:pPr>
                </w:p>
              </w:tc>
              <w:tc>
                <w:tcPr>
                  <w:tcW w:w="290" w:type="pct"/>
                  <w:noWrap w:val="0"/>
                  <w:vAlign w:val="center"/>
                </w:tcPr>
                <w:p w14:paraId="1DCE47C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w:t>
                  </w:r>
                </w:p>
              </w:tc>
              <w:tc>
                <w:tcPr>
                  <w:tcW w:w="950" w:type="dxa"/>
                  <w:noWrap w:val="0"/>
                  <w:vAlign w:val="center"/>
                </w:tcPr>
                <w:p w14:paraId="36E0EEF2">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331" w:type="pct"/>
                  <w:noWrap w:val="0"/>
                  <w:vAlign w:val="center"/>
                </w:tcPr>
                <w:p w14:paraId="7715820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0327377E">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6670A73C">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294" w:type="pct"/>
                  <w:noWrap w:val="0"/>
                  <w:vAlign w:val="center"/>
                </w:tcPr>
                <w:p w14:paraId="2BB1AD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42C476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4FC2B9E9">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2F6F931A">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电阻炉</w:t>
                  </w:r>
                  <w:r>
                    <w:rPr>
                      <w:rFonts w:hint="eastAsia" w:ascii="Times New Roman" w:hAnsi="Times New Roman" w:cs="Times New Roman"/>
                      <w:color w:val="auto"/>
                      <w:szCs w:val="21"/>
                      <w:highlight w:val="none"/>
                      <w:lang w:val="en-US" w:eastAsia="zh-CN"/>
                    </w:rPr>
                    <w:t>1#</w:t>
                  </w:r>
                </w:p>
              </w:tc>
              <w:tc>
                <w:tcPr>
                  <w:tcW w:w="385" w:type="pct"/>
                  <w:noWrap w:val="0"/>
                  <w:vAlign w:val="center"/>
                </w:tcPr>
                <w:p w14:paraId="04D123C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38A7069D">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326A133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38</w:t>
                  </w:r>
                </w:p>
              </w:tc>
              <w:tc>
                <w:tcPr>
                  <w:tcW w:w="293" w:type="pct"/>
                  <w:noWrap w:val="0"/>
                  <w:vAlign w:val="center"/>
                </w:tcPr>
                <w:p w14:paraId="632F127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73" w:type="pct"/>
                  <w:noWrap w:val="0"/>
                  <w:vAlign w:val="center"/>
                </w:tcPr>
                <w:p w14:paraId="78E9C56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1D45250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341" w:type="pct"/>
                  <w:vMerge w:val="continue"/>
                  <w:noWrap w:val="0"/>
                  <w:vAlign w:val="center"/>
                </w:tcPr>
                <w:p w14:paraId="26A8B2DC">
                  <w:pPr>
                    <w:widowControl/>
                    <w:jc w:val="center"/>
                    <w:rPr>
                      <w:rFonts w:hint="default" w:ascii="Times New Roman" w:hAnsi="Times New Roman" w:cs="Times New Roman"/>
                      <w:color w:val="auto"/>
                      <w:szCs w:val="21"/>
                      <w:highlight w:val="none"/>
                    </w:rPr>
                  </w:pPr>
                </w:p>
              </w:tc>
              <w:tc>
                <w:tcPr>
                  <w:tcW w:w="290" w:type="pct"/>
                  <w:noWrap w:val="0"/>
                  <w:vAlign w:val="center"/>
                </w:tcPr>
                <w:p w14:paraId="53C29C02">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950" w:type="dxa"/>
                  <w:noWrap w:val="0"/>
                  <w:vAlign w:val="center"/>
                </w:tcPr>
                <w:p w14:paraId="3D38EAFF">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31" w:type="pct"/>
                  <w:noWrap w:val="0"/>
                  <w:vAlign w:val="center"/>
                </w:tcPr>
                <w:p w14:paraId="5293C639">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31BD5EB">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6CD2193D">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94" w:type="pct"/>
                  <w:noWrap w:val="0"/>
                  <w:vAlign w:val="center"/>
                </w:tcPr>
                <w:p w14:paraId="4520189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23F458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763B5D29">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2D060E21">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电阻炉</w:t>
                  </w:r>
                  <w:r>
                    <w:rPr>
                      <w:rFonts w:hint="eastAsia" w:ascii="Times New Roman" w:hAnsi="Times New Roman" w:cs="Times New Roman"/>
                      <w:color w:val="auto"/>
                      <w:szCs w:val="21"/>
                      <w:highlight w:val="none"/>
                      <w:lang w:val="en-US" w:eastAsia="zh-CN"/>
                    </w:rPr>
                    <w:t>2#</w:t>
                  </w:r>
                </w:p>
              </w:tc>
              <w:tc>
                <w:tcPr>
                  <w:tcW w:w="385" w:type="pct"/>
                  <w:noWrap w:val="0"/>
                  <w:vAlign w:val="center"/>
                </w:tcPr>
                <w:p w14:paraId="6BE46E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133DB15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184C917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w:t>
                  </w:r>
                </w:p>
              </w:tc>
              <w:tc>
                <w:tcPr>
                  <w:tcW w:w="293" w:type="pct"/>
                  <w:noWrap w:val="0"/>
                  <w:vAlign w:val="center"/>
                </w:tcPr>
                <w:p w14:paraId="00D66D6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73" w:type="pct"/>
                  <w:noWrap w:val="0"/>
                  <w:vAlign w:val="center"/>
                </w:tcPr>
                <w:p w14:paraId="493FDAF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1A141E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341" w:type="pct"/>
                  <w:vMerge w:val="continue"/>
                  <w:noWrap w:val="0"/>
                  <w:vAlign w:val="center"/>
                </w:tcPr>
                <w:p w14:paraId="1DDB2C5B">
                  <w:pPr>
                    <w:widowControl/>
                    <w:jc w:val="center"/>
                    <w:rPr>
                      <w:rFonts w:hint="default" w:ascii="Times New Roman" w:hAnsi="Times New Roman" w:cs="Times New Roman"/>
                      <w:color w:val="auto"/>
                      <w:szCs w:val="21"/>
                      <w:highlight w:val="none"/>
                    </w:rPr>
                  </w:pPr>
                </w:p>
              </w:tc>
              <w:tc>
                <w:tcPr>
                  <w:tcW w:w="290" w:type="pct"/>
                  <w:noWrap w:val="0"/>
                  <w:vAlign w:val="center"/>
                </w:tcPr>
                <w:p w14:paraId="26EBDF3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950" w:type="dxa"/>
                  <w:noWrap w:val="0"/>
                  <w:vAlign w:val="center"/>
                </w:tcPr>
                <w:p w14:paraId="7118614B">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31" w:type="pct"/>
                  <w:noWrap w:val="0"/>
                  <w:vAlign w:val="center"/>
                </w:tcPr>
                <w:p w14:paraId="219054AE">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08C871FF">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430025CA">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94" w:type="pct"/>
                  <w:noWrap w:val="0"/>
                  <w:vAlign w:val="center"/>
                </w:tcPr>
                <w:p w14:paraId="4DC3B5C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3900CD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7770F874">
                  <w:pPr>
                    <w:widowControl/>
                    <w:jc w:val="center"/>
                    <w:rPr>
                      <w:rFonts w:hint="default" w:ascii="Times New Roman" w:hAnsi="Times New Roman" w:cs="Times New Roman"/>
                      <w:color w:val="auto"/>
                      <w:szCs w:val="21"/>
                      <w:highlight w:val="none"/>
                    </w:rPr>
                  </w:pPr>
                </w:p>
              </w:tc>
              <w:tc>
                <w:tcPr>
                  <w:tcW w:w="588" w:type="pct"/>
                  <w:shd w:val="clear" w:color="auto" w:fill="FFFFFF"/>
                  <w:noWrap w:val="0"/>
                  <w:vAlign w:val="center"/>
                </w:tcPr>
                <w:p w14:paraId="585AE2FA">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电阻炉</w:t>
                  </w:r>
                  <w:r>
                    <w:rPr>
                      <w:rFonts w:hint="eastAsia" w:ascii="Times New Roman" w:hAnsi="Times New Roman" w:cs="Times New Roman"/>
                      <w:color w:val="auto"/>
                      <w:szCs w:val="21"/>
                      <w:highlight w:val="none"/>
                      <w:lang w:val="en-US" w:eastAsia="zh-CN"/>
                    </w:rPr>
                    <w:t>3#</w:t>
                  </w:r>
                </w:p>
              </w:tc>
              <w:tc>
                <w:tcPr>
                  <w:tcW w:w="385" w:type="pct"/>
                  <w:noWrap w:val="0"/>
                  <w:vAlign w:val="center"/>
                </w:tcPr>
                <w:p w14:paraId="7CBA45F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5CDE401F">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347A63A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43</w:t>
                  </w:r>
                </w:p>
              </w:tc>
              <w:tc>
                <w:tcPr>
                  <w:tcW w:w="293" w:type="pct"/>
                  <w:noWrap w:val="0"/>
                  <w:vAlign w:val="center"/>
                </w:tcPr>
                <w:p w14:paraId="33E0CE1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73" w:type="pct"/>
                  <w:noWrap w:val="0"/>
                  <w:vAlign w:val="center"/>
                </w:tcPr>
                <w:p w14:paraId="32FAE78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369050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341" w:type="pct"/>
                  <w:vMerge w:val="continue"/>
                  <w:noWrap w:val="0"/>
                  <w:vAlign w:val="center"/>
                </w:tcPr>
                <w:p w14:paraId="67A68F07">
                  <w:pPr>
                    <w:widowControl/>
                    <w:jc w:val="center"/>
                    <w:rPr>
                      <w:rFonts w:hint="default" w:ascii="Times New Roman" w:hAnsi="Times New Roman" w:cs="Times New Roman"/>
                      <w:color w:val="auto"/>
                      <w:szCs w:val="21"/>
                      <w:highlight w:val="none"/>
                    </w:rPr>
                  </w:pPr>
                </w:p>
              </w:tc>
              <w:tc>
                <w:tcPr>
                  <w:tcW w:w="290" w:type="pct"/>
                  <w:noWrap w:val="0"/>
                  <w:vAlign w:val="center"/>
                </w:tcPr>
                <w:p w14:paraId="3FC888D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950" w:type="dxa"/>
                  <w:noWrap w:val="0"/>
                  <w:vAlign w:val="center"/>
                </w:tcPr>
                <w:p w14:paraId="2FA0D89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31" w:type="pct"/>
                  <w:noWrap w:val="0"/>
                  <w:vAlign w:val="center"/>
                </w:tcPr>
                <w:p w14:paraId="3D282D2F">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241444F8">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63ECC48C">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94" w:type="pct"/>
                  <w:noWrap w:val="0"/>
                  <w:vAlign w:val="center"/>
                </w:tcPr>
                <w:p w14:paraId="383BF7A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4898F3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472DFFC1">
                  <w:pPr>
                    <w:widowControl/>
                    <w:jc w:val="center"/>
                    <w:rPr>
                      <w:rFonts w:hint="default" w:ascii="Times New Roman" w:hAnsi="Times New Roman" w:cs="Times New Roman"/>
                      <w:color w:val="auto"/>
                      <w:szCs w:val="21"/>
                      <w:highlight w:val="none"/>
                    </w:rPr>
                  </w:pPr>
                </w:p>
              </w:tc>
              <w:tc>
                <w:tcPr>
                  <w:tcW w:w="588" w:type="pct"/>
                  <w:noWrap w:val="0"/>
                  <w:vAlign w:val="center"/>
                </w:tcPr>
                <w:p w14:paraId="4C412343">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井式加热炉</w:t>
                  </w:r>
                  <w:r>
                    <w:rPr>
                      <w:rFonts w:hint="eastAsia" w:ascii="Times New Roman" w:hAnsi="Times New Roman" w:cs="Times New Roman"/>
                      <w:color w:val="auto"/>
                      <w:szCs w:val="21"/>
                      <w:highlight w:val="none"/>
                      <w:lang w:val="en-US" w:eastAsia="zh-CN"/>
                    </w:rPr>
                    <w:t>1#</w:t>
                  </w:r>
                </w:p>
              </w:tc>
              <w:tc>
                <w:tcPr>
                  <w:tcW w:w="385" w:type="pct"/>
                  <w:noWrap w:val="0"/>
                  <w:vAlign w:val="center"/>
                </w:tcPr>
                <w:p w14:paraId="5B5896A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6F4CE4B7">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474AA75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45</w:t>
                  </w:r>
                </w:p>
              </w:tc>
              <w:tc>
                <w:tcPr>
                  <w:tcW w:w="293" w:type="pct"/>
                  <w:noWrap w:val="0"/>
                  <w:vAlign w:val="center"/>
                </w:tcPr>
                <w:p w14:paraId="58A5FBF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3C5E993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7771A8D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270D3635">
                  <w:pPr>
                    <w:widowControl/>
                    <w:jc w:val="center"/>
                    <w:rPr>
                      <w:rFonts w:hint="default" w:ascii="Times New Roman" w:hAnsi="Times New Roman" w:cs="Times New Roman"/>
                      <w:color w:val="auto"/>
                      <w:szCs w:val="21"/>
                      <w:highlight w:val="none"/>
                    </w:rPr>
                  </w:pPr>
                </w:p>
              </w:tc>
              <w:tc>
                <w:tcPr>
                  <w:tcW w:w="290" w:type="pct"/>
                  <w:noWrap w:val="0"/>
                  <w:vAlign w:val="center"/>
                </w:tcPr>
                <w:p w14:paraId="7C7FFB87">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1FC352C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31" w:type="pct"/>
                  <w:noWrap w:val="0"/>
                  <w:vAlign w:val="center"/>
                </w:tcPr>
                <w:p w14:paraId="2820C57C">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36A13352">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5BB3B904">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94" w:type="pct"/>
                  <w:noWrap w:val="0"/>
                  <w:vAlign w:val="center"/>
                </w:tcPr>
                <w:p w14:paraId="234117F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6F0F4E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40F79C35">
                  <w:pPr>
                    <w:widowControl/>
                    <w:jc w:val="center"/>
                    <w:rPr>
                      <w:rFonts w:hint="default" w:ascii="Times New Roman" w:hAnsi="Times New Roman" w:cs="Times New Roman"/>
                      <w:color w:val="auto"/>
                      <w:szCs w:val="21"/>
                      <w:highlight w:val="none"/>
                    </w:rPr>
                  </w:pPr>
                </w:p>
              </w:tc>
              <w:tc>
                <w:tcPr>
                  <w:tcW w:w="588" w:type="pct"/>
                  <w:noWrap w:val="0"/>
                  <w:vAlign w:val="center"/>
                </w:tcPr>
                <w:p w14:paraId="0B022CFA">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井式加热炉</w:t>
                  </w:r>
                  <w:r>
                    <w:rPr>
                      <w:rFonts w:hint="eastAsia" w:ascii="Times New Roman" w:hAnsi="Times New Roman" w:cs="Times New Roman"/>
                      <w:color w:val="auto"/>
                      <w:szCs w:val="21"/>
                      <w:highlight w:val="none"/>
                      <w:lang w:val="en-US" w:eastAsia="zh-CN"/>
                    </w:rPr>
                    <w:t>2#</w:t>
                  </w:r>
                </w:p>
              </w:tc>
              <w:tc>
                <w:tcPr>
                  <w:tcW w:w="385" w:type="pct"/>
                  <w:noWrap w:val="0"/>
                  <w:vAlign w:val="center"/>
                </w:tcPr>
                <w:p w14:paraId="6C8D29F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2C3AA562">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2012AC0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48</w:t>
                  </w:r>
                </w:p>
              </w:tc>
              <w:tc>
                <w:tcPr>
                  <w:tcW w:w="293" w:type="pct"/>
                  <w:noWrap w:val="0"/>
                  <w:vAlign w:val="center"/>
                </w:tcPr>
                <w:p w14:paraId="52635942">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6DD578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2DBBA60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6FEB40E6">
                  <w:pPr>
                    <w:widowControl/>
                    <w:jc w:val="center"/>
                    <w:rPr>
                      <w:rFonts w:hint="default" w:ascii="Times New Roman" w:hAnsi="Times New Roman" w:cs="Times New Roman"/>
                      <w:color w:val="auto"/>
                      <w:szCs w:val="21"/>
                      <w:highlight w:val="none"/>
                    </w:rPr>
                  </w:pPr>
                </w:p>
              </w:tc>
              <w:tc>
                <w:tcPr>
                  <w:tcW w:w="290" w:type="pct"/>
                  <w:noWrap w:val="0"/>
                  <w:vAlign w:val="center"/>
                </w:tcPr>
                <w:p w14:paraId="48E1156D">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537C57BA">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31" w:type="pct"/>
                  <w:noWrap w:val="0"/>
                  <w:vAlign w:val="center"/>
                </w:tcPr>
                <w:p w14:paraId="374944C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1857276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36384916">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94" w:type="pct"/>
                  <w:noWrap w:val="0"/>
                  <w:vAlign w:val="center"/>
                </w:tcPr>
                <w:p w14:paraId="1FE6C59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70EBAA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485B4E25">
                  <w:pPr>
                    <w:widowControl/>
                    <w:jc w:val="center"/>
                    <w:rPr>
                      <w:rFonts w:hint="default" w:ascii="Times New Roman" w:hAnsi="Times New Roman" w:cs="Times New Roman"/>
                      <w:color w:val="auto"/>
                      <w:szCs w:val="21"/>
                      <w:highlight w:val="none"/>
                    </w:rPr>
                  </w:pPr>
                </w:p>
              </w:tc>
              <w:tc>
                <w:tcPr>
                  <w:tcW w:w="588" w:type="pct"/>
                  <w:noWrap w:val="0"/>
                  <w:vAlign w:val="center"/>
                </w:tcPr>
                <w:p w14:paraId="203E61F8">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井式加热炉</w:t>
                  </w:r>
                  <w:r>
                    <w:rPr>
                      <w:rFonts w:hint="eastAsia" w:ascii="Times New Roman" w:hAnsi="Times New Roman" w:cs="Times New Roman"/>
                      <w:color w:val="auto"/>
                      <w:szCs w:val="21"/>
                      <w:highlight w:val="none"/>
                      <w:lang w:val="en-US" w:eastAsia="zh-CN"/>
                    </w:rPr>
                    <w:t>3#</w:t>
                  </w:r>
                </w:p>
              </w:tc>
              <w:tc>
                <w:tcPr>
                  <w:tcW w:w="385" w:type="pct"/>
                  <w:noWrap w:val="0"/>
                  <w:vAlign w:val="center"/>
                </w:tcPr>
                <w:p w14:paraId="08F91C0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2D0C9DF0">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54E3802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52</w:t>
                  </w:r>
                </w:p>
              </w:tc>
              <w:tc>
                <w:tcPr>
                  <w:tcW w:w="293" w:type="pct"/>
                  <w:noWrap w:val="0"/>
                  <w:vAlign w:val="center"/>
                </w:tcPr>
                <w:p w14:paraId="3C83E7C4">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1B26246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A79D38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2D736668">
                  <w:pPr>
                    <w:widowControl/>
                    <w:jc w:val="center"/>
                    <w:rPr>
                      <w:rFonts w:hint="default" w:ascii="Times New Roman" w:hAnsi="Times New Roman" w:cs="Times New Roman"/>
                      <w:color w:val="auto"/>
                      <w:szCs w:val="21"/>
                      <w:highlight w:val="none"/>
                    </w:rPr>
                  </w:pPr>
                </w:p>
              </w:tc>
              <w:tc>
                <w:tcPr>
                  <w:tcW w:w="290" w:type="pct"/>
                  <w:noWrap w:val="0"/>
                  <w:vAlign w:val="center"/>
                </w:tcPr>
                <w:p w14:paraId="301AD70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28BA6C23">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31" w:type="pct"/>
                  <w:noWrap w:val="0"/>
                  <w:vAlign w:val="center"/>
                </w:tcPr>
                <w:p w14:paraId="6BCDDF71">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1334A81">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5FF5FD8E">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94" w:type="pct"/>
                  <w:noWrap w:val="0"/>
                  <w:vAlign w:val="center"/>
                </w:tcPr>
                <w:p w14:paraId="4875928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733AE1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6A8E771F">
                  <w:pPr>
                    <w:widowControl/>
                    <w:jc w:val="center"/>
                    <w:rPr>
                      <w:rFonts w:hint="default" w:ascii="Times New Roman" w:hAnsi="Times New Roman" w:cs="Times New Roman"/>
                      <w:color w:val="auto"/>
                      <w:szCs w:val="21"/>
                      <w:highlight w:val="none"/>
                    </w:rPr>
                  </w:pPr>
                </w:p>
              </w:tc>
              <w:tc>
                <w:tcPr>
                  <w:tcW w:w="588" w:type="pct"/>
                  <w:noWrap w:val="0"/>
                  <w:vAlign w:val="center"/>
                </w:tcPr>
                <w:p w14:paraId="2D1C24B6">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井式加热炉</w:t>
                  </w:r>
                  <w:r>
                    <w:rPr>
                      <w:rFonts w:hint="eastAsia" w:ascii="Times New Roman" w:hAnsi="Times New Roman" w:cs="Times New Roman"/>
                      <w:color w:val="auto"/>
                      <w:szCs w:val="21"/>
                      <w:highlight w:val="none"/>
                      <w:lang w:val="en-US" w:eastAsia="zh-CN"/>
                    </w:rPr>
                    <w:t>4#</w:t>
                  </w:r>
                </w:p>
              </w:tc>
              <w:tc>
                <w:tcPr>
                  <w:tcW w:w="385" w:type="pct"/>
                  <w:noWrap w:val="0"/>
                  <w:vAlign w:val="center"/>
                </w:tcPr>
                <w:p w14:paraId="0BEE11D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0A7E1BC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3A8ED61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66</w:t>
                  </w:r>
                </w:p>
              </w:tc>
              <w:tc>
                <w:tcPr>
                  <w:tcW w:w="293" w:type="pct"/>
                  <w:noWrap w:val="0"/>
                  <w:vAlign w:val="center"/>
                </w:tcPr>
                <w:p w14:paraId="739D2789">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37C1AF8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5C4AAC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72B9E132">
                  <w:pPr>
                    <w:widowControl/>
                    <w:jc w:val="center"/>
                    <w:rPr>
                      <w:rFonts w:hint="default" w:ascii="Times New Roman" w:hAnsi="Times New Roman" w:cs="Times New Roman"/>
                      <w:color w:val="auto"/>
                      <w:szCs w:val="21"/>
                      <w:highlight w:val="none"/>
                    </w:rPr>
                  </w:pPr>
                </w:p>
              </w:tc>
              <w:tc>
                <w:tcPr>
                  <w:tcW w:w="290" w:type="pct"/>
                  <w:noWrap w:val="0"/>
                  <w:vAlign w:val="center"/>
                </w:tcPr>
                <w:p w14:paraId="3E00A794">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3741DC0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31" w:type="pct"/>
                  <w:noWrap w:val="0"/>
                  <w:vAlign w:val="center"/>
                </w:tcPr>
                <w:p w14:paraId="24F9930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6C2F5C7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2F06E23C">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94" w:type="pct"/>
                  <w:noWrap w:val="0"/>
                  <w:vAlign w:val="center"/>
                </w:tcPr>
                <w:p w14:paraId="179F2E1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0C8676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3BD7A717">
                  <w:pPr>
                    <w:widowControl/>
                    <w:jc w:val="center"/>
                    <w:rPr>
                      <w:rFonts w:hint="default" w:ascii="Times New Roman" w:hAnsi="Times New Roman" w:cs="Times New Roman"/>
                      <w:color w:val="auto"/>
                      <w:szCs w:val="21"/>
                      <w:highlight w:val="none"/>
                    </w:rPr>
                  </w:pPr>
                </w:p>
              </w:tc>
              <w:tc>
                <w:tcPr>
                  <w:tcW w:w="588" w:type="pct"/>
                  <w:noWrap w:val="0"/>
                  <w:vAlign w:val="center"/>
                </w:tcPr>
                <w:p w14:paraId="4FA42A15">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井式加热炉</w:t>
                  </w:r>
                  <w:r>
                    <w:rPr>
                      <w:rFonts w:hint="eastAsia" w:ascii="Times New Roman" w:hAnsi="Times New Roman" w:cs="Times New Roman"/>
                      <w:color w:val="auto"/>
                      <w:szCs w:val="21"/>
                      <w:highlight w:val="none"/>
                      <w:lang w:val="en-US" w:eastAsia="zh-CN"/>
                    </w:rPr>
                    <w:t>5#</w:t>
                  </w:r>
                </w:p>
              </w:tc>
              <w:tc>
                <w:tcPr>
                  <w:tcW w:w="385" w:type="pct"/>
                  <w:noWrap w:val="0"/>
                  <w:vAlign w:val="center"/>
                </w:tcPr>
                <w:p w14:paraId="4DF6226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6405B7D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7DE1356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71</w:t>
                  </w:r>
                </w:p>
              </w:tc>
              <w:tc>
                <w:tcPr>
                  <w:tcW w:w="293" w:type="pct"/>
                  <w:noWrap w:val="0"/>
                  <w:vAlign w:val="center"/>
                </w:tcPr>
                <w:p w14:paraId="47A4A26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1CBB94C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60160E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4170B9EA">
                  <w:pPr>
                    <w:widowControl/>
                    <w:jc w:val="center"/>
                    <w:rPr>
                      <w:rFonts w:hint="default" w:ascii="Times New Roman" w:hAnsi="Times New Roman" w:cs="Times New Roman"/>
                      <w:color w:val="auto"/>
                      <w:szCs w:val="21"/>
                      <w:highlight w:val="none"/>
                    </w:rPr>
                  </w:pPr>
                </w:p>
              </w:tc>
              <w:tc>
                <w:tcPr>
                  <w:tcW w:w="290" w:type="pct"/>
                  <w:noWrap w:val="0"/>
                  <w:vAlign w:val="center"/>
                </w:tcPr>
                <w:p w14:paraId="7566D392">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7CCB8848">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31" w:type="pct"/>
                  <w:noWrap w:val="0"/>
                  <w:vAlign w:val="center"/>
                </w:tcPr>
                <w:p w14:paraId="124F1BD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1DF5F36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119C2E61">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94" w:type="pct"/>
                  <w:noWrap w:val="0"/>
                  <w:vAlign w:val="center"/>
                </w:tcPr>
                <w:p w14:paraId="09C6598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7B2B49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1AD8C165">
                  <w:pPr>
                    <w:widowControl/>
                    <w:jc w:val="center"/>
                    <w:rPr>
                      <w:rFonts w:hint="default" w:ascii="Times New Roman" w:hAnsi="Times New Roman" w:cs="Times New Roman"/>
                      <w:color w:val="auto"/>
                      <w:szCs w:val="21"/>
                      <w:highlight w:val="none"/>
                    </w:rPr>
                  </w:pPr>
                </w:p>
              </w:tc>
              <w:tc>
                <w:tcPr>
                  <w:tcW w:w="588" w:type="pct"/>
                  <w:noWrap w:val="0"/>
                  <w:vAlign w:val="center"/>
                </w:tcPr>
                <w:p w14:paraId="35E76940">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反应罐</w:t>
                  </w:r>
                  <w:r>
                    <w:rPr>
                      <w:rFonts w:hint="eastAsia" w:ascii="Times New Roman" w:hAnsi="Times New Roman" w:cs="Times New Roman"/>
                      <w:color w:val="auto"/>
                      <w:szCs w:val="21"/>
                      <w:highlight w:val="none"/>
                      <w:lang w:val="en-US" w:eastAsia="zh-CN"/>
                    </w:rPr>
                    <w:t>1#</w:t>
                  </w:r>
                </w:p>
              </w:tc>
              <w:tc>
                <w:tcPr>
                  <w:tcW w:w="385" w:type="pct"/>
                  <w:noWrap w:val="0"/>
                  <w:vAlign w:val="center"/>
                </w:tcPr>
                <w:p w14:paraId="4FF63F2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5BEA90B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219B443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37</w:t>
                  </w:r>
                </w:p>
              </w:tc>
              <w:tc>
                <w:tcPr>
                  <w:tcW w:w="293" w:type="pct"/>
                  <w:noWrap w:val="0"/>
                  <w:vAlign w:val="center"/>
                </w:tcPr>
                <w:p w14:paraId="125A4A7D">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11A4F8A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06FA1B30">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80</w:t>
                  </w:r>
                </w:p>
              </w:tc>
              <w:tc>
                <w:tcPr>
                  <w:tcW w:w="341" w:type="pct"/>
                  <w:vMerge w:val="continue"/>
                  <w:noWrap w:val="0"/>
                  <w:vAlign w:val="center"/>
                </w:tcPr>
                <w:p w14:paraId="6E7565F6">
                  <w:pPr>
                    <w:widowControl/>
                    <w:jc w:val="center"/>
                    <w:rPr>
                      <w:rFonts w:hint="default" w:ascii="Times New Roman" w:hAnsi="Times New Roman" w:cs="Times New Roman"/>
                      <w:color w:val="auto"/>
                      <w:szCs w:val="21"/>
                      <w:highlight w:val="none"/>
                    </w:rPr>
                  </w:pPr>
                </w:p>
              </w:tc>
              <w:tc>
                <w:tcPr>
                  <w:tcW w:w="290" w:type="pct"/>
                  <w:noWrap w:val="0"/>
                  <w:vAlign w:val="center"/>
                </w:tcPr>
                <w:p w14:paraId="4B5194F5">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7F44F59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331" w:type="pct"/>
                  <w:noWrap w:val="0"/>
                  <w:vAlign w:val="center"/>
                </w:tcPr>
                <w:p w14:paraId="037DE97D">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C90CF02">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40AA66D9">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294" w:type="pct"/>
                  <w:noWrap w:val="0"/>
                  <w:vAlign w:val="center"/>
                </w:tcPr>
                <w:p w14:paraId="712CDD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3B4645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1F673906">
                  <w:pPr>
                    <w:widowControl/>
                    <w:jc w:val="center"/>
                    <w:rPr>
                      <w:rFonts w:hint="default" w:ascii="Times New Roman" w:hAnsi="Times New Roman" w:cs="Times New Roman"/>
                      <w:color w:val="auto"/>
                      <w:szCs w:val="21"/>
                      <w:highlight w:val="none"/>
                    </w:rPr>
                  </w:pPr>
                </w:p>
              </w:tc>
              <w:tc>
                <w:tcPr>
                  <w:tcW w:w="588" w:type="pct"/>
                  <w:noWrap w:val="0"/>
                  <w:vAlign w:val="center"/>
                </w:tcPr>
                <w:p w14:paraId="31B0D4E3">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反应罐</w:t>
                  </w:r>
                  <w:r>
                    <w:rPr>
                      <w:rFonts w:hint="eastAsia" w:ascii="Times New Roman" w:hAnsi="Times New Roman" w:cs="Times New Roman"/>
                      <w:color w:val="auto"/>
                      <w:szCs w:val="21"/>
                      <w:highlight w:val="none"/>
                      <w:lang w:val="en-US" w:eastAsia="zh-CN"/>
                    </w:rPr>
                    <w:t>2#</w:t>
                  </w:r>
                </w:p>
              </w:tc>
              <w:tc>
                <w:tcPr>
                  <w:tcW w:w="385" w:type="pct"/>
                  <w:noWrap w:val="0"/>
                  <w:vAlign w:val="center"/>
                </w:tcPr>
                <w:p w14:paraId="2E96E1F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1641FF6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650EFA5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293" w:type="pct"/>
                  <w:noWrap w:val="0"/>
                  <w:vAlign w:val="center"/>
                </w:tcPr>
                <w:p w14:paraId="4D50244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w:t>
                  </w:r>
                </w:p>
              </w:tc>
              <w:tc>
                <w:tcPr>
                  <w:tcW w:w="273" w:type="pct"/>
                  <w:noWrap w:val="0"/>
                  <w:vAlign w:val="center"/>
                </w:tcPr>
                <w:p w14:paraId="38C3D11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727057E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80</w:t>
                  </w:r>
                </w:p>
              </w:tc>
              <w:tc>
                <w:tcPr>
                  <w:tcW w:w="341" w:type="pct"/>
                  <w:vMerge w:val="continue"/>
                  <w:noWrap w:val="0"/>
                  <w:vAlign w:val="center"/>
                </w:tcPr>
                <w:p w14:paraId="27DE4840">
                  <w:pPr>
                    <w:widowControl/>
                    <w:jc w:val="center"/>
                    <w:rPr>
                      <w:rFonts w:hint="default" w:ascii="Times New Roman" w:hAnsi="Times New Roman" w:cs="Times New Roman"/>
                      <w:color w:val="auto"/>
                      <w:szCs w:val="21"/>
                      <w:highlight w:val="none"/>
                    </w:rPr>
                  </w:pPr>
                </w:p>
              </w:tc>
              <w:tc>
                <w:tcPr>
                  <w:tcW w:w="290" w:type="pct"/>
                  <w:noWrap w:val="0"/>
                  <w:vAlign w:val="center"/>
                </w:tcPr>
                <w:p w14:paraId="592C27C1">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03BD2864">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331" w:type="pct"/>
                  <w:noWrap w:val="0"/>
                  <w:vAlign w:val="center"/>
                </w:tcPr>
                <w:p w14:paraId="3241BFB7">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7587EC21">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0AEF4F7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294" w:type="pct"/>
                  <w:noWrap w:val="0"/>
                  <w:vAlign w:val="center"/>
                </w:tcPr>
                <w:p w14:paraId="5A755C2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0EDDAA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0C5E2887">
                  <w:pPr>
                    <w:widowControl/>
                    <w:jc w:val="center"/>
                    <w:rPr>
                      <w:rFonts w:hint="default" w:ascii="Times New Roman" w:hAnsi="Times New Roman" w:cs="Times New Roman"/>
                      <w:color w:val="auto"/>
                      <w:szCs w:val="21"/>
                      <w:highlight w:val="none"/>
                    </w:rPr>
                  </w:pPr>
                </w:p>
              </w:tc>
              <w:tc>
                <w:tcPr>
                  <w:tcW w:w="588" w:type="pct"/>
                  <w:noWrap w:val="0"/>
                  <w:vAlign w:val="center"/>
                </w:tcPr>
                <w:p w14:paraId="09BCA99A">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箱式电阻炉</w:t>
                  </w:r>
                  <w:r>
                    <w:rPr>
                      <w:rFonts w:hint="eastAsia" w:ascii="Times New Roman" w:hAnsi="Times New Roman" w:cs="Times New Roman"/>
                      <w:color w:val="auto"/>
                      <w:szCs w:val="21"/>
                      <w:highlight w:val="none"/>
                      <w:lang w:val="en-US" w:eastAsia="zh-CN"/>
                    </w:rPr>
                    <w:t>1#</w:t>
                  </w:r>
                </w:p>
              </w:tc>
              <w:tc>
                <w:tcPr>
                  <w:tcW w:w="385" w:type="pct"/>
                  <w:noWrap w:val="0"/>
                  <w:vAlign w:val="center"/>
                </w:tcPr>
                <w:p w14:paraId="3DC1D0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2ABF08D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18918CC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45</w:t>
                  </w:r>
                </w:p>
              </w:tc>
              <w:tc>
                <w:tcPr>
                  <w:tcW w:w="293" w:type="pct"/>
                  <w:noWrap w:val="0"/>
                  <w:vAlign w:val="center"/>
                </w:tcPr>
                <w:p w14:paraId="33C9349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w:t>
                  </w:r>
                </w:p>
              </w:tc>
              <w:tc>
                <w:tcPr>
                  <w:tcW w:w="273" w:type="pct"/>
                  <w:noWrap w:val="0"/>
                  <w:vAlign w:val="center"/>
                </w:tcPr>
                <w:p w14:paraId="01DE428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D4EDBF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700B7AE9">
                  <w:pPr>
                    <w:widowControl/>
                    <w:jc w:val="center"/>
                    <w:rPr>
                      <w:rFonts w:hint="default" w:ascii="Times New Roman" w:hAnsi="Times New Roman" w:cs="Times New Roman"/>
                      <w:color w:val="auto"/>
                      <w:szCs w:val="21"/>
                      <w:highlight w:val="none"/>
                    </w:rPr>
                  </w:pPr>
                </w:p>
              </w:tc>
              <w:tc>
                <w:tcPr>
                  <w:tcW w:w="290" w:type="pct"/>
                  <w:noWrap w:val="0"/>
                  <w:vAlign w:val="center"/>
                </w:tcPr>
                <w:p w14:paraId="27327AA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w:t>
                  </w:r>
                </w:p>
              </w:tc>
              <w:tc>
                <w:tcPr>
                  <w:tcW w:w="950" w:type="dxa"/>
                  <w:noWrap w:val="0"/>
                  <w:vAlign w:val="center"/>
                </w:tcPr>
                <w:p w14:paraId="463BE0D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331" w:type="pct"/>
                  <w:noWrap w:val="0"/>
                  <w:vAlign w:val="center"/>
                </w:tcPr>
                <w:p w14:paraId="3AAA49C2">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502588B">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26545C78">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294" w:type="pct"/>
                  <w:noWrap w:val="0"/>
                  <w:vAlign w:val="center"/>
                </w:tcPr>
                <w:p w14:paraId="42350AC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154338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1891B8D0">
                  <w:pPr>
                    <w:widowControl/>
                    <w:jc w:val="center"/>
                    <w:rPr>
                      <w:rFonts w:hint="default" w:ascii="Times New Roman" w:hAnsi="Times New Roman" w:cs="Times New Roman"/>
                      <w:color w:val="auto"/>
                      <w:szCs w:val="21"/>
                      <w:highlight w:val="none"/>
                    </w:rPr>
                  </w:pPr>
                </w:p>
              </w:tc>
              <w:tc>
                <w:tcPr>
                  <w:tcW w:w="588" w:type="pct"/>
                  <w:noWrap w:val="0"/>
                  <w:vAlign w:val="center"/>
                </w:tcPr>
                <w:p w14:paraId="30EC830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箱式电阻炉</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w:t>
                  </w:r>
                </w:p>
              </w:tc>
              <w:tc>
                <w:tcPr>
                  <w:tcW w:w="385" w:type="pct"/>
                  <w:noWrap w:val="0"/>
                  <w:vAlign w:val="center"/>
                </w:tcPr>
                <w:p w14:paraId="788B17A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11DF44B5">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75A1FA4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48</w:t>
                  </w:r>
                </w:p>
              </w:tc>
              <w:tc>
                <w:tcPr>
                  <w:tcW w:w="293" w:type="pct"/>
                  <w:noWrap w:val="0"/>
                  <w:vAlign w:val="center"/>
                </w:tcPr>
                <w:p w14:paraId="6060B53C">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w:t>
                  </w:r>
                </w:p>
              </w:tc>
              <w:tc>
                <w:tcPr>
                  <w:tcW w:w="273" w:type="pct"/>
                  <w:noWrap w:val="0"/>
                  <w:vAlign w:val="center"/>
                </w:tcPr>
                <w:p w14:paraId="1AF44B3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BC36BE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p>
              </w:tc>
              <w:tc>
                <w:tcPr>
                  <w:tcW w:w="341" w:type="pct"/>
                  <w:vMerge w:val="continue"/>
                  <w:noWrap w:val="0"/>
                  <w:vAlign w:val="center"/>
                </w:tcPr>
                <w:p w14:paraId="7A03688F">
                  <w:pPr>
                    <w:widowControl/>
                    <w:jc w:val="center"/>
                    <w:rPr>
                      <w:rFonts w:hint="default" w:ascii="Times New Roman" w:hAnsi="Times New Roman" w:cs="Times New Roman"/>
                      <w:color w:val="auto"/>
                      <w:szCs w:val="21"/>
                      <w:highlight w:val="none"/>
                    </w:rPr>
                  </w:pPr>
                </w:p>
              </w:tc>
              <w:tc>
                <w:tcPr>
                  <w:tcW w:w="290" w:type="pct"/>
                  <w:noWrap w:val="0"/>
                  <w:vAlign w:val="center"/>
                </w:tcPr>
                <w:p w14:paraId="5AB4567F">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w:t>
                  </w:r>
                </w:p>
              </w:tc>
              <w:tc>
                <w:tcPr>
                  <w:tcW w:w="950" w:type="dxa"/>
                  <w:noWrap w:val="0"/>
                  <w:vAlign w:val="center"/>
                </w:tcPr>
                <w:p w14:paraId="46275AE8">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331" w:type="pct"/>
                  <w:noWrap w:val="0"/>
                  <w:vAlign w:val="center"/>
                </w:tcPr>
                <w:p w14:paraId="0DBB987A">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3DD7B2C1">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4CEC35B0">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294" w:type="pct"/>
                  <w:noWrap w:val="0"/>
                  <w:vAlign w:val="center"/>
                </w:tcPr>
                <w:p w14:paraId="26C0CE8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4CC6CF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342920F5">
                  <w:pPr>
                    <w:widowControl/>
                    <w:jc w:val="center"/>
                    <w:rPr>
                      <w:rFonts w:hint="default" w:ascii="Times New Roman" w:hAnsi="Times New Roman" w:cs="Times New Roman"/>
                      <w:color w:val="auto"/>
                      <w:szCs w:val="21"/>
                      <w:highlight w:val="none"/>
                    </w:rPr>
                  </w:pPr>
                </w:p>
              </w:tc>
              <w:tc>
                <w:tcPr>
                  <w:tcW w:w="588" w:type="pct"/>
                  <w:noWrap w:val="0"/>
                  <w:vAlign w:val="center"/>
                </w:tcPr>
                <w:p w14:paraId="42C6C14F">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液压机</w:t>
                  </w:r>
                </w:p>
              </w:tc>
              <w:tc>
                <w:tcPr>
                  <w:tcW w:w="385" w:type="pct"/>
                  <w:noWrap w:val="0"/>
                  <w:vAlign w:val="center"/>
                </w:tcPr>
                <w:p w14:paraId="4BBB7E1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68FAD651">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30713B21">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59</w:t>
                  </w:r>
                </w:p>
              </w:tc>
              <w:tc>
                <w:tcPr>
                  <w:tcW w:w="293" w:type="pct"/>
                  <w:noWrap w:val="0"/>
                  <w:vAlign w:val="center"/>
                </w:tcPr>
                <w:p w14:paraId="7E6380B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1BB9124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2B6350E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95</w:t>
                  </w:r>
                </w:p>
              </w:tc>
              <w:tc>
                <w:tcPr>
                  <w:tcW w:w="341" w:type="pct"/>
                  <w:vMerge w:val="continue"/>
                  <w:noWrap w:val="0"/>
                  <w:vAlign w:val="center"/>
                </w:tcPr>
                <w:p w14:paraId="5407F4C7">
                  <w:pPr>
                    <w:widowControl/>
                    <w:jc w:val="center"/>
                    <w:rPr>
                      <w:rFonts w:hint="default" w:ascii="Times New Roman" w:hAnsi="Times New Roman" w:cs="Times New Roman"/>
                      <w:color w:val="auto"/>
                      <w:szCs w:val="21"/>
                      <w:highlight w:val="none"/>
                    </w:rPr>
                  </w:pPr>
                </w:p>
              </w:tc>
              <w:tc>
                <w:tcPr>
                  <w:tcW w:w="290" w:type="pct"/>
                  <w:noWrap w:val="0"/>
                  <w:vAlign w:val="center"/>
                </w:tcPr>
                <w:p w14:paraId="7B1EE0C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3B8B0EAC">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31" w:type="pct"/>
                  <w:noWrap w:val="0"/>
                  <w:vAlign w:val="center"/>
                </w:tcPr>
                <w:p w14:paraId="0B65422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791B26FD">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43E5498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294" w:type="pct"/>
                  <w:noWrap w:val="0"/>
                  <w:vAlign w:val="center"/>
                </w:tcPr>
                <w:p w14:paraId="7ACD44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2F1407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52E33EC6">
                  <w:pPr>
                    <w:widowControl/>
                    <w:jc w:val="center"/>
                    <w:rPr>
                      <w:rFonts w:hint="default" w:ascii="Times New Roman" w:hAnsi="Times New Roman" w:cs="Times New Roman"/>
                      <w:color w:val="auto"/>
                      <w:szCs w:val="21"/>
                      <w:highlight w:val="none"/>
                    </w:rPr>
                  </w:pPr>
                </w:p>
              </w:tc>
              <w:tc>
                <w:tcPr>
                  <w:tcW w:w="588" w:type="pct"/>
                  <w:noWrap w:val="0"/>
                  <w:vAlign w:val="center"/>
                </w:tcPr>
                <w:p w14:paraId="53577810">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烘箱</w:t>
                  </w:r>
                </w:p>
              </w:tc>
              <w:tc>
                <w:tcPr>
                  <w:tcW w:w="385" w:type="pct"/>
                  <w:noWrap w:val="0"/>
                  <w:vAlign w:val="center"/>
                </w:tcPr>
                <w:p w14:paraId="75C8871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72748648">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6351214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64</w:t>
                  </w:r>
                </w:p>
              </w:tc>
              <w:tc>
                <w:tcPr>
                  <w:tcW w:w="293" w:type="pct"/>
                  <w:noWrap w:val="0"/>
                  <w:vAlign w:val="center"/>
                </w:tcPr>
                <w:p w14:paraId="0B10EA5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73" w:type="pct"/>
                  <w:noWrap w:val="0"/>
                  <w:vAlign w:val="center"/>
                </w:tcPr>
                <w:p w14:paraId="162C48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3920F51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w:t>
                  </w:r>
                </w:p>
              </w:tc>
              <w:tc>
                <w:tcPr>
                  <w:tcW w:w="341" w:type="pct"/>
                  <w:vMerge w:val="continue"/>
                  <w:noWrap w:val="0"/>
                  <w:vAlign w:val="center"/>
                </w:tcPr>
                <w:p w14:paraId="1EB827EA">
                  <w:pPr>
                    <w:widowControl/>
                    <w:jc w:val="center"/>
                    <w:rPr>
                      <w:rFonts w:hint="default" w:ascii="Times New Roman" w:hAnsi="Times New Roman" w:cs="Times New Roman"/>
                      <w:color w:val="auto"/>
                      <w:szCs w:val="21"/>
                      <w:highlight w:val="none"/>
                    </w:rPr>
                  </w:pPr>
                </w:p>
              </w:tc>
              <w:tc>
                <w:tcPr>
                  <w:tcW w:w="290" w:type="pct"/>
                  <w:noWrap w:val="0"/>
                  <w:vAlign w:val="center"/>
                </w:tcPr>
                <w:p w14:paraId="390FC45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0B7E9F6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31" w:type="pct"/>
                  <w:noWrap w:val="0"/>
                  <w:vAlign w:val="center"/>
                </w:tcPr>
                <w:p w14:paraId="1231E983">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rPr>
                    <w:t>00h</w:t>
                  </w:r>
                </w:p>
              </w:tc>
              <w:tc>
                <w:tcPr>
                  <w:tcW w:w="383" w:type="pct"/>
                  <w:noWrap w:val="0"/>
                  <w:vAlign w:val="center"/>
                </w:tcPr>
                <w:p w14:paraId="54FB4D34">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20F6A3A3">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294" w:type="pct"/>
                  <w:noWrap w:val="0"/>
                  <w:vAlign w:val="center"/>
                </w:tcPr>
                <w:p w14:paraId="27E5E68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19468E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4FDF1E4D">
                  <w:pPr>
                    <w:widowControl/>
                    <w:jc w:val="center"/>
                    <w:rPr>
                      <w:rFonts w:hint="default" w:ascii="Times New Roman" w:hAnsi="Times New Roman" w:cs="Times New Roman"/>
                      <w:color w:val="auto"/>
                      <w:szCs w:val="21"/>
                      <w:highlight w:val="none"/>
                    </w:rPr>
                  </w:pPr>
                </w:p>
              </w:tc>
              <w:tc>
                <w:tcPr>
                  <w:tcW w:w="588" w:type="pct"/>
                  <w:noWrap w:val="0"/>
                  <w:vAlign w:val="center"/>
                </w:tcPr>
                <w:p w14:paraId="3FA409A5">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上料粉尘处理装置（脉冲净化器）</w:t>
                  </w:r>
                </w:p>
              </w:tc>
              <w:tc>
                <w:tcPr>
                  <w:tcW w:w="385" w:type="pct"/>
                  <w:noWrap w:val="0"/>
                  <w:vAlign w:val="center"/>
                </w:tcPr>
                <w:p w14:paraId="396A27A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456BA47C">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21F32CF8">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293" w:type="pct"/>
                  <w:noWrap w:val="0"/>
                  <w:vAlign w:val="center"/>
                </w:tcPr>
                <w:p w14:paraId="723C938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w:t>
                  </w:r>
                </w:p>
              </w:tc>
              <w:tc>
                <w:tcPr>
                  <w:tcW w:w="273" w:type="pct"/>
                  <w:noWrap w:val="0"/>
                  <w:vAlign w:val="center"/>
                </w:tcPr>
                <w:p w14:paraId="1AAE4B6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2D273814">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75</w:t>
                  </w:r>
                </w:p>
              </w:tc>
              <w:tc>
                <w:tcPr>
                  <w:tcW w:w="341" w:type="pct"/>
                  <w:vMerge w:val="continue"/>
                  <w:noWrap w:val="0"/>
                  <w:vAlign w:val="center"/>
                </w:tcPr>
                <w:p w14:paraId="090FF924">
                  <w:pPr>
                    <w:widowControl/>
                    <w:jc w:val="center"/>
                    <w:rPr>
                      <w:rFonts w:hint="default" w:ascii="Times New Roman" w:hAnsi="Times New Roman" w:cs="Times New Roman"/>
                      <w:color w:val="auto"/>
                      <w:szCs w:val="21"/>
                      <w:highlight w:val="none"/>
                    </w:rPr>
                  </w:pPr>
                </w:p>
              </w:tc>
              <w:tc>
                <w:tcPr>
                  <w:tcW w:w="290" w:type="pct"/>
                  <w:noWrap w:val="0"/>
                  <w:vAlign w:val="center"/>
                </w:tcPr>
                <w:p w14:paraId="3778138E">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950" w:type="dxa"/>
                  <w:noWrap w:val="0"/>
                  <w:vAlign w:val="center"/>
                </w:tcPr>
                <w:p w14:paraId="55D5AC3F">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31" w:type="pct"/>
                  <w:noWrap w:val="0"/>
                  <w:vAlign w:val="center"/>
                </w:tcPr>
                <w:p w14:paraId="65471E5A">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1200h</w:t>
                  </w:r>
                </w:p>
              </w:tc>
              <w:tc>
                <w:tcPr>
                  <w:tcW w:w="383" w:type="pct"/>
                  <w:noWrap w:val="0"/>
                  <w:vAlign w:val="center"/>
                </w:tcPr>
                <w:p w14:paraId="64CC3AB2">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27DAA87F">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94" w:type="pct"/>
                  <w:noWrap w:val="0"/>
                  <w:vAlign w:val="center"/>
                </w:tcPr>
                <w:p w14:paraId="4E6EDF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0C1E87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83" w:type="pct"/>
                  <w:vMerge w:val="continue"/>
                  <w:noWrap w:val="0"/>
                  <w:vAlign w:val="center"/>
                </w:tcPr>
                <w:p w14:paraId="23612740">
                  <w:pPr>
                    <w:widowControl/>
                    <w:jc w:val="center"/>
                    <w:rPr>
                      <w:rFonts w:hint="default" w:ascii="Times New Roman" w:hAnsi="Times New Roman" w:cs="Times New Roman"/>
                      <w:color w:val="auto"/>
                      <w:szCs w:val="21"/>
                      <w:highlight w:val="none"/>
                    </w:rPr>
                  </w:pPr>
                </w:p>
              </w:tc>
              <w:tc>
                <w:tcPr>
                  <w:tcW w:w="588" w:type="pct"/>
                  <w:noWrap w:val="0"/>
                  <w:vAlign w:val="center"/>
                </w:tcPr>
                <w:p w14:paraId="5E67FD3A">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2"/>
                      <w:sz w:val="21"/>
                      <w:szCs w:val="21"/>
                      <w:highlight w:val="none"/>
                      <w:lang w:val="en-US" w:eastAsia="zh-CN" w:bidi="ar-SA"/>
                    </w:rPr>
                    <w:t>有机废气处理装置</w:t>
                  </w:r>
                  <w:r>
                    <w:rPr>
                      <w:rFonts w:hint="eastAsia"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包含配套风机</w:t>
                  </w:r>
                  <w:r>
                    <w:rPr>
                      <w:rFonts w:hint="eastAsia" w:cs="Times New Roman"/>
                      <w:color w:val="auto"/>
                      <w:kern w:val="2"/>
                      <w:sz w:val="21"/>
                      <w:szCs w:val="21"/>
                      <w:highlight w:val="none"/>
                      <w:lang w:val="en-US" w:eastAsia="zh-CN" w:bidi="ar-SA"/>
                    </w:rPr>
                    <w:t>）</w:t>
                  </w:r>
                </w:p>
              </w:tc>
              <w:tc>
                <w:tcPr>
                  <w:tcW w:w="385" w:type="pct"/>
                  <w:noWrap w:val="0"/>
                  <w:vAlign w:val="center"/>
                </w:tcPr>
                <w:p w14:paraId="68D71AE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频发</w:t>
                  </w:r>
                </w:p>
              </w:tc>
              <w:tc>
                <w:tcPr>
                  <w:tcW w:w="214" w:type="pct"/>
                  <w:noWrap w:val="0"/>
                  <w:vAlign w:val="center"/>
                </w:tcPr>
                <w:p w14:paraId="2C0D806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3121F16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50</w:t>
                  </w:r>
                </w:p>
              </w:tc>
              <w:tc>
                <w:tcPr>
                  <w:tcW w:w="293" w:type="pct"/>
                  <w:noWrap w:val="0"/>
                  <w:vAlign w:val="center"/>
                </w:tcPr>
                <w:p w14:paraId="276050C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18</w:t>
                  </w:r>
                </w:p>
              </w:tc>
              <w:tc>
                <w:tcPr>
                  <w:tcW w:w="273" w:type="pct"/>
                  <w:noWrap w:val="0"/>
                  <w:vAlign w:val="center"/>
                </w:tcPr>
                <w:p w14:paraId="29517E4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0FCAF76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w:t>
                  </w:r>
                </w:p>
              </w:tc>
              <w:tc>
                <w:tcPr>
                  <w:tcW w:w="341" w:type="pct"/>
                  <w:noWrap w:val="0"/>
                  <w:vAlign w:val="center"/>
                </w:tcPr>
                <w:p w14:paraId="39637CAD">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基础减振、厂房隔声</w:t>
                  </w:r>
                  <w:r>
                    <w:rPr>
                      <w:rFonts w:hint="eastAsia" w:cs="Times New Roman"/>
                      <w:color w:val="auto"/>
                      <w:szCs w:val="21"/>
                      <w:highlight w:val="none"/>
                      <w:lang w:eastAsia="zh-CN"/>
                    </w:rPr>
                    <w:t>、</w:t>
                  </w:r>
                  <w:r>
                    <w:rPr>
                      <w:rFonts w:hint="eastAsia" w:cs="Times New Roman"/>
                      <w:color w:val="auto"/>
                      <w:szCs w:val="21"/>
                      <w:highlight w:val="none"/>
                      <w:lang w:val="en-US" w:eastAsia="zh-CN"/>
                    </w:rPr>
                    <w:t>配套风机加设隔声罩</w:t>
                  </w:r>
                </w:p>
              </w:tc>
              <w:tc>
                <w:tcPr>
                  <w:tcW w:w="290" w:type="pct"/>
                  <w:noWrap w:val="0"/>
                  <w:vAlign w:val="center"/>
                </w:tcPr>
                <w:p w14:paraId="2FD52D2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c>
                <w:tcPr>
                  <w:tcW w:w="950" w:type="dxa"/>
                  <w:noWrap w:val="0"/>
                  <w:vAlign w:val="center"/>
                </w:tcPr>
                <w:p w14:paraId="44C968A7">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31" w:type="pct"/>
                  <w:noWrap w:val="0"/>
                  <w:vAlign w:val="center"/>
                </w:tcPr>
                <w:p w14:paraId="47998726">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2400h</w:t>
                  </w:r>
                </w:p>
              </w:tc>
              <w:tc>
                <w:tcPr>
                  <w:tcW w:w="383" w:type="pct"/>
                  <w:noWrap w:val="0"/>
                  <w:vAlign w:val="center"/>
                </w:tcPr>
                <w:p w14:paraId="666B4563">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557104E2">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294" w:type="pct"/>
                  <w:noWrap w:val="0"/>
                  <w:vAlign w:val="center"/>
                </w:tcPr>
                <w:p w14:paraId="199981B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15A665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2E86DA47">
                  <w:pPr>
                    <w:widowControl/>
                    <w:jc w:val="center"/>
                    <w:rPr>
                      <w:rFonts w:hint="default" w:ascii="Times New Roman" w:hAnsi="Times New Roman" w:cs="Times New Roman"/>
                      <w:color w:val="auto"/>
                      <w:szCs w:val="21"/>
                      <w:highlight w:val="none"/>
                    </w:rPr>
                  </w:pPr>
                </w:p>
              </w:tc>
              <w:tc>
                <w:tcPr>
                  <w:tcW w:w="588" w:type="pct"/>
                  <w:noWrap w:val="0"/>
                  <w:vAlign w:val="center"/>
                </w:tcPr>
                <w:p w14:paraId="6E7EA03E">
                  <w:pPr>
                    <w:jc w:val="center"/>
                    <w:rPr>
                      <w:rFonts w:hint="default" w:ascii="Times New Roman" w:hAnsi="Times New Roman" w:cs="Times New Roman"/>
                      <w:color w:val="auto"/>
                      <w:kern w:val="0"/>
                      <w:szCs w:val="21"/>
                      <w:highlight w:val="none"/>
                      <w:lang w:val="en-US"/>
                    </w:rPr>
                  </w:pPr>
                  <w:r>
                    <w:rPr>
                      <w:rFonts w:hint="default" w:ascii="Times New Roman" w:hAnsi="Times New Roman" w:cs="Times New Roman"/>
                      <w:color w:val="auto"/>
                      <w:szCs w:val="21"/>
                      <w:highlight w:val="none"/>
                      <w:lang w:val="en-US" w:eastAsia="zh-CN"/>
                    </w:rPr>
                    <w:t>空压机1#</w:t>
                  </w:r>
                </w:p>
              </w:tc>
              <w:tc>
                <w:tcPr>
                  <w:tcW w:w="385" w:type="pct"/>
                  <w:noWrap w:val="0"/>
                  <w:vAlign w:val="center"/>
                </w:tcPr>
                <w:p w14:paraId="451B502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偶</w:t>
                  </w:r>
                  <w:r>
                    <w:rPr>
                      <w:rFonts w:hint="default" w:ascii="Times New Roman" w:hAnsi="Times New Roman" w:cs="Times New Roman"/>
                      <w:color w:val="auto"/>
                      <w:szCs w:val="21"/>
                      <w:highlight w:val="none"/>
                    </w:rPr>
                    <w:t>发</w:t>
                  </w:r>
                </w:p>
              </w:tc>
              <w:tc>
                <w:tcPr>
                  <w:tcW w:w="214" w:type="pct"/>
                  <w:noWrap w:val="0"/>
                  <w:vAlign w:val="center"/>
                </w:tcPr>
                <w:p w14:paraId="6954B03B">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27576F5D">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21</w:t>
                  </w:r>
                </w:p>
              </w:tc>
              <w:tc>
                <w:tcPr>
                  <w:tcW w:w="293" w:type="pct"/>
                  <w:noWrap w:val="0"/>
                  <w:vAlign w:val="center"/>
                </w:tcPr>
                <w:p w14:paraId="4D5BFDE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273" w:type="pct"/>
                  <w:noWrap w:val="0"/>
                  <w:vAlign w:val="center"/>
                </w:tcPr>
                <w:p w14:paraId="26E8241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5BFB2DAB">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w:t>
                  </w:r>
                </w:p>
              </w:tc>
              <w:tc>
                <w:tcPr>
                  <w:tcW w:w="341" w:type="pct"/>
                  <w:vMerge w:val="restart"/>
                  <w:noWrap w:val="0"/>
                  <w:vAlign w:val="center"/>
                </w:tcPr>
                <w:p w14:paraId="13ED22C7">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基础减振、</w:t>
                  </w:r>
                  <w:r>
                    <w:rPr>
                      <w:rFonts w:hint="default" w:ascii="Times New Roman" w:hAnsi="Times New Roman" w:cs="Times New Roman"/>
                      <w:color w:val="auto"/>
                      <w:szCs w:val="21"/>
                      <w:highlight w:val="none"/>
                      <w:lang w:val="en-US" w:eastAsia="zh-CN"/>
                    </w:rPr>
                    <w:t>消声器</w:t>
                  </w:r>
                  <w:r>
                    <w:rPr>
                      <w:rFonts w:hint="default" w:ascii="Times New Roman" w:hAnsi="Times New Roman" w:cs="Times New Roman"/>
                      <w:color w:val="auto"/>
                      <w:szCs w:val="21"/>
                      <w:highlight w:val="none"/>
                    </w:rPr>
                    <w:t>、厂房隔声</w:t>
                  </w:r>
                </w:p>
              </w:tc>
              <w:tc>
                <w:tcPr>
                  <w:tcW w:w="290" w:type="pct"/>
                  <w:noWrap w:val="0"/>
                  <w:vAlign w:val="center"/>
                </w:tcPr>
                <w:p w14:paraId="71C6EF0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7E6C8FDC">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331" w:type="pct"/>
                  <w:vMerge w:val="restart"/>
                  <w:noWrap w:val="0"/>
                  <w:vAlign w:val="center"/>
                </w:tcPr>
                <w:p w14:paraId="2E5F0252">
                  <w:pPr>
                    <w:widowControl/>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12h</w:t>
                  </w:r>
                </w:p>
                <w:p w14:paraId="3CFF312E">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（1h/月）</w:t>
                  </w:r>
                </w:p>
              </w:tc>
              <w:tc>
                <w:tcPr>
                  <w:tcW w:w="383" w:type="pct"/>
                  <w:noWrap w:val="0"/>
                  <w:vAlign w:val="center"/>
                </w:tcPr>
                <w:p w14:paraId="03F27386">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5A4FF49D">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294" w:type="pct"/>
                  <w:noWrap w:val="0"/>
                  <w:vAlign w:val="center"/>
                </w:tcPr>
                <w:p w14:paraId="15E2A03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r w14:paraId="66B713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83" w:type="pct"/>
                  <w:vMerge w:val="continue"/>
                  <w:noWrap w:val="0"/>
                  <w:vAlign w:val="center"/>
                </w:tcPr>
                <w:p w14:paraId="22BE220D">
                  <w:pPr>
                    <w:widowControl/>
                    <w:jc w:val="center"/>
                    <w:rPr>
                      <w:rFonts w:hint="default" w:ascii="Times New Roman" w:hAnsi="Times New Roman" w:cs="Times New Roman"/>
                      <w:color w:val="auto"/>
                      <w:szCs w:val="21"/>
                      <w:highlight w:val="none"/>
                    </w:rPr>
                  </w:pPr>
                </w:p>
              </w:tc>
              <w:tc>
                <w:tcPr>
                  <w:tcW w:w="588" w:type="pct"/>
                  <w:noWrap w:val="0"/>
                  <w:vAlign w:val="center"/>
                </w:tcPr>
                <w:p w14:paraId="10CC8D3E">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空压机</w:t>
                  </w:r>
                  <w:r>
                    <w:rPr>
                      <w:rFonts w:hint="default" w:ascii="Times New Roman" w:hAnsi="Times New Roman" w:cs="Times New Roman"/>
                      <w:color w:val="auto"/>
                      <w:kern w:val="0"/>
                      <w:szCs w:val="21"/>
                      <w:highlight w:val="none"/>
                      <w:lang w:val="en-US" w:eastAsia="zh-CN"/>
                    </w:rPr>
                    <w:t>2#</w:t>
                  </w:r>
                </w:p>
              </w:tc>
              <w:tc>
                <w:tcPr>
                  <w:tcW w:w="385" w:type="pct"/>
                  <w:noWrap w:val="0"/>
                  <w:vAlign w:val="center"/>
                </w:tcPr>
                <w:p w14:paraId="42A2F2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偶</w:t>
                  </w:r>
                  <w:r>
                    <w:rPr>
                      <w:rFonts w:hint="default" w:ascii="Times New Roman" w:hAnsi="Times New Roman" w:cs="Times New Roman"/>
                      <w:color w:val="auto"/>
                      <w:szCs w:val="21"/>
                      <w:highlight w:val="none"/>
                    </w:rPr>
                    <w:t>发</w:t>
                  </w:r>
                </w:p>
              </w:tc>
              <w:tc>
                <w:tcPr>
                  <w:tcW w:w="214" w:type="pct"/>
                  <w:noWrap w:val="0"/>
                  <w:vAlign w:val="center"/>
                </w:tcPr>
                <w:p w14:paraId="2725ADA9">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71" w:type="pct"/>
                  <w:noWrap w:val="0"/>
                  <w:vAlign w:val="center"/>
                </w:tcPr>
                <w:p w14:paraId="05175EF5">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w:t>
                  </w:r>
                </w:p>
              </w:tc>
              <w:tc>
                <w:tcPr>
                  <w:tcW w:w="293" w:type="pct"/>
                  <w:noWrap w:val="0"/>
                  <w:vAlign w:val="center"/>
                </w:tcPr>
                <w:p w14:paraId="5AF441E0">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273" w:type="pct"/>
                  <w:noWrap w:val="0"/>
                  <w:vAlign w:val="center"/>
                </w:tcPr>
                <w:p w14:paraId="273A289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3" w:type="pct"/>
                  <w:noWrap w:val="0"/>
                  <w:vAlign w:val="center"/>
                </w:tcPr>
                <w:p w14:paraId="42174C66">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w:t>
                  </w:r>
                </w:p>
              </w:tc>
              <w:tc>
                <w:tcPr>
                  <w:tcW w:w="341" w:type="pct"/>
                  <w:vMerge w:val="continue"/>
                  <w:noWrap w:val="0"/>
                  <w:vAlign w:val="center"/>
                </w:tcPr>
                <w:p w14:paraId="51463863">
                  <w:pPr>
                    <w:widowControl/>
                    <w:jc w:val="center"/>
                    <w:rPr>
                      <w:rFonts w:hint="default" w:ascii="Times New Roman" w:hAnsi="Times New Roman" w:eastAsia="宋体" w:cs="Times New Roman"/>
                      <w:color w:val="auto"/>
                      <w:szCs w:val="21"/>
                      <w:highlight w:val="none"/>
                      <w:lang w:val="en-US" w:eastAsia="zh-CN"/>
                    </w:rPr>
                  </w:pPr>
                </w:p>
              </w:tc>
              <w:tc>
                <w:tcPr>
                  <w:tcW w:w="290" w:type="pct"/>
                  <w:noWrap w:val="0"/>
                  <w:vAlign w:val="center"/>
                </w:tcPr>
                <w:p w14:paraId="32931B7A">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p>
              </w:tc>
              <w:tc>
                <w:tcPr>
                  <w:tcW w:w="950" w:type="dxa"/>
                  <w:noWrap w:val="0"/>
                  <w:vAlign w:val="center"/>
                </w:tcPr>
                <w:p w14:paraId="11F00BBE">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331" w:type="pct"/>
                  <w:vMerge w:val="continue"/>
                  <w:noWrap w:val="0"/>
                  <w:vAlign w:val="center"/>
                </w:tcPr>
                <w:p w14:paraId="3112A8F4">
                  <w:pPr>
                    <w:widowControl/>
                    <w:jc w:val="center"/>
                    <w:rPr>
                      <w:rFonts w:hint="default" w:ascii="Times New Roman" w:hAnsi="Times New Roman" w:eastAsia="宋体" w:cs="Times New Roman"/>
                      <w:color w:val="auto"/>
                      <w:szCs w:val="21"/>
                      <w:highlight w:val="none"/>
                      <w:lang w:val="en-US" w:eastAsia="zh-CN"/>
                    </w:rPr>
                  </w:pPr>
                </w:p>
              </w:tc>
              <w:tc>
                <w:tcPr>
                  <w:tcW w:w="383" w:type="pct"/>
                  <w:noWrap w:val="0"/>
                  <w:vAlign w:val="center"/>
                </w:tcPr>
                <w:p w14:paraId="27C52585">
                  <w:pPr>
                    <w:widowControl/>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21</w:t>
                  </w:r>
                </w:p>
              </w:tc>
              <w:tc>
                <w:tcPr>
                  <w:tcW w:w="950" w:type="dxa"/>
                  <w:noWrap w:val="0"/>
                  <w:vAlign w:val="center"/>
                </w:tcPr>
                <w:p w14:paraId="36A487FB">
                  <w:pPr>
                    <w:keepNext w:val="0"/>
                    <w:keepLines w:val="0"/>
                    <w:widowControl/>
                    <w:suppressLineNumbers w:val="0"/>
                    <w:jc w:val="center"/>
                    <w:textAlignment w:val="center"/>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294" w:type="pct"/>
                  <w:noWrap w:val="0"/>
                  <w:vAlign w:val="center"/>
                </w:tcPr>
                <w:p w14:paraId="6922277A">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1m</w:t>
                  </w:r>
                </w:p>
              </w:tc>
            </w:tr>
          </w:tbl>
          <w:p w14:paraId="53F6FDFB">
            <w:pPr>
              <w:pStyle w:val="7"/>
              <w:ind w:firstLine="422"/>
              <w:rPr>
                <w:b/>
                <w:bCs/>
                <w:color w:val="auto"/>
                <w:highlight w:val="none"/>
              </w:rPr>
            </w:pPr>
            <w:r>
              <w:rPr>
                <w:rFonts w:hint="eastAsia"/>
                <w:b/>
                <w:bCs/>
                <w:color w:val="auto"/>
                <w:sz w:val="21"/>
                <w:szCs w:val="16"/>
                <w:highlight w:val="none"/>
                <w:lang w:val="en-US" w:eastAsia="zh-CN"/>
              </w:rPr>
              <w:t>备注</w:t>
            </w:r>
            <w:r>
              <w:rPr>
                <w:rFonts w:hint="eastAsia"/>
                <w:b/>
                <w:bCs/>
                <w:color w:val="auto"/>
                <w:sz w:val="21"/>
                <w:szCs w:val="16"/>
                <w:highlight w:val="none"/>
              </w:rPr>
              <w:t>：</w:t>
            </w:r>
            <w:r>
              <w:rPr>
                <w:rFonts w:hint="eastAsia"/>
                <w:b/>
                <w:bCs/>
                <w:color w:val="auto"/>
                <w:sz w:val="21"/>
                <w:szCs w:val="16"/>
                <w:highlight w:val="none"/>
                <w:lang w:val="en-US" w:eastAsia="zh-CN"/>
              </w:rPr>
              <w:t>以陕西力拓重工机械有限公司三号厂房</w:t>
            </w:r>
            <w:r>
              <w:rPr>
                <w:rFonts w:hint="eastAsia"/>
                <w:b/>
                <w:bCs/>
                <w:color w:val="auto"/>
                <w:sz w:val="21"/>
                <w:szCs w:val="16"/>
                <w:highlight w:val="none"/>
              </w:rPr>
              <w:t>西南角坐标（X，Y，Z）为（0，0，0）。</w:t>
            </w:r>
          </w:p>
        </w:tc>
      </w:tr>
    </w:tbl>
    <w:p w14:paraId="168C1EC7">
      <w:pPr>
        <w:pStyle w:val="7"/>
        <w:ind w:firstLine="0" w:firstLineChars="0"/>
        <w:rPr>
          <w:rFonts w:hint="eastAsia" w:ascii="宋体" w:cs="宋体"/>
          <w:b/>
          <w:color w:val="auto"/>
          <w:sz w:val="28"/>
          <w:szCs w:val="28"/>
          <w:highlight w:val="none"/>
        </w:rPr>
        <w:sectPr>
          <w:pgSz w:w="16840" w:h="11907" w:orient="landscape"/>
          <w:pgMar w:top="1531" w:right="1701" w:bottom="1531" w:left="2127" w:header="851" w:footer="851" w:gutter="0"/>
          <w:cols w:space="720" w:num="1"/>
          <w:docGrid w:linePitch="312" w:charSpace="0"/>
        </w:sectPr>
      </w:pPr>
    </w:p>
    <w:tbl>
      <w:tblPr>
        <w:tblStyle w:val="24"/>
        <w:tblW w:w="51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010"/>
      </w:tblGrid>
      <w:tr w14:paraId="18163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745" w:hRule="atLeast"/>
          <w:jc w:val="center"/>
        </w:trPr>
        <w:tc>
          <w:tcPr>
            <w:tcW w:w="146" w:type="pct"/>
            <w:noWrap w:val="0"/>
            <w:tcMar>
              <w:left w:w="28" w:type="dxa"/>
              <w:right w:w="28" w:type="dxa"/>
            </w:tcMar>
            <w:vAlign w:val="center"/>
          </w:tcPr>
          <w:p w14:paraId="53E19D5D">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运营</w:t>
            </w:r>
          </w:p>
          <w:p w14:paraId="67FF3D28">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期环</w:t>
            </w:r>
          </w:p>
          <w:p w14:paraId="63A51077">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境影</w:t>
            </w:r>
          </w:p>
          <w:p w14:paraId="50BEE5B4">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响和</w:t>
            </w:r>
          </w:p>
          <w:p w14:paraId="351788B2">
            <w:pPr>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保护</w:t>
            </w:r>
          </w:p>
          <w:p w14:paraId="4E08F148">
            <w:pPr>
              <w:jc w:val="center"/>
              <w:rPr>
                <w:rFonts w:ascii="宋体" w:hAnsi="宋体" w:cs="宋体"/>
                <w:bCs/>
                <w:color w:val="auto"/>
                <w:sz w:val="24"/>
                <w:szCs w:val="24"/>
                <w:highlight w:val="none"/>
              </w:rPr>
            </w:pPr>
            <w:r>
              <w:rPr>
                <w:rFonts w:hint="eastAsia" w:ascii="宋体" w:hAnsi="宋体" w:cs="宋体"/>
                <w:bCs/>
                <w:color w:val="auto"/>
                <w:sz w:val="24"/>
                <w:szCs w:val="24"/>
                <w:highlight w:val="none"/>
              </w:rPr>
              <w:t>措施</w:t>
            </w:r>
          </w:p>
        </w:tc>
        <w:tc>
          <w:tcPr>
            <w:tcW w:w="4853" w:type="pct"/>
            <w:noWrap w:val="0"/>
            <w:vAlign w:val="center"/>
          </w:tcPr>
          <w:p w14:paraId="4D737375">
            <w:pPr>
              <w:pStyle w:val="7"/>
              <w:spacing w:before="120" w:beforeLines="50"/>
              <w:ind w:firstLine="482"/>
              <w:rPr>
                <w:b/>
                <w:bCs/>
                <w:color w:val="auto"/>
                <w:highlight w:val="none"/>
              </w:rPr>
            </w:pPr>
            <w:r>
              <w:rPr>
                <w:b/>
                <w:bCs/>
                <w:color w:val="auto"/>
                <w:highlight w:val="none"/>
              </w:rPr>
              <w:t>2、噪声预测</w:t>
            </w:r>
          </w:p>
          <w:p w14:paraId="265F1AF9">
            <w:pPr>
              <w:pStyle w:val="7"/>
              <w:ind w:firstLine="480"/>
              <w:rPr>
                <w:color w:val="auto"/>
                <w:highlight w:val="none"/>
              </w:rPr>
            </w:pPr>
            <w:r>
              <w:rPr>
                <w:rFonts w:hint="eastAsia"/>
                <w:color w:val="auto"/>
                <w:highlight w:val="none"/>
              </w:rPr>
              <w:t>（1）预测模式</w:t>
            </w:r>
          </w:p>
          <w:p w14:paraId="1688AAEC">
            <w:pPr>
              <w:pStyle w:val="7"/>
              <w:ind w:firstLine="480"/>
              <w:rPr>
                <w:rFonts w:hint="eastAsia"/>
                <w:color w:val="auto"/>
                <w:highlight w:val="none"/>
              </w:rPr>
            </w:pPr>
            <w:r>
              <w:rPr>
                <w:color w:val="auto"/>
                <w:highlight w:val="none"/>
              </w:rPr>
              <w:t>根据《环境影响评价技术导则 声环境》（HJ2.4-2021）</w:t>
            </w:r>
            <w:r>
              <w:rPr>
                <w:rFonts w:hint="eastAsia"/>
                <w:color w:val="auto"/>
                <w:highlight w:val="none"/>
              </w:rPr>
              <w:t>的规定</w:t>
            </w:r>
            <w:r>
              <w:rPr>
                <w:color w:val="auto"/>
                <w:highlight w:val="none"/>
              </w:rPr>
              <w:t>选取</w:t>
            </w:r>
            <w:r>
              <w:rPr>
                <w:rFonts w:hint="eastAsia"/>
                <w:color w:val="auto"/>
                <w:highlight w:val="none"/>
              </w:rPr>
              <w:t>预测模式，应用过程中将根据具体情况做必要简化</w:t>
            </w:r>
            <w:r>
              <w:rPr>
                <w:color w:val="auto"/>
                <w:highlight w:val="none"/>
              </w:rPr>
              <w:t>，</w:t>
            </w:r>
            <w:r>
              <w:rPr>
                <w:rFonts w:hint="eastAsia"/>
                <w:color w:val="auto"/>
                <w:highlight w:val="none"/>
              </w:rPr>
              <w:t>计算过程如下：</w:t>
            </w:r>
          </w:p>
          <w:p w14:paraId="1EF79698">
            <w:pPr>
              <w:adjustRightInd/>
              <w:snapToGrid/>
              <w:spacing w:line="360" w:lineRule="auto"/>
              <w:ind w:firstLine="480" w:firstLineChars="200"/>
              <w:rPr>
                <w:color w:val="auto"/>
                <w:sz w:val="24"/>
                <w:highlight w:val="none"/>
              </w:rPr>
            </w:pPr>
            <w:r>
              <w:rPr>
                <w:rFonts w:hint="eastAsia"/>
                <w:color w:val="auto"/>
                <w:sz w:val="24"/>
                <w:highlight w:val="none"/>
              </w:rPr>
              <w:t>a.</w:t>
            </w:r>
            <w:r>
              <w:rPr>
                <w:color w:val="auto"/>
                <w:sz w:val="24"/>
                <w:highlight w:val="none"/>
              </w:rPr>
              <w:t>室外点声源预测模式</w:t>
            </w:r>
            <w:r>
              <w:rPr>
                <w:color w:val="auto"/>
                <w:sz w:val="24"/>
                <w:highlight w:val="none"/>
              </w:rPr>
              <w:tab/>
            </w:r>
          </w:p>
          <w:p w14:paraId="7DC5AC03">
            <w:pPr>
              <w:adjustRightInd/>
              <w:snapToGrid/>
              <w:spacing w:line="360" w:lineRule="auto"/>
              <w:ind w:firstLine="480" w:firstLineChars="200"/>
              <w:rPr>
                <w:color w:val="auto"/>
                <w:sz w:val="24"/>
                <w:highlight w:val="none"/>
              </w:rPr>
            </w:pPr>
            <w:r>
              <w:rPr>
                <w:color w:val="auto"/>
                <w:sz w:val="24"/>
                <w:highlight w:val="none"/>
              </w:rPr>
              <w:t>某个噪声源在预测点的声压级为：</w:t>
            </w:r>
          </w:p>
          <w:p w14:paraId="06288944">
            <w:pPr>
              <w:adjustRightInd/>
              <w:snapToGrid/>
              <w:spacing w:line="360" w:lineRule="auto"/>
              <w:ind w:firstLine="420" w:firstLineChars="200"/>
              <w:jc w:val="center"/>
              <w:rPr>
                <w:color w:val="auto"/>
                <w:sz w:val="24"/>
                <w:highlight w:val="none"/>
              </w:rPr>
            </w:pPr>
            <w:r>
              <w:rPr>
                <w:color w:val="auto"/>
                <w:highlight w:val="none"/>
              </w:rPr>
              <w:drawing>
                <wp:inline distT="0" distB="0" distL="114300" distR="114300">
                  <wp:extent cx="2019300" cy="241300"/>
                  <wp:effectExtent l="0" t="0" r="0" b="5080"/>
                  <wp:docPr id="2" name="图片 41" descr="C:\Users\ADMINI~1\AppData\Local\Temp\ksohtml66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descr="C:\Users\ADMINI~1\AppData\Local\Temp\ksohtml6680\wps1.png"/>
                          <pic:cNvPicPr>
                            <a:picLocks noChangeAspect="1"/>
                          </pic:cNvPicPr>
                        </pic:nvPicPr>
                        <pic:blipFill>
                          <a:blip r:embed="rId10"/>
                          <a:stretch>
                            <a:fillRect/>
                          </a:stretch>
                        </pic:blipFill>
                        <pic:spPr>
                          <a:xfrm>
                            <a:off x="0" y="0"/>
                            <a:ext cx="2019300" cy="241300"/>
                          </a:xfrm>
                          <a:prstGeom prst="rect">
                            <a:avLst/>
                          </a:prstGeom>
                          <a:noFill/>
                          <a:ln>
                            <a:noFill/>
                          </a:ln>
                        </pic:spPr>
                      </pic:pic>
                    </a:graphicData>
                  </a:graphic>
                </wp:inline>
              </w:drawing>
            </w:r>
            <w:r>
              <w:rPr>
                <w:color w:val="auto"/>
                <w:sz w:val="24"/>
                <w:highlight w:val="none"/>
              </w:rPr>
              <w:t>（4）</w:t>
            </w:r>
          </w:p>
          <w:p w14:paraId="25E2B74B">
            <w:pPr>
              <w:adjustRightInd/>
              <w:snapToGrid/>
              <w:spacing w:line="360" w:lineRule="auto"/>
              <w:ind w:firstLine="480" w:firstLineChars="200"/>
              <w:rPr>
                <w:color w:val="auto"/>
                <w:sz w:val="24"/>
                <w:highlight w:val="none"/>
              </w:rPr>
            </w:pPr>
            <w:r>
              <w:rPr>
                <w:color w:val="auto"/>
                <w:sz w:val="24"/>
                <w:highlight w:val="none"/>
              </w:rPr>
              <w:t>式中：</w:t>
            </w:r>
            <w:r>
              <w:rPr>
                <w:color w:val="auto"/>
                <w:highlight w:val="none"/>
              </w:rPr>
              <w:drawing>
                <wp:inline distT="0" distB="0" distL="114300" distR="114300">
                  <wp:extent cx="380365" cy="241300"/>
                  <wp:effectExtent l="0" t="0" r="635" b="5080"/>
                  <wp:docPr id="3" name="图片 42" descr="C:\Users\ADMINI~1\AppData\Local\Temp\ksohtml668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C:\Users\ADMINI~1\AppData\Local\Temp\ksohtml6680\wps2.png"/>
                          <pic:cNvPicPr>
                            <a:picLocks noChangeAspect="1"/>
                          </pic:cNvPicPr>
                        </pic:nvPicPr>
                        <pic:blipFill>
                          <a:blip r:embed="rId11"/>
                          <a:stretch>
                            <a:fillRect/>
                          </a:stretch>
                        </pic:blipFill>
                        <pic:spPr>
                          <a:xfrm>
                            <a:off x="0" y="0"/>
                            <a:ext cx="380365" cy="241300"/>
                          </a:xfrm>
                          <a:prstGeom prst="rect">
                            <a:avLst/>
                          </a:prstGeom>
                          <a:noFill/>
                          <a:ln>
                            <a:noFill/>
                          </a:ln>
                        </pic:spPr>
                      </pic:pic>
                    </a:graphicData>
                  </a:graphic>
                </wp:inline>
              </w:drawing>
            </w:r>
            <w:r>
              <w:rPr>
                <w:color w:val="auto"/>
                <w:sz w:val="24"/>
                <w:highlight w:val="none"/>
              </w:rPr>
              <w:t>—噪声源在预测点的声压级，dB(A)；</w:t>
            </w:r>
          </w:p>
          <w:p w14:paraId="7AB9652C">
            <w:pPr>
              <w:adjustRightInd/>
              <w:snapToGrid/>
              <w:spacing w:line="360" w:lineRule="auto"/>
              <w:ind w:firstLine="1260" w:firstLineChars="600"/>
              <w:rPr>
                <w:color w:val="auto"/>
                <w:sz w:val="24"/>
                <w:highlight w:val="none"/>
              </w:rPr>
            </w:pPr>
            <w:r>
              <w:rPr>
                <w:color w:val="auto"/>
                <w:highlight w:val="none"/>
              </w:rPr>
              <w:drawing>
                <wp:inline distT="0" distB="0" distL="114300" distR="114300">
                  <wp:extent cx="417195" cy="241300"/>
                  <wp:effectExtent l="0" t="0" r="1905" b="5080"/>
                  <wp:docPr id="4" name="图片 43" descr="C:\Users\ADMINI~1\AppData\Local\Temp\ksohtml668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 descr="C:\Users\ADMINI~1\AppData\Local\Temp\ksohtml6680\wps3.png"/>
                          <pic:cNvPicPr>
                            <a:picLocks noChangeAspect="1"/>
                          </pic:cNvPicPr>
                        </pic:nvPicPr>
                        <pic:blipFill>
                          <a:blip r:embed="rId12"/>
                          <a:stretch>
                            <a:fillRect/>
                          </a:stretch>
                        </pic:blipFill>
                        <pic:spPr>
                          <a:xfrm>
                            <a:off x="0" y="0"/>
                            <a:ext cx="417195" cy="241300"/>
                          </a:xfrm>
                          <a:prstGeom prst="rect">
                            <a:avLst/>
                          </a:prstGeom>
                          <a:noFill/>
                          <a:ln>
                            <a:noFill/>
                          </a:ln>
                        </pic:spPr>
                      </pic:pic>
                    </a:graphicData>
                  </a:graphic>
                </wp:inline>
              </w:drawing>
            </w:r>
            <w:r>
              <w:rPr>
                <w:color w:val="auto"/>
                <w:sz w:val="24"/>
                <w:highlight w:val="none"/>
              </w:rPr>
              <w:t>－参考位置</w:t>
            </w:r>
            <w:r>
              <w:rPr>
                <w:color w:val="auto"/>
                <w:highlight w:val="none"/>
              </w:rPr>
              <w:drawing>
                <wp:inline distT="0" distB="0" distL="114300" distR="114300">
                  <wp:extent cx="153670" cy="226695"/>
                  <wp:effectExtent l="0" t="0" r="17780" b="1270"/>
                  <wp:docPr id="5" name="图片 44" descr="C:\Users\ADMINI~1\AppData\Local\Temp\ksohtml668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4" descr="C:\Users\ADMINI~1\AppData\Local\Temp\ksohtml6680\wps4.png"/>
                          <pic:cNvPicPr>
                            <a:picLocks noChangeAspect="1"/>
                          </pic:cNvPicPr>
                        </pic:nvPicPr>
                        <pic:blipFill>
                          <a:blip r:embed="rId13"/>
                          <a:stretch>
                            <a:fillRect/>
                          </a:stretch>
                        </pic:blipFill>
                        <pic:spPr>
                          <a:xfrm>
                            <a:off x="0" y="0"/>
                            <a:ext cx="153670" cy="226695"/>
                          </a:xfrm>
                          <a:prstGeom prst="rect">
                            <a:avLst/>
                          </a:prstGeom>
                          <a:noFill/>
                          <a:ln>
                            <a:noFill/>
                          </a:ln>
                        </pic:spPr>
                      </pic:pic>
                    </a:graphicData>
                  </a:graphic>
                </wp:inline>
              </w:drawing>
            </w:r>
            <w:r>
              <w:rPr>
                <w:color w:val="auto"/>
                <w:sz w:val="24"/>
                <w:highlight w:val="none"/>
              </w:rPr>
              <w:t>处的声压级，dB(A)；</w:t>
            </w:r>
          </w:p>
          <w:p w14:paraId="4CA0D0B4">
            <w:pPr>
              <w:adjustRightInd/>
              <w:snapToGrid/>
              <w:spacing w:line="360" w:lineRule="auto"/>
              <w:ind w:firstLine="1260" w:firstLineChars="600"/>
              <w:rPr>
                <w:color w:val="auto"/>
                <w:sz w:val="24"/>
                <w:highlight w:val="none"/>
              </w:rPr>
            </w:pPr>
            <w:r>
              <w:rPr>
                <w:color w:val="auto"/>
                <w:highlight w:val="none"/>
              </w:rPr>
              <w:drawing>
                <wp:inline distT="0" distB="0" distL="114300" distR="114300">
                  <wp:extent cx="153670" cy="226695"/>
                  <wp:effectExtent l="0" t="0" r="17780" b="1270"/>
                  <wp:docPr id="6" name="图片 45" descr="C:\Users\ADMINI~1\AppData\Local\Temp\ksohtml668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C:\Users\ADMINI~1\AppData\Local\Temp\ksohtml6680\wps5.png"/>
                          <pic:cNvPicPr>
                            <a:picLocks noChangeAspect="1"/>
                          </pic:cNvPicPr>
                        </pic:nvPicPr>
                        <pic:blipFill>
                          <a:blip r:embed="rId13"/>
                          <a:stretch>
                            <a:fillRect/>
                          </a:stretch>
                        </pic:blipFill>
                        <pic:spPr>
                          <a:xfrm>
                            <a:off x="0" y="0"/>
                            <a:ext cx="153670" cy="226695"/>
                          </a:xfrm>
                          <a:prstGeom prst="rect">
                            <a:avLst/>
                          </a:prstGeom>
                          <a:noFill/>
                          <a:ln>
                            <a:noFill/>
                          </a:ln>
                        </pic:spPr>
                      </pic:pic>
                    </a:graphicData>
                  </a:graphic>
                </wp:inline>
              </w:drawing>
            </w:r>
            <w:r>
              <w:rPr>
                <w:color w:val="auto"/>
                <w:sz w:val="24"/>
                <w:highlight w:val="none"/>
              </w:rPr>
              <w:t>－参考位置距声源中心的位置，m；</w:t>
            </w:r>
          </w:p>
          <w:p w14:paraId="3DD1B4BA">
            <w:pPr>
              <w:adjustRightInd/>
              <w:snapToGrid/>
              <w:spacing w:line="360" w:lineRule="auto"/>
              <w:ind w:firstLine="1260" w:firstLineChars="600"/>
              <w:rPr>
                <w:color w:val="auto"/>
                <w:sz w:val="24"/>
                <w:highlight w:val="none"/>
              </w:rPr>
            </w:pPr>
            <w:r>
              <w:rPr>
                <w:color w:val="auto"/>
                <w:highlight w:val="none"/>
              </w:rPr>
              <w:drawing>
                <wp:inline distT="0" distB="0" distL="114300" distR="114300">
                  <wp:extent cx="116840" cy="124460"/>
                  <wp:effectExtent l="0" t="0" r="16510" b="7620"/>
                  <wp:docPr id="7" name="图片 46" descr="C:\Users\ADMINI~1\AppData\Local\Temp\ksohtml668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 descr="C:\Users\ADMINI~1\AppData\Local\Temp\ksohtml6680\wps6.png"/>
                          <pic:cNvPicPr>
                            <a:picLocks noChangeAspect="1"/>
                          </pic:cNvPicPr>
                        </pic:nvPicPr>
                        <pic:blipFill>
                          <a:blip r:embed="rId14"/>
                          <a:stretch>
                            <a:fillRect/>
                          </a:stretch>
                        </pic:blipFill>
                        <pic:spPr>
                          <a:xfrm>
                            <a:off x="0" y="0"/>
                            <a:ext cx="116840" cy="124460"/>
                          </a:xfrm>
                          <a:prstGeom prst="rect">
                            <a:avLst/>
                          </a:prstGeom>
                          <a:noFill/>
                          <a:ln>
                            <a:noFill/>
                          </a:ln>
                        </pic:spPr>
                      </pic:pic>
                    </a:graphicData>
                  </a:graphic>
                </wp:inline>
              </w:drawing>
            </w:r>
            <w:r>
              <w:rPr>
                <w:color w:val="auto"/>
                <w:sz w:val="24"/>
                <w:highlight w:val="none"/>
              </w:rPr>
              <w:t>－声源中心至预测点的距离，m；</w:t>
            </w:r>
          </w:p>
          <w:p w14:paraId="79D22813">
            <w:pPr>
              <w:adjustRightInd/>
              <w:snapToGrid/>
              <w:spacing w:line="360" w:lineRule="auto"/>
              <w:ind w:firstLine="1260" w:firstLineChars="600"/>
              <w:rPr>
                <w:color w:val="auto"/>
                <w:sz w:val="24"/>
                <w:highlight w:val="none"/>
              </w:rPr>
            </w:pPr>
            <w:r>
              <w:rPr>
                <w:color w:val="auto"/>
                <w:highlight w:val="none"/>
              </w:rPr>
              <w:drawing>
                <wp:inline distT="0" distB="0" distL="114300" distR="114300">
                  <wp:extent cx="226695" cy="160655"/>
                  <wp:effectExtent l="0" t="0" r="1905" b="12065"/>
                  <wp:docPr id="8" name="图片 47" descr="C:\Users\ADMINI~1\AppData\Local\Temp\ksohtml668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descr="C:\Users\ADMINI~1\AppData\Local\Temp\ksohtml6680\wps7.png"/>
                          <pic:cNvPicPr>
                            <a:picLocks noChangeAspect="1"/>
                          </pic:cNvPicPr>
                        </pic:nvPicPr>
                        <pic:blipFill>
                          <a:blip r:embed="rId15"/>
                          <a:stretch>
                            <a:fillRect/>
                          </a:stretch>
                        </pic:blipFill>
                        <pic:spPr>
                          <a:xfrm>
                            <a:off x="0" y="0"/>
                            <a:ext cx="226695" cy="160655"/>
                          </a:xfrm>
                          <a:prstGeom prst="rect">
                            <a:avLst/>
                          </a:prstGeom>
                          <a:noFill/>
                          <a:ln>
                            <a:noFill/>
                          </a:ln>
                        </pic:spPr>
                      </pic:pic>
                    </a:graphicData>
                  </a:graphic>
                </wp:inline>
              </w:drawing>
            </w:r>
            <w:r>
              <w:rPr>
                <w:color w:val="auto"/>
                <w:sz w:val="24"/>
                <w:highlight w:val="none"/>
              </w:rPr>
              <w:t>－各种因素引起的声衰减量（如声屏障，遮挡物，空气吸收，地面吸收等引起的声衰减。</w:t>
            </w:r>
          </w:p>
          <w:p w14:paraId="3BBAFDE3">
            <w:pPr>
              <w:adjustRightInd/>
              <w:snapToGrid/>
              <w:spacing w:line="360" w:lineRule="auto"/>
              <w:ind w:firstLine="480" w:firstLineChars="200"/>
              <w:rPr>
                <w:color w:val="auto"/>
                <w:sz w:val="24"/>
                <w:highlight w:val="none"/>
              </w:rPr>
            </w:pPr>
            <w:r>
              <w:rPr>
                <w:rFonts w:hint="eastAsia"/>
                <w:color w:val="auto"/>
                <w:sz w:val="24"/>
                <w:highlight w:val="none"/>
              </w:rPr>
              <w:t>b.</w:t>
            </w:r>
            <w:r>
              <w:rPr>
                <w:color w:val="auto"/>
                <w:sz w:val="24"/>
                <w:highlight w:val="none"/>
              </w:rPr>
              <w:t>室内声源</w:t>
            </w:r>
          </w:p>
          <w:p w14:paraId="5D6DFC8F">
            <w:pPr>
              <w:adjustRightInd/>
              <w:snapToGrid/>
              <w:spacing w:line="360" w:lineRule="auto"/>
              <w:ind w:firstLine="480" w:firstLineChars="200"/>
              <w:rPr>
                <w:color w:val="auto"/>
                <w:sz w:val="24"/>
                <w:highlight w:val="none"/>
              </w:rPr>
            </w:pPr>
            <w:r>
              <w:rPr>
                <w:rFonts w:hint="eastAsia"/>
                <w:color w:val="auto"/>
                <w:sz w:val="24"/>
                <w:highlight w:val="none"/>
              </w:rPr>
              <w:t>①所有室内声源在围护结构处产生的i倍频带叠加声压级：</w:t>
            </w:r>
          </w:p>
          <w:p w14:paraId="545874B7">
            <w:pPr>
              <w:adjustRightInd/>
              <w:snapToGrid/>
              <w:spacing w:line="360" w:lineRule="auto"/>
              <w:ind w:firstLine="420" w:firstLineChars="200"/>
              <w:jc w:val="center"/>
              <w:rPr>
                <w:color w:val="auto"/>
                <w:highlight w:val="none"/>
              </w:rPr>
            </w:pPr>
            <w:r>
              <w:rPr>
                <w:color w:val="auto"/>
                <w:highlight w:val="none"/>
              </w:rPr>
              <w:drawing>
                <wp:inline distT="0" distB="0" distL="114300" distR="114300">
                  <wp:extent cx="2715260" cy="770890"/>
                  <wp:effectExtent l="0" t="0" r="889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715260" cy="770890"/>
                          </a:xfrm>
                          <a:prstGeom prst="rect">
                            <a:avLst/>
                          </a:prstGeom>
                          <a:noFill/>
                          <a:ln>
                            <a:noFill/>
                          </a:ln>
                        </pic:spPr>
                      </pic:pic>
                    </a:graphicData>
                  </a:graphic>
                </wp:inline>
              </w:drawing>
            </w:r>
          </w:p>
          <w:p w14:paraId="02B2E9AC">
            <w:pPr>
              <w:adjustRightInd/>
              <w:snapToGrid/>
              <w:spacing w:line="360" w:lineRule="auto"/>
              <w:ind w:firstLine="480" w:firstLineChars="200"/>
              <w:rPr>
                <w:color w:val="auto"/>
                <w:sz w:val="24"/>
                <w:highlight w:val="none"/>
              </w:rPr>
            </w:pPr>
            <w:r>
              <w:rPr>
                <w:rFonts w:hint="eastAsia"/>
                <w:color w:val="auto"/>
                <w:sz w:val="24"/>
                <w:highlight w:val="none"/>
              </w:rPr>
              <w:t>式中：Lp</w:t>
            </w:r>
            <w:r>
              <w:rPr>
                <w:rFonts w:hint="eastAsia"/>
                <w:color w:val="auto"/>
                <w:sz w:val="24"/>
                <w:highlight w:val="none"/>
                <w:vertAlign w:val="subscript"/>
              </w:rPr>
              <w:t>1i</w:t>
            </w:r>
            <w:r>
              <w:rPr>
                <w:rFonts w:hint="eastAsia"/>
                <w:color w:val="auto"/>
                <w:sz w:val="24"/>
                <w:highlight w:val="none"/>
              </w:rPr>
              <w:t>(T)－靠近围护结构处室内N个声源i倍频带的叠加声压级，dB；</w:t>
            </w:r>
          </w:p>
          <w:p w14:paraId="0C5189A7">
            <w:pPr>
              <w:adjustRightInd/>
              <w:snapToGrid/>
              <w:spacing w:line="360" w:lineRule="auto"/>
              <w:ind w:firstLine="1200" w:firstLineChars="500"/>
              <w:rPr>
                <w:rFonts w:hint="eastAsia"/>
                <w:color w:val="auto"/>
                <w:sz w:val="24"/>
                <w:highlight w:val="none"/>
              </w:rPr>
            </w:pPr>
            <w:r>
              <w:rPr>
                <w:rFonts w:hint="eastAsia"/>
                <w:color w:val="auto"/>
                <w:sz w:val="24"/>
                <w:highlight w:val="none"/>
              </w:rPr>
              <w:t>Lp</w:t>
            </w:r>
            <w:r>
              <w:rPr>
                <w:rFonts w:hint="eastAsia"/>
                <w:color w:val="auto"/>
                <w:sz w:val="24"/>
                <w:highlight w:val="none"/>
                <w:vertAlign w:val="subscript"/>
              </w:rPr>
              <w:t>1ij</w:t>
            </w:r>
            <w:r>
              <w:rPr>
                <w:rFonts w:hint="eastAsia"/>
                <w:color w:val="auto"/>
                <w:sz w:val="24"/>
                <w:highlight w:val="none"/>
              </w:rPr>
              <w:t>－室内j声源i倍频带的声压级，dB；</w:t>
            </w:r>
          </w:p>
          <w:p w14:paraId="136247D8">
            <w:pPr>
              <w:adjustRightInd/>
              <w:snapToGrid/>
              <w:spacing w:line="360" w:lineRule="auto"/>
              <w:ind w:firstLine="1200" w:firstLineChars="500"/>
              <w:rPr>
                <w:color w:val="auto"/>
                <w:sz w:val="24"/>
                <w:highlight w:val="none"/>
              </w:rPr>
            </w:pPr>
            <w:r>
              <w:rPr>
                <w:rFonts w:hint="eastAsia"/>
                <w:color w:val="auto"/>
                <w:sz w:val="24"/>
                <w:highlight w:val="none"/>
              </w:rPr>
              <w:t>N－室内声源总数。</w:t>
            </w:r>
          </w:p>
          <w:p w14:paraId="667A2E00">
            <w:pPr>
              <w:adjustRightInd/>
              <w:snapToGrid/>
              <w:spacing w:line="360" w:lineRule="auto"/>
              <w:ind w:firstLine="480" w:firstLineChars="200"/>
              <w:rPr>
                <w:color w:val="auto"/>
                <w:sz w:val="24"/>
                <w:highlight w:val="none"/>
              </w:rPr>
            </w:pPr>
            <w:r>
              <w:rPr>
                <w:rFonts w:hint="eastAsia"/>
                <w:color w:val="auto"/>
                <w:sz w:val="24"/>
                <w:highlight w:val="none"/>
              </w:rPr>
              <w:t>②靠近室外围护结构处的声压级计算公式：</w:t>
            </w:r>
          </w:p>
          <w:p w14:paraId="15F881E9">
            <w:pPr>
              <w:adjustRightInd/>
              <w:snapToGrid/>
              <w:spacing w:line="360" w:lineRule="auto"/>
              <w:ind w:firstLine="420" w:firstLineChars="200"/>
              <w:jc w:val="center"/>
              <w:rPr>
                <w:color w:val="auto"/>
                <w:sz w:val="24"/>
                <w:highlight w:val="none"/>
              </w:rPr>
            </w:pPr>
            <w:r>
              <w:rPr>
                <w:color w:val="auto"/>
                <w:highlight w:val="none"/>
              </w:rPr>
              <w:drawing>
                <wp:inline distT="0" distB="0" distL="114300" distR="114300">
                  <wp:extent cx="2034540" cy="408940"/>
                  <wp:effectExtent l="0" t="0" r="3810"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2034540" cy="408940"/>
                          </a:xfrm>
                          <a:prstGeom prst="rect">
                            <a:avLst/>
                          </a:prstGeom>
                          <a:noFill/>
                          <a:ln>
                            <a:noFill/>
                          </a:ln>
                        </pic:spPr>
                      </pic:pic>
                    </a:graphicData>
                  </a:graphic>
                </wp:inline>
              </w:drawing>
            </w:r>
          </w:p>
          <w:p w14:paraId="7EB45535">
            <w:pPr>
              <w:adjustRightInd/>
              <w:snapToGrid/>
              <w:spacing w:line="360" w:lineRule="auto"/>
              <w:ind w:firstLine="480" w:firstLineChars="200"/>
              <w:rPr>
                <w:rFonts w:hint="eastAsia"/>
                <w:color w:val="auto"/>
                <w:sz w:val="24"/>
                <w:highlight w:val="none"/>
              </w:rPr>
            </w:pPr>
            <w:r>
              <w:rPr>
                <w:rFonts w:hint="eastAsia"/>
                <w:color w:val="auto"/>
                <w:sz w:val="24"/>
                <w:highlight w:val="none"/>
              </w:rPr>
              <w:t>式中：Lp</w:t>
            </w:r>
            <w:r>
              <w:rPr>
                <w:rFonts w:hint="eastAsia"/>
                <w:color w:val="auto"/>
                <w:sz w:val="24"/>
                <w:highlight w:val="none"/>
                <w:vertAlign w:val="subscript"/>
              </w:rPr>
              <w:t>2i</w:t>
            </w:r>
            <w:r>
              <w:rPr>
                <w:rFonts w:hint="eastAsia"/>
                <w:color w:val="auto"/>
                <w:sz w:val="24"/>
                <w:highlight w:val="none"/>
              </w:rPr>
              <w:t>(T)－靠近围护结构处室外N个声源i倍频带的叠加声压级，dB；</w:t>
            </w:r>
          </w:p>
          <w:p w14:paraId="6C7C91DD">
            <w:pPr>
              <w:adjustRightInd/>
              <w:snapToGrid/>
              <w:spacing w:line="360" w:lineRule="auto"/>
              <w:ind w:firstLine="1200" w:firstLineChars="500"/>
              <w:rPr>
                <w:rFonts w:hint="eastAsia"/>
                <w:color w:val="auto"/>
                <w:sz w:val="24"/>
                <w:highlight w:val="none"/>
              </w:rPr>
            </w:pPr>
            <w:r>
              <w:rPr>
                <w:rFonts w:hint="eastAsia"/>
                <w:color w:val="auto"/>
                <w:sz w:val="24"/>
                <w:highlight w:val="none"/>
              </w:rPr>
              <w:t>L</w:t>
            </w:r>
            <w:r>
              <w:rPr>
                <w:rFonts w:hint="eastAsia"/>
                <w:color w:val="auto"/>
                <w:sz w:val="24"/>
                <w:highlight w:val="none"/>
                <w:vertAlign w:val="subscript"/>
              </w:rPr>
              <w:t>p1i</w:t>
            </w:r>
            <w:r>
              <w:rPr>
                <w:rFonts w:hint="eastAsia"/>
                <w:color w:val="auto"/>
                <w:sz w:val="24"/>
                <w:highlight w:val="none"/>
              </w:rPr>
              <w:t>(T)－靠近围护结构处室内N个声源i倍频带的叠加声压级，dB；</w:t>
            </w:r>
          </w:p>
          <w:p w14:paraId="394B5804">
            <w:pPr>
              <w:adjustRightInd/>
              <w:snapToGrid/>
              <w:spacing w:line="360" w:lineRule="auto"/>
              <w:ind w:firstLine="1200" w:firstLineChars="500"/>
              <w:rPr>
                <w:color w:val="auto"/>
                <w:sz w:val="24"/>
                <w:highlight w:val="none"/>
              </w:rPr>
            </w:pPr>
            <w:r>
              <w:rPr>
                <w:rFonts w:hint="eastAsia"/>
                <w:color w:val="auto"/>
                <w:sz w:val="24"/>
                <w:highlight w:val="none"/>
              </w:rPr>
              <w:t>TL－围护结构i倍频带的隔声量，dB</w:t>
            </w:r>
          </w:p>
          <w:p w14:paraId="4F44105F">
            <w:pPr>
              <w:adjustRightInd/>
              <w:snapToGrid/>
              <w:spacing w:line="360" w:lineRule="auto"/>
              <w:ind w:firstLine="480" w:firstLineChars="200"/>
              <w:rPr>
                <w:rFonts w:hint="eastAsia"/>
                <w:color w:val="auto"/>
                <w:sz w:val="24"/>
                <w:highlight w:val="none"/>
              </w:rPr>
            </w:pPr>
            <w:r>
              <w:rPr>
                <w:rFonts w:hint="eastAsia"/>
                <w:color w:val="auto"/>
                <w:sz w:val="24"/>
                <w:highlight w:val="none"/>
                <w:lang w:val="en-US" w:eastAsia="zh-CN"/>
              </w:rPr>
              <w:t>③</w:t>
            </w:r>
            <w:r>
              <w:rPr>
                <w:rFonts w:hint="eastAsia"/>
                <w:color w:val="auto"/>
                <w:sz w:val="24"/>
                <w:highlight w:val="none"/>
              </w:rPr>
              <w:t>预测点噪声贡献值：</w:t>
            </w:r>
          </w:p>
          <w:p w14:paraId="643608B4">
            <w:pPr>
              <w:spacing w:line="360" w:lineRule="auto"/>
              <w:ind w:firstLine="514" w:firstLineChars="245"/>
              <w:jc w:val="center"/>
              <w:rPr>
                <w:color w:val="auto"/>
                <w:sz w:val="24"/>
                <w:highlight w:val="none"/>
              </w:rPr>
            </w:pPr>
            <w:r>
              <w:rPr>
                <w:color w:val="auto"/>
                <w:highlight w:val="none"/>
              </w:rPr>
              <w:drawing>
                <wp:inline distT="0" distB="0" distL="114300" distR="114300">
                  <wp:extent cx="3076575" cy="704850"/>
                  <wp:effectExtent l="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3076575" cy="704850"/>
                          </a:xfrm>
                          <a:prstGeom prst="rect">
                            <a:avLst/>
                          </a:prstGeom>
                          <a:noFill/>
                          <a:ln>
                            <a:noFill/>
                          </a:ln>
                        </pic:spPr>
                      </pic:pic>
                    </a:graphicData>
                  </a:graphic>
                </wp:inline>
              </w:drawing>
            </w:r>
          </w:p>
          <w:p w14:paraId="66CF53B5">
            <w:pPr>
              <w:adjustRightInd/>
              <w:snapToGrid/>
              <w:spacing w:line="360" w:lineRule="auto"/>
              <w:ind w:firstLine="480" w:firstLineChars="200"/>
              <w:rPr>
                <w:color w:val="auto"/>
                <w:sz w:val="24"/>
                <w:highlight w:val="none"/>
              </w:rPr>
            </w:pPr>
            <w:r>
              <w:rPr>
                <w:color w:val="auto"/>
                <w:sz w:val="24"/>
                <w:highlight w:val="none"/>
              </w:rPr>
              <w:t>式中：L</w:t>
            </w:r>
            <w:r>
              <w:rPr>
                <w:color w:val="auto"/>
                <w:sz w:val="24"/>
                <w:highlight w:val="none"/>
                <w:vertAlign w:val="subscript"/>
              </w:rPr>
              <w:t>eqg</w:t>
            </w:r>
            <w:r>
              <w:rPr>
                <w:color w:val="auto"/>
                <w:sz w:val="24"/>
                <w:highlight w:val="none"/>
              </w:rPr>
              <w:t>－项目声源在预测点产生的噪声贡献值，dB；</w:t>
            </w:r>
          </w:p>
          <w:p w14:paraId="1A5AD9E8">
            <w:pPr>
              <w:adjustRightInd/>
              <w:snapToGrid/>
              <w:spacing w:line="360" w:lineRule="auto"/>
              <w:ind w:firstLine="1200" w:firstLineChars="500"/>
              <w:rPr>
                <w:color w:val="auto"/>
                <w:sz w:val="24"/>
                <w:highlight w:val="none"/>
              </w:rPr>
            </w:pPr>
            <w:r>
              <w:rPr>
                <w:color w:val="auto"/>
                <w:sz w:val="24"/>
                <w:highlight w:val="none"/>
              </w:rPr>
              <w:t>T－用于计算等效声级的时间，s；</w:t>
            </w:r>
          </w:p>
          <w:p w14:paraId="20D29EF8">
            <w:pPr>
              <w:adjustRightInd/>
              <w:snapToGrid/>
              <w:spacing w:line="360" w:lineRule="auto"/>
              <w:ind w:firstLine="1200" w:firstLineChars="500"/>
              <w:rPr>
                <w:color w:val="auto"/>
                <w:sz w:val="24"/>
                <w:highlight w:val="none"/>
              </w:rPr>
            </w:pPr>
            <w:r>
              <w:rPr>
                <w:color w:val="auto"/>
                <w:sz w:val="24"/>
                <w:highlight w:val="none"/>
              </w:rPr>
              <w:t>N－室外声源个数；</w:t>
            </w:r>
          </w:p>
          <w:p w14:paraId="63A69811">
            <w:pPr>
              <w:adjustRightInd/>
              <w:snapToGrid/>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－在T时间内i声源的工作时间，s；</w:t>
            </w:r>
          </w:p>
          <w:p w14:paraId="1EF936ED">
            <w:pPr>
              <w:adjustRightInd/>
              <w:snapToGrid/>
              <w:spacing w:line="360" w:lineRule="auto"/>
              <w:ind w:firstLine="1200" w:firstLineChars="500"/>
              <w:rPr>
                <w:color w:val="auto"/>
                <w:sz w:val="24"/>
                <w:highlight w:val="none"/>
              </w:rPr>
            </w:pPr>
            <w:r>
              <w:rPr>
                <w:color w:val="auto"/>
                <w:sz w:val="24"/>
                <w:highlight w:val="none"/>
              </w:rPr>
              <w:t>M－等效室外声源个数；</w:t>
            </w:r>
          </w:p>
          <w:p w14:paraId="4E6D333F">
            <w:pPr>
              <w:adjustRightInd/>
              <w:snapToGrid/>
              <w:spacing w:line="360" w:lineRule="auto"/>
              <w:ind w:firstLine="1200" w:firstLineChars="500"/>
              <w:rPr>
                <w:color w:val="auto"/>
                <w:sz w:val="24"/>
                <w:highlight w:val="none"/>
              </w:rPr>
            </w:pPr>
            <w:r>
              <w:rPr>
                <w:color w:val="auto"/>
                <w:sz w:val="24"/>
                <w:highlight w:val="none"/>
              </w:rPr>
              <w:t>t</w:t>
            </w:r>
            <w:r>
              <w:rPr>
                <w:color w:val="auto"/>
                <w:sz w:val="24"/>
                <w:highlight w:val="none"/>
                <w:vertAlign w:val="subscript"/>
              </w:rPr>
              <w:t>j</w:t>
            </w:r>
            <w:r>
              <w:rPr>
                <w:color w:val="auto"/>
                <w:sz w:val="24"/>
                <w:highlight w:val="none"/>
              </w:rPr>
              <w:t>－在T时间内j声源的工作时间，s。</w:t>
            </w:r>
          </w:p>
          <w:p w14:paraId="43E22B46">
            <w:pPr>
              <w:pStyle w:val="7"/>
              <w:ind w:firstLine="480"/>
              <w:rPr>
                <w:rFonts w:hint="eastAsia"/>
                <w:color w:val="auto"/>
                <w:highlight w:val="none"/>
              </w:rPr>
            </w:pPr>
            <w:r>
              <w:rPr>
                <w:rFonts w:hint="eastAsia"/>
                <w:color w:val="auto"/>
                <w:highlight w:val="none"/>
              </w:rPr>
              <w:t>（2）预测结果</w:t>
            </w:r>
          </w:p>
          <w:p w14:paraId="6150E3B8">
            <w:pPr>
              <w:pStyle w:val="7"/>
              <w:widowControl w:val="0"/>
              <w:adjustRightInd/>
              <w:snapToGrid/>
              <w:ind w:firstLine="480"/>
              <w:textAlignment w:val="baseline"/>
              <w:rPr>
                <w:color w:val="auto"/>
                <w:szCs w:val="24"/>
                <w:highlight w:val="none"/>
              </w:rPr>
            </w:pPr>
            <w:r>
              <w:rPr>
                <w:color w:val="auto"/>
                <w:highlight w:val="none"/>
              </w:rPr>
              <w:t>本次噪声预测按照《环境影响评价技术导则 声环境》（HJ2.4-202</w:t>
            </w:r>
            <w:r>
              <w:rPr>
                <w:rFonts w:hint="eastAsia"/>
                <w:color w:val="auto"/>
                <w:highlight w:val="none"/>
              </w:rPr>
              <w:t>1</w:t>
            </w:r>
            <w:r>
              <w:rPr>
                <w:color w:val="auto"/>
                <w:highlight w:val="none"/>
              </w:rPr>
              <w:t>）进行，预测设备噪声到厂界</w:t>
            </w:r>
            <w:r>
              <w:rPr>
                <w:rFonts w:hint="eastAsia"/>
                <w:color w:val="auto"/>
                <w:highlight w:val="none"/>
              </w:rPr>
              <w:t>的排放情况</w:t>
            </w:r>
            <w:r>
              <w:rPr>
                <w:color w:val="auto"/>
                <w:highlight w:val="none"/>
              </w:rPr>
              <w:t>，并判断是否达标，预测结果见表</w:t>
            </w:r>
            <w:r>
              <w:rPr>
                <w:rFonts w:hint="eastAsia"/>
                <w:color w:val="auto"/>
                <w:highlight w:val="none"/>
                <w:lang w:val="en-US" w:eastAsia="zh-CN"/>
              </w:rPr>
              <w:t>4-10</w:t>
            </w:r>
            <w:r>
              <w:rPr>
                <w:color w:val="auto"/>
                <w:highlight w:val="none"/>
              </w:rPr>
              <w:t>。</w:t>
            </w:r>
          </w:p>
          <w:p w14:paraId="7F63E93B">
            <w:pPr>
              <w:tabs>
                <w:tab w:val="left" w:pos="3144"/>
              </w:tabs>
              <w:ind w:firstLine="482"/>
              <w:jc w:val="center"/>
              <w:rPr>
                <w:rFonts w:hint="eastAsia"/>
                <w:b/>
                <w:color w:val="auto"/>
                <w:sz w:val="24"/>
                <w:highlight w:val="none"/>
              </w:rPr>
            </w:pPr>
            <w:r>
              <w:rPr>
                <w:b/>
                <w:color w:val="auto"/>
                <w:sz w:val="24"/>
                <w:highlight w:val="none"/>
              </w:rPr>
              <w:t>表4-</w:t>
            </w:r>
            <w:r>
              <w:rPr>
                <w:rFonts w:hint="eastAsia"/>
                <w:b/>
                <w:color w:val="auto"/>
                <w:sz w:val="24"/>
                <w:highlight w:val="none"/>
              </w:rPr>
              <w:t>1</w:t>
            </w:r>
            <w:r>
              <w:rPr>
                <w:rFonts w:hint="eastAsia"/>
                <w:b/>
                <w:color w:val="auto"/>
                <w:sz w:val="24"/>
                <w:highlight w:val="none"/>
                <w:lang w:val="en-US" w:eastAsia="zh-CN"/>
              </w:rPr>
              <w:t>0</w:t>
            </w:r>
            <w:r>
              <w:rPr>
                <w:b/>
                <w:color w:val="auto"/>
                <w:sz w:val="24"/>
                <w:highlight w:val="none"/>
              </w:rPr>
              <w:t xml:space="preserve">  </w:t>
            </w:r>
            <w:r>
              <w:rPr>
                <w:rFonts w:hint="eastAsia"/>
                <w:b/>
                <w:color w:val="auto"/>
                <w:sz w:val="24"/>
                <w:highlight w:val="none"/>
              </w:rPr>
              <w:t>营运期</w:t>
            </w:r>
            <w:r>
              <w:rPr>
                <w:b/>
                <w:color w:val="auto"/>
                <w:sz w:val="24"/>
                <w:highlight w:val="none"/>
              </w:rPr>
              <w:t>噪声预测结果</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1"/>
              <w:gridCol w:w="3213"/>
              <w:gridCol w:w="3335"/>
            </w:tblGrid>
            <w:tr w14:paraId="03B7E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noWrap w:val="0"/>
                  <w:vAlign w:val="center"/>
                </w:tcPr>
                <w:p w14:paraId="6899E1BB">
                  <w:pPr>
                    <w:jc w:val="center"/>
                    <w:rPr>
                      <w:b/>
                      <w:bCs/>
                      <w:color w:val="auto"/>
                      <w:szCs w:val="21"/>
                      <w:highlight w:val="none"/>
                    </w:rPr>
                  </w:pPr>
                  <w:r>
                    <w:rPr>
                      <w:b/>
                      <w:bCs/>
                      <w:color w:val="auto"/>
                      <w:szCs w:val="21"/>
                      <w:highlight w:val="none"/>
                    </w:rPr>
                    <w:t>点位</w:t>
                  </w:r>
                </w:p>
              </w:tc>
              <w:tc>
                <w:tcPr>
                  <w:tcW w:w="1828" w:type="pct"/>
                  <w:noWrap w:val="0"/>
                  <w:vAlign w:val="center"/>
                </w:tcPr>
                <w:p w14:paraId="33025F2E">
                  <w:pPr>
                    <w:tabs>
                      <w:tab w:val="left" w:pos="3144"/>
                    </w:tabs>
                    <w:jc w:val="center"/>
                    <w:rPr>
                      <w:b/>
                      <w:bCs/>
                      <w:color w:val="auto"/>
                      <w:szCs w:val="21"/>
                      <w:highlight w:val="none"/>
                    </w:rPr>
                  </w:pPr>
                  <w:r>
                    <w:rPr>
                      <w:b/>
                      <w:bCs/>
                      <w:color w:val="auto"/>
                      <w:szCs w:val="21"/>
                      <w:highlight w:val="none"/>
                    </w:rPr>
                    <w:t>贡献值/</w:t>
                  </w:r>
                  <w:r>
                    <w:rPr>
                      <w:b/>
                      <w:color w:val="auto"/>
                      <w:szCs w:val="21"/>
                      <w:highlight w:val="none"/>
                    </w:rPr>
                    <w:t>dB（A）</w:t>
                  </w:r>
                </w:p>
              </w:tc>
              <w:tc>
                <w:tcPr>
                  <w:tcW w:w="1896" w:type="pct"/>
                  <w:noWrap w:val="0"/>
                  <w:vAlign w:val="center"/>
                </w:tcPr>
                <w:p w14:paraId="5F11E933">
                  <w:pPr>
                    <w:tabs>
                      <w:tab w:val="left" w:pos="3144"/>
                    </w:tabs>
                    <w:jc w:val="center"/>
                    <w:rPr>
                      <w:b/>
                      <w:bCs/>
                      <w:color w:val="auto"/>
                      <w:szCs w:val="21"/>
                      <w:highlight w:val="none"/>
                    </w:rPr>
                  </w:pPr>
                  <w:r>
                    <w:rPr>
                      <w:b/>
                      <w:bCs/>
                      <w:color w:val="auto"/>
                      <w:szCs w:val="21"/>
                      <w:highlight w:val="none"/>
                    </w:rPr>
                    <w:t>标准值/</w:t>
                  </w:r>
                  <w:r>
                    <w:rPr>
                      <w:b/>
                      <w:color w:val="auto"/>
                      <w:szCs w:val="21"/>
                      <w:highlight w:val="none"/>
                    </w:rPr>
                    <w:t>dB（A）</w:t>
                  </w:r>
                </w:p>
              </w:tc>
            </w:tr>
            <w:tr w14:paraId="74821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noWrap w:val="0"/>
                  <w:vAlign w:val="center"/>
                </w:tcPr>
                <w:p w14:paraId="19AB33AD">
                  <w:pPr>
                    <w:jc w:val="center"/>
                    <w:rPr>
                      <w:b/>
                      <w:bCs/>
                      <w:color w:val="auto"/>
                      <w:szCs w:val="21"/>
                      <w:highlight w:val="none"/>
                    </w:rPr>
                  </w:pPr>
                  <w:r>
                    <w:rPr>
                      <w:color w:val="auto"/>
                      <w:szCs w:val="21"/>
                      <w:highlight w:val="none"/>
                    </w:rPr>
                    <w:t>东厂界</w:t>
                  </w:r>
                </w:p>
              </w:tc>
              <w:tc>
                <w:tcPr>
                  <w:tcW w:w="1828" w:type="pct"/>
                  <w:noWrap w:val="0"/>
                  <w:vAlign w:val="center"/>
                </w:tcPr>
                <w:p w14:paraId="39110E52">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46</w:t>
                  </w:r>
                </w:p>
              </w:tc>
              <w:tc>
                <w:tcPr>
                  <w:tcW w:w="1896" w:type="pct"/>
                  <w:noWrap w:val="0"/>
                  <w:vAlign w:val="center"/>
                </w:tcPr>
                <w:p w14:paraId="298A46F3">
                  <w:pPr>
                    <w:widowControl/>
                    <w:jc w:val="center"/>
                    <w:rPr>
                      <w:rFonts w:hint="default"/>
                      <w:color w:val="auto"/>
                      <w:szCs w:val="21"/>
                      <w:highlight w:val="none"/>
                      <w:lang w:val="en-US" w:eastAsia="zh-CN"/>
                    </w:rPr>
                  </w:pPr>
                  <w:r>
                    <w:rPr>
                      <w:rFonts w:hint="eastAsia"/>
                      <w:color w:val="auto"/>
                      <w:szCs w:val="21"/>
                      <w:highlight w:val="none"/>
                      <w:lang w:val="en-US" w:eastAsia="zh-CN"/>
                    </w:rPr>
                    <w:t>65</w:t>
                  </w:r>
                </w:p>
              </w:tc>
            </w:tr>
            <w:tr w14:paraId="39585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noWrap w:val="0"/>
                  <w:vAlign w:val="center"/>
                </w:tcPr>
                <w:p w14:paraId="279992A2">
                  <w:pPr>
                    <w:jc w:val="center"/>
                    <w:rPr>
                      <w:b/>
                      <w:bCs/>
                      <w:color w:val="auto"/>
                      <w:szCs w:val="21"/>
                      <w:highlight w:val="none"/>
                    </w:rPr>
                  </w:pPr>
                  <w:r>
                    <w:rPr>
                      <w:color w:val="auto"/>
                      <w:szCs w:val="21"/>
                      <w:highlight w:val="none"/>
                    </w:rPr>
                    <w:t>南厂界</w:t>
                  </w:r>
                </w:p>
              </w:tc>
              <w:tc>
                <w:tcPr>
                  <w:tcW w:w="1828" w:type="pct"/>
                  <w:noWrap w:val="0"/>
                  <w:vAlign w:val="center"/>
                </w:tcPr>
                <w:p w14:paraId="36ABD39E">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61</w:t>
                  </w:r>
                </w:p>
              </w:tc>
              <w:tc>
                <w:tcPr>
                  <w:tcW w:w="1896" w:type="pct"/>
                  <w:noWrap w:val="0"/>
                  <w:vAlign w:val="center"/>
                </w:tcPr>
                <w:p w14:paraId="3497A30C">
                  <w:pPr>
                    <w:widowControl/>
                    <w:jc w:val="center"/>
                    <w:rPr>
                      <w:rFonts w:hint="default"/>
                      <w:color w:val="auto"/>
                      <w:szCs w:val="21"/>
                      <w:highlight w:val="none"/>
                      <w:lang w:val="en-US" w:eastAsia="zh-CN"/>
                    </w:rPr>
                  </w:pPr>
                  <w:r>
                    <w:rPr>
                      <w:rFonts w:hint="eastAsia"/>
                      <w:color w:val="auto"/>
                      <w:szCs w:val="21"/>
                      <w:highlight w:val="none"/>
                      <w:lang w:val="en-US" w:eastAsia="zh-CN"/>
                    </w:rPr>
                    <w:t>65</w:t>
                  </w:r>
                </w:p>
              </w:tc>
            </w:tr>
            <w:tr w14:paraId="1D24A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noWrap w:val="0"/>
                  <w:vAlign w:val="center"/>
                </w:tcPr>
                <w:p w14:paraId="03CAF570">
                  <w:pPr>
                    <w:jc w:val="center"/>
                    <w:rPr>
                      <w:b/>
                      <w:bCs/>
                      <w:color w:val="auto"/>
                      <w:szCs w:val="21"/>
                      <w:highlight w:val="none"/>
                    </w:rPr>
                  </w:pPr>
                  <w:r>
                    <w:rPr>
                      <w:color w:val="auto"/>
                      <w:szCs w:val="21"/>
                      <w:highlight w:val="none"/>
                    </w:rPr>
                    <w:t>西厂界</w:t>
                  </w:r>
                </w:p>
              </w:tc>
              <w:tc>
                <w:tcPr>
                  <w:tcW w:w="1828" w:type="pct"/>
                  <w:noWrap w:val="0"/>
                  <w:vAlign w:val="center"/>
                </w:tcPr>
                <w:p w14:paraId="02496B8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61</w:t>
                  </w:r>
                </w:p>
              </w:tc>
              <w:tc>
                <w:tcPr>
                  <w:tcW w:w="1896" w:type="pct"/>
                  <w:noWrap w:val="0"/>
                  <w:vAlign w:val="center"/>
                </w:tcPr>
                <w:p w14:paraId="1CB20791">
                  <w:pPr>
                    <w:widowControl/>
                    <w:jc w:val="center"/>
                    <w:rPr>
                      <w:rFonts w:hint="default"/>
                      <w:color w:val="auto"/>
                      <w:szCs w:val="21"/>
                      <w:highlight w:val="none"/>
                      <w:lang w:val="en-US" w:eastAsia="zh-CN"/>
                    </w:rPr>
                  </w:pPr>
                  <w:r>
                    <w:rPr>
                      <w:rFonts w:hint="eastAsia"/>
                      <w:color w:val="auto"/>
                      <w:szCs w:val="21"/>
                      <w:highlight w:val="none"/>
                      <w:lang w:val="en-US" w:eastAsia="zh-CN"/>
                    </w:rPr>
                    <w:t>65</w:t>
                  </w:r>
                </w:p>
              </w:tc>
            </w:tr>
            <w:tr w14:paraId="145F4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noWrap w:val="0"/>
                  <w:vAlign w:val="center"/>
                </w:tcPr>
                <w:p w14:paraId="3B7CD15C">
                  <w:pPr>
                    <w:jc w:val="center"/>
                    <w:rPr>
                      <w:b/>
                      <w:bCs/>
                      <w:color w:val="auto"/>
                      <w:szCs w:val="21"/>
                      <w:highlight w:val="none"/>
                    </w:rPr>
                  </w:pPr>
                  <w:r>
                    <w:rPr>
                      <w:color w:val="auto"/>
                      <w:szCs w:val="21"/>
                      <w:highlight w:val="none"/>
                    </w:rPr>
                    <w:t>北厂界</w:t>
                  </w:r>
                </w:p>
              </w:tc>
              <w:tc>
                <w:tcPr>
                  <w:tcW w:w="1828" w:type="pct"/>
                  <w:noWrap w:val="0"/>
                  <w:vAlign w:val="center"/>
                </w:tcPr>
                <w:p w14:paraId="27024B20">
                  <w:pPr>
                    <w:widowControl/>
                    <w:jc w:val="center"/>
                    <w:rPr>
                      <w:rFonts w:hint="default" w:eastAsia="宋体"/>
                      <w:color w:val="auto"/>
                      <w:szCs w:val="21"/>
                      <w:highlight w:val="none"/>
                      <w:lang w:val="en-US" w:eastAsia="zh-CN"/>
                    </w:rPr>
                  </w:pPr>
                  <w:r>
                    <w:rPr>
                      <w:rFonts w:hint="eastAsia"/>
                      <w:color w:val="auto"/>
                      <w:szCs w:val="21"/>
                      <w:highlight w:val="none"/>
                      <w:lang w:val="en-US" w:eastAsia="zh-CN"/>
                    </w:rPr>
                    <w:t>54</w:t>
                  </w:r>
                </w:p>
              </w:tc>
              <w:tc>
                <w:tcPr>
                  <w:tcW w:w="1896" w:type="pct"/>
                  <w:noWrap w:val="0"/>
                  <w:vAlign w:val="center"/>
                </w:tcPr>
                <w:p w14:paraId="2BAF9AEB">
                  <w:pPr>
                    <w:widowControl/>
                    <w:jc w:val="center"/>
                    <w:rPr>
                      <w:rFonts w:hint="default"/>
                      <w:color w:val="auto"/>
                      <w:szCs w:val="21"/>
                      <w:highlight w:val="none"/>
                      <w:lang w:val="en-US" w:eastAsia="zh-CN"/>
                    </w:rPr>
                  </w:pPr>
                  <w:r>
                    <w:rPr>
                      <w:rFonts w:hint="eastAsia"/>
                      <w:color w:val="auto"/>
                      <w:szCs w:val="21"/>
                      <w:highlight w:val="none"/>
                      <w:lang w:val="en-US" w:eastAsia="zh-CN"/>
                    </w:rPr>
                    <w:t>65</w:t>
                  </w:r>
                </w:p>
              </w:tc>
            </w:tr>
            <w:tr w14:paraId="4238F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7D7DE7A6">
                  <w:pPr>
                    <w:jc w:val="both"/>
                    <w:rPr>
                      <w:rFonts w:hint="default"/>
                      <w:color w:val="auto"/>
                      <w:szCs w:val="21"/>
                      <w:highlight w:val="none"/>
                      <w:lang w:val="en-US" w:eastAsia="zh-CN"/>
                    </w:rPr>
                  </w:pPr>
                  <w:r>
                    <w:rPr>
                      <w:rFonts w:hint="eastAsia"/>
                      <w:color w:val="auto"/>
                      <w:szCs w:val="21"/>
                      <w:highlight w:val="none"/>
                      <w:lang w:val="en-US" w:eastAsia="zh-CN"/>
                    </w:rPr>
                    <w:t>注：本项目夜间不生产；以陕西力拓重工机械有限公司三号厂房边界为本项目噪声预测厂界。</w:t>
                  </w:r>
                </w:p>
              </w:tc>
            </w:tr>
          </w:tbl>
          <w:p w14:paraId="60C2D937">
            <w:pPr>
              <w:pStyle w:val="7"/>
              <w:ind w:firstLine="480"/>
              <w:rPr>
                <w:color w:val="auto"/>
                <w:szCs w:val="32"/>
                <w:highlight w:val="none"/>
              </w:rPr>
            </w:pPr>
            <w:r>
              <w:rPr>
                <w:color w:val="auto"/>
                <w:highlight w:val="none"/>
              </w:rPr>
              <w:t>根据预测结果，</w:t>
            </w:r>
            <w:r>
              <w:rPr>
                <w:rFonts w:hint="eastAsia"/>
                <w:color w:val="auto"/>
                <w:highlight w:val="none"/>
              </w:rPr>
              <w:t>本项目厂界噪声贡献值</w:t>
            </w:r>
            <w:r>
              <w:rPr>
                <w:rFonts w:hint="eastAsia"/>
                <w:color w:val="auto"/>
                <w:highlight w:val="none"/>
                <w:lang w:val="en-US" w:eastAsia="zh-CN"/>
              </w:rPr>
              <w:t>均</w:t>
            </w:r>
            <w:r>
              <w:rPr>
                <w:rFonts w:hint="eastAsia"/>
                <w:color w:val="auto"/>
                <w:highlight w:val="none"/>
              </w:rPr>
              <w:t>能够达到</w:t>
            </w:r>
            <w:r>
              <w:rPr>
                <w:color w:val="auto"/>
                <w:highlight w:val="none"/>
              </w:rPr>
              <w:t>《</w:t>
            </w:r>
            <w:r>
              <w:rPr>
                <w:rFonts w:hint="eastAsia"/>
                <w:color w:val="auto"/>
                <w:highlight w:val="none"/>
              </w:rPr>
              <w:t>工业企业厂界环境噪声排放标准</w:t>
            </w:r>
            <w:r>
              <w:rPr>
                <w:color w:val="auto"/>
                <w:highlight w:val="none"/>
              </w:rPr>
              <w:t>》（GB</w:t>
            </w:r>
            <w:r>
              <w:rPr>
                <w:rFonts w:hint="eastAsia"/>
                <w:color w:val="auto"/>
                <w:highlight w:val="none"/>
              </w:rPr>
              <w:t>12348-2008</w:t>
            </w:r>
            <w:r>
              <w:rPr>
                <w:color w:val="auto"/>
                <w:highlight w:val="none"/>
              </w:rPr>
              <w:t>）中</w:t>
            </w:r>
            <w:r>
              <w:rPr>
                <w:rFonts w:hint="eastAsia"/>
                <w:color w:val="auto"/>
                <w:highlight w:val="none"/>
                <w:lang w:val="en-US" w:eastAsia="zh-CN"/>
              </w:rPr>
              <w:t>3</w:t>
            </w:r>
            <w:r>
              <w:rPr>
                <w:rFonts w:hint="eastAsia"/>
                <w:color w:val="auto"/>
                <w:highlight w:val="none"/>
              </w:rPr>
              <w:t>类标准限值，</w:t>
            </w:r>
            <w:r>
              <w:rPr>
                <w:color w:val="auto"/>
                <w:highlight w:val="none"/>
              </w:rPr>
              <w:t>因此项目运行对周边声环境的影响较小。</w:t>
            </w:r>
          </w:p>
          <w:p w14:paraId="4D07D7B8">
            <w:pPr>
              <w:spacing w:line="360" w:lineRule="auto"/>
              <w:ind w:firstLine="480" w:firstLineChars="200"/>
              <w:rPr>
                <w:color w:val="auto"/>
                <w:kern w:val="0"/>
                <w:sz w:val="24"/>
                <w:szCs w:val="32"/>
                <w:highlight w:val="none"/>
              </w:rPr>
            </w:pPr>
            <w:r>
              <w:rPr>
                <w:color w:val="auto"/>
                <w:kern w:val="0"/>
                <w:sz w:val="24"/>
                <w:szCs w:val="32"/>
                <w:highlight w:val="none"/>
              </w:rPr>
              <w:t>针对噪声特点，为进一步减少项目生产噪声对周边环境的影响，要求企业生产过程中落实以下措施：</w:t>
            </w:r>
          </w:p>
          <w:p w14:paraId="786C401E">
            <w:pPr>
              <w:spacing w:line="360" w:lineRule="auto"/>
              <w:ind w:firstLine="480" w:firstLineChars="200"/>
              <w:rPr>
                <w:color w:val="auto"/>
                <w:kern w:val="0"/>
                <w:sz w:val="24"/>
                <w:szCs w:val="32"/>
                <w:highlight w:val="none"/>
              </w:rPr>
            </w:pPr>
            <w:r>
              <w:rPr>
                <w:color w:val="auto"/>
                <w:kern w:val="0"/>
                <w:sz w:val="24"/>
                <w:szCs w:val="32"/>
                <w:highlight w:val="none"/>
              </w:rPr>
              <w:t>①从声源上控制，</w:t>
            </w:r>
            <w:r>
              <w:rPr>
                <w:rFonts w:hint="eastAsia"/>
                <w:color w:val="auto"/>
                <w:kern w:val="0"/>
                <w:sz w:val="24"/>
                <w:szCs w:val="32"/>
                <w:highlight w:val="none"/>
              </w:rPr>
              <w:t>选用低噪声设备</w:t>
            </w:r>
            <w:r>
              <w:rPr>
                <w:rFonts w:hint="eastAsia"/>
                <w:color w:val="auto"/>
                <w:kern w:val="0"/>
                <w:sz w:val="24"/>
                <w:szCs w:val="32"/>
                <w:highlight w:val="none"/>
                <w:lang w:eastAsia="zh-CN"/>
              </w:rPr>
              <w:t>；</w:t>
            </w:r>
            <w:r>
              <w:rPr>
                <w:rFonts w:hint="eastAsia"/>
                <w:color w:val="auto"/>
                <w:kern w:val="0"/>
                <w:sz w:val="24"/>
                <w:szCs w:val="32"/>
                <w:highlight w:val="none"/>
              </w:rPr>
              <w:t>建筑物隔声屏蔽及合理布局；其中搅拌罐、三维运动混</w:t>
            </w:r>
            <w:r>
              <w:rPr>
                <w:rFonts w:hint="eastAsia"/>
                <w:color w:val="auto"/>
                <w:kern w:val="0"/>
                <w:sz w:val="24"/>
                <w:szCs w:val="32"/>
                <w:highlight w:val="none"/>
                <w:lang w:val="en-US" w:eastAsia="zh-CN"/>
              </w:rPr>
              <w:t>料</w:t>
            </w:r>
            <w:r>
              <w:rPr>
                <w:rFonts w:hint="eastAsia"/>
                <w:color w:val="auto"/>
                <w:kern w:val="0"/>
                <w:sz w:val="24"/>
                <w:szCs w:val="32"/>
                <w:highlight w:val="none"/>
              </w:rPr>
              <w:t>机、热风循环烘箱、高速混合机、球磨机、电阻炉、井式加热炉、箱式电阻炉、液压机、上料粉尘处理装置（脉冲净化器）、有机废气处理装置（包含配套风机）均位于厂房内，采用基础减振降噪措施，有机废气处理装置配套风机加设隔声罩；空压机位于厂房内，采用基础减振加消声器降噪措施</w:t>
            </w:r>
            <w:r>
              <w:rPr>
                <w:color w:val="auto"/>
                <w:kern w:val="0"/>
                <w:sz w:val="24"/>
                <w:szCs w:val="32"/>
                <w:highlight w:val="none"/>
              </w:rPr>
              <w:t>。</w:t>
            </w:r>
          </w:p>
          <w:p w14:paraId="7A8BE251">
            <w:pPr>
              <w:spacing w:line="360" w:lineRule="auto"/>
              <w:ind w:firstLine="480" w:firstLineChars="200"/>
              <w:rPr>
                <w:color w:val="auto"/>
                <w:kern w:val="0"/>
                <w:sz w:val="24"/>
                <w:szCs w:val="32"/>
                <w:highlight w:val="none"/>
              </w:rPr>
            </w:pPr>
            <w:r>
              <w:rPr>
                <w:color w:val="auto"/>
                <w:kern w:val="0"/>
                <w:sz w:val="24"/>
                <w:szCs w:val="32"/>
                <w:highlight w:val="none"/>
              </w:rPr>
              <w:t>②加强设备的维护和保养，确保设备处于良好的运转状态，杜绝设备不正常运行产生高噪声的现象</w:t>
            </w:r>
            <w:r>
              <w:rPr>
                <w:rFonts w:hint="eastAsia"/>
                <w:color w:val="auto"/>
                <w:kern w:val="0"/>
                <w:sz w:val="24"/>
                <w:szCs w:val="32"/>
                <w:highlight w:val="none"/>
              </w:rPr>
              <w:t>。</w:t>
            </w:r>
          </w:p>
          <w:p w14:paraId="5E9133ED">
            <w:pPr>
              <w:spacing w:line="360" w:lineRule="auto"/>
              <w:ind w:firstLine="482" w:firstLineChars="200"/>
              <w:rPr>
                <w:b/>
                <w:bCs/>
                <w:color w:val="auto"/>
                <w:kern w:val="0"/>
                <w:sz w:val="24"/>
                <w:szCs w:val="32"/>
                <w:highlight w:val="none"/>
              </w:rPr>
            </w:pPr>
            <w:r>
              <w:rPr>
                <w:b/>
                <w:bCs/>
                <w:color w:val="auto"/>
                <w:kern w:val="0"/>
                <w:sz w:val="24"/>
                <w:szCs w:val="32"/>
                <w:highlight w:val="none"/>
              </w:rPr>
              <w:t>3、监测计划</w:t>
            </w:r>
          </w:p>
          <w:p w14:paraId="323F61AA">
            <w:pPr>
              <w:spacing w:line="360" w:lineRule="auto"/>
              <w:ind w:firstLine="480" w:firstLineChars="200"/>
              <w:rPr>
                <w:color w:val="auto"/>
                <w:kern w:val="0"/>
                <w:sz w:val="24"/>
                <w:szCs w:val="32"/>
                <w:highlight w:val="none"/>
              </w:rPr>
            </w:pPr>
            <w:r>
              <w:rPr>
                <w:rFonts w:hint="eastAsia"/>
                <w:color w:val="auto"/>
                <w:kern w:val="0"/>
                <w:sz w:val="24"/>
                <w:szCs w:val="32"/>
                <w:highlight w:val="none"/>
              </w:rPr>
              <w:t>根据《排污单位自行监测技术指南 总则》（HJ 819-2017）</w:t>
            </w:r>
            <w:r>
              <w:rPr>
                <w:rFonts w:hint="eastAsia"/>
                <w:color w:val="auto"/>
                <w:kern w:val="0"/>
                <w:sz w:val="24"/>
                <w:szCs w:val="32"/>
                <w:highlight w:val="none"/>
                <w:lang w:eastAsia="zh-CN"/>
              </w:rPr>
              <w:t>、</w:t>
            </w:r>
            <w:r>
              <w:rPr>
                <w:rFonts w:hint="eastAsia"/>
                <w:color w:val="auto"/>
                <w:kern w:val="0"/>
                <w:sz w:val="24"/>
                <w:szCs w:val="32"/>
                <w:highlight w:val="none"/>
                <w:lang w:eastAsia="zh-CN"/>
              </w:rPr>
              <w:t>《排污许可证申请与核发技术规范 电子工业》（HJ1031-2019）、《排污单位自行监测技术指南 电子工业》（HJ 1253—2022）</w:t>
            </w:r>
            <w:r>
              <w:rPr>
                <w:rFonts w:hint="eastAsia"/>
                <w:color w:val="auto"/>
                <w:kern w:val="0"/>
                <w:sz w:val="24"/>
                <w:szCs w:val="32"/>
                <w:highlight w:val="none"/>
              </w:rPr>
              <w:t>，</w:t>
            </w:r>
            <w:r>
              <w:rPr>
                <w:rFonts w:hint="eastAsia"/>
                <w:color w:val="auto"/>
                <w:kern w:val="0"/>
                <w:sz w:val="24"/>
                <w:szCs w:val="32"/>
                <w:highlight w:val="none"/>
              </w:rPr>
              <w:t>本项目</w:t>
            </w:r>
            <w:r>
              <w:rPr>
                <w:rFonts w:hint="eastAsia"/>
                <w:color w:val="auto"/>
                <w:kern w:val="0"/>
                <w:sz w:val="24"/>
                <w:szCs w:val="32"/>
                <w:highlight w:val="none"/>
                <w:lang w:val="en-US" w:eastAsia="zh-CN"/>
              </w:rPr>
              <w:t>噪声</w:t>
            </w:r>
            <w:r>
              <w:rPr>
                <w:rFonts w:hint="eastAsia"/>
                <w:color w:val="auto"/>
                <w:kern w:val="0"/>
                <w:sz w:val="24"/>
                <w:szCs w:val="32"/>
                <w:highlight w:val="none"/>
              </w:rPr>
              <w:t>监测计划</w:t>
            </w:r>
            <w:r>
              <w:rPr>
                <w:rFonts w:hint="eastAsia"/>
                <w:color w:val="auto"/>
                <w:kern w:val="0"/>
                <w:sz w:val="24"/>
                <w:szCs w:val="32"/>
                <w:highlight w:val="none"/>
                <w:lang w:val="en-US" w:eastAsia="zh-CN"/>
              </w:rPr>
              <w:t>见表4-11。</w:t>
            </w:r>
          </w:p>
          <w:p w14:paraId="1CA20FF1">
            <w:pPr>
              <w:jc w:val="center"/>
              <w:rPr>
                <w:b/>
                <w:bCs/>
                <w:color w:val="auto"/>
                <w:kern w:val="0"/>
                <w:sz w:val="24"/>
                <w:szCs w:val="32"/>
                <w:highlight w:val="none"/>
              </w:rPr>
            </w:pPr>
            <w:r>
              <w:rPr>
                <w:b/>
                <w:bCs/>
                <w:color w:val="auto"/>
                <w:kern w:val="0"/>
                <w:sz w:val="24"/>
                <w:szCs w:val="32"/>
                <w:highlight w:val="none"/>
              </w:rPr>
              <w:t>表4-</w:t>
            </w:r>
            <w:r>
              <w:rPr>
                <w:rFonts w:hint="eastAsia"/>
                <w:b/>
                <w:bCs/>
                <w:color w:val="auto"/>
                <w:kern w:val="0"/>
                <w:sz w:val="24"/>
                <w:szCs w:val="32"/>
                <w:highlight w:val="none"/>
              </w:rPr>
              <w:t>1</w:t>
            </w:r>
            <w:r>
              <w:rPr>
                <w:rFonts w:hint="eastAsia"/>
                <w:b/>
                <w:bCs/>
                <w:color w:val="auto"/>
                <w:kern w:val="0"/>
                <w:sz w:val="24"/>
                <w:szCs w:val="32"/>
                <w:highlight w:val="none"/>
                <w:lang w:val="en-US" w:eastAsia="zh-CN"/>
              </w:rPr>
              <w:t>1</w:t>
            </w:r>
            <w:r>
              <w:rPr>
                <w:b/>
                <w:bCs/>
                <w:color w:val="auto"/>
                <w:kern w:val="0"/>
                <w:sz w:val="24"/>
                <w:szCs w:val="32"/>
                <w:highlight w:val="none"/>
              </w:rPr>
              <w:t xml:space="preserve">  环境监测计划一览表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838"/>
              <w:gridCol w:w="1379"/>
              <w:gridCol w:w="4297"/>
            </w:tblGrid>
            <w:tr w14:paraId="4502E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26" w:type="pct"/>
                  <w:tcBorders>
                    <w:top w:val="single" w:color="auto" w:sz="12" w:space="0"/>
                    <w:left w:val="nil"/>
                    <w:bottom w:val="single" w:color="auto" w:sz="4" w:space="0"/>
                    <w:right w:val="single" w:color="auto" w:sz="4" w:space="0"/>
                  </w:tcBorders>
                  <w:noWrap w:val="0"/>
                  <w:vAlign w:val="center"/>
                </w:tcPr>
                <w:p w14:paraId="092A8DE6">
                  <w:pPr>
                    <w:jc w:val="center"/>
                    <w:rPr>
                      <w:b/>
                      <w:bCs/>
                      <w:color w:val="auto"/>
                      <w:kern w:val="0"/>
                      <w:szCs w:val="21"/>
                      <w:highlight w:val="none"/>
                    </w:rPr>
                  </w:pPr>
                  <w:r>
                    <w:rPr>
                      <w:b/>
                      <w:bCs/>
                      <w:color w:val="auto"/>
                      <w:kern w:val="0"/>
                      <w:szCs w:val="21"/>
                      <w:highlight w:val="none"/>
                    </w:rPr>
                    <w:t>监测点位</w:t>
                  </w:r>
                </w:p>
              </w:tc>
              <w:tc>
                <w:tcPr>
                  <w:tcW w:w="1045" w:type="pct"/>
                  <w:tcBorders>
                    <w:top w:val="single" w:color="auto" w:sz="12" w:space="0"/>
                    <w:left w:val="single" w:color="auto" w:sz="4" w:space="0"/>
                    <w:bottom w:val="single" w:color="auto" w:sz="4" w:space="0"/>
                    <w:right w:val="single" w:color="auto" w:sz="4" w:space="0"/>
                  </w:tcBorders>
                  <w:noWrap w:val="0"/>
                  <w:vAlign w:val="center"/>
                </w:tcPr>
                <w:p w14:paraId="6E1A046E">
                  <w:pPr>
                    <w:jc w:val="center"/>
                    <w:rPr>
                      <w:b/>
                      <w:bCs/>
                      <w:color w:val="auto"/>
                      <w:kern w:val="0"/>
                      <w:szCs w:val="21"/>
                      <w:highlight w:val="none"/>
                    </w:rPr>
                  </w:pPr>
                  <w:r>
                    <w:rPr>
                      <w:b/>
                      <w:bCs/>
                      <w:color w:val="auto"/>
                      <w:kern w:val="0"/>
                      <w:szCs w:val="21"/>
                      <w:highlight w:val="none"/>
                    </w:rPr>
                    <w:t>监测因子</w:t>
                  </w:r>
                </w:p>
              </w:tc>
              <w:tc>
                <w:tcPr>
                  <w:tcW w:w="784" w:type="pct"/>
                  <w:tcBorders>
                    <w:top w:val="single" w:color="auto" w:sz="12" w:space="0"/>
                    <w:left w:val="single" w:color="auto" w:sz="4" w:space="0"/>
                    <w:bottom w:val="single" w:color="auto" w:sz="4" w:space="0"/>
                    <w:right w:val="single" w:color="auto" w:sz="4" w:space="0"/>
                  </w:tcBorders>
                  <w:noWrap w:val="0"/>
                  <w:vAlign w:val="center"/>
                </w:tcPr>
                <w:p w14:paraId="52D3C0FE">
                  <w:pPr>
                    <w:jc w:val="center"/>
                    <w:rPr>
                      <w:b/>
                      <w:bCs/>
                      <w:color w:val="auto"/>
                      <w:kern w:val="0"/>
                      <w:szCs w:val="21"/>
                      <w:highlight w:val="none"/>
                    </w:rPr>
                  </w:pPr>
                  <w:r>
                    <w:rPr>
                      <w:b/>
                      <w:bCs/>
                      <w:color w:val="auto"/>
                      <w:kern w:val="0"/>
                      <w:szCs w:val="21"/>
                      <w:highlight w:val="none"/>
                    </w:rPr>
                    <w:t>监测频次</w:t>
                  </w:r>
                </w:p>
              </w:tc>
              <w:tc>
                <w:tcPr>
                  <w:tcW w:w="2443" w:type="pct"/>
                  <w:tcBorders>
                    <w:top w:val="single" w:color="auto" w:sz="12" w:space="0"/>
                    <w:left w:val="single" w:color="auto" w:sz="4" w:space="0"/>
                    <w:bottom w:val="single" w:color="auto" w:sz="4" w:space="0"/>
                    <w:right w:val="nil"/>
                  </w:tcBorders>
                  <w:noWrap w:val="0"/>
                  <w:vAlign w:val="center"/>
                </w:tcPr>
                <w:p w14:paraId="3F16AAE4">
                  <w:pPr>
                    <w:jc w:val="center"/>
                    <w:rPr>
                      <w:b/>
                      <w:bCs/>
                      <w:color w:val="auto"/>
                      <w:kern w:val="0"/>
                      <w:szCs w:val="21"/>
                      <w:highlight w:val="none"/>
                    </w:rPr>
                  </w:pPr>
                  <w:r>
                    <w:rPr>
                      <w:b/>
                      <w:bCs/>
                      <w:color w:val="auto"/>
                      <w:kern w:val="0"/>
                      <w:szCs w:val="21"/>
                      <w:highlight w:val="none"/>
                    </w:rPr>
                    <w:t>执行标准</w:t>
                  </w:r>
                </w:p>
              </w:tc>
            </w:tr>
            <w:tr w14:paraId="27309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26" w:type="pct"/>
                  <w:tcBorders>
                    <w:top w:val="single" w:color="auto" w:sz="4" w:space="0"/>
                    <w:left w:val="nil"/>
                    <w:bottom w:val="single" w:color="auto" w:sz="4" w:space="0"/>
                    <w:right w:val="single" w:color="auto" w:sz="4" w:space="0"/>
                  </w:tcBorders>
                  <w:noWrap w:val="0"/>
                  <w:vAlign w:val="center"/>
                </w:tcPr>
                <w:p w14:paraId="5112F3FE">
                  <w:pPr>
                    <w:jc w:val="center"/>
                    <w:rPr>
                      <w:color w:val="auto"/>
                      <w:kern w:val="0"/>
                      <w:szCs w:val="21"/>
                      <w:highlight w:val="none"/>
                    </w:rPr>
                  </w:pPr>
                  <w:r>
                    <w:rPr>
                      <w:rFonts w:hint="eastAsia"/>
                      <w:color w:val="auto"/>
                      <w:kern w:val="0"/>
                      <w:szCs w:val="21"/>
                      <w:highlight w:val="none"/>
                    </w:rPr>
                    <w:t>厂界</w:t>
                  </w:r>
                </w:p>
              </w:tc>
              <w:tc>
                <w:tcPr>
                  <w:tcW w:w="1045" w:type="pct"/>
                  <w:tcBorders>
                    <w:top w:val="single" w:color="auto" w:sz="4" w:space="0"/>
                    <w:left w:val="single" w:color="auto" w:sz="4" w:space="0"/>
                    <w:bottom w:val="single" w:color="auto" w:sz="4" w:space="0"/>
                    <w:right w:val="single" w:color="auto" w:sz="4" w:space="0"/>
                  </w:tcBorders>
                  <w:noWrap w:val="0"/>
                  <w:vAlign w:val="center"/>
                </w:tcPr>
                <w:p w14:paraId="793CAEC6">
                  <w:pPr>
                    <w:jc w:val="center"/>
                    <w:rPr>
                      <w:color w:val="auto"/>
                      <w:kern w:val="0"/>
                      <w:szCs w:val="21"/>
                      <w:highlight w:val="none"/>
                    </w:rPr>
                  </w:pPr>
                  <w:r>
                    <w:rPr>
                      <w:color w:val="auto"/>
                      <w:kern w:val="0"/>
                      <w:szCs w:val="21"/>
                      <w:highlight w:val="none"/>
                    </w:rPr>
                    <w:t>等效连续A声级</w:t>
                  </w:r>
                </w:p>
              </w:tc>
              <w:tc>
                <w:tcPr>
                  <w:tcW w:w="784" w:type="pct"/>
                  <w:tcBorders>
                    <w:top w:val="single" w:color="auto" w:sz="4" w:space="0"/>
                    <w:left w:val="single" w:color="auto" w:sz="4" w:space="0"/>
                    <w:bottom w:val="single" w:color="auto" w:sz="4" w:space="0"/>
                    <w:right w:val="single" w:color="auto" w:sz="4" w:space="0"/>
                  </w:tcBorders>
                  <w:noWrap w:val="0"/>
                  <w:vAlign w:val="center"/>
                </w:tcPr>
                <w:p w14:paraId="0E8CE0BB">
                  <w:pPr>
                    <w:jc w:val="center"/>
                    <w:rPr>
                      <w:color w:val="auto"/>
                      <w:kern w:val="0"/>
                      <w:szCs w:val="21"/>
                      <w:highlight w:val="none"/>
                    </w:rPr>
                  </w:pPr>
                  <w:r>
                    <w:rPr>
                      <w:color w:val="auto"/>
                      <w:szCs w:val="21"/>
                      <w:highlight w:val="none"/>
                    </w:rPr>
                    <w:t>1次/季度</w:t>
                  </w:r>
                </w:p>
              </w:tc>
              <w:tc>
                <w:tcPr>
                  <w:tcW w:w="2443" w:type="pct"/>
                  <w:tcBorders>
                    <w:top w:val="single" w:color="auto" w:sz="4" w:space="0"/>
                    <w:left w:val="single" w:color="auto" w:sz="4" w:space="0"/>
                    <w:bottom w:val="single" w:color="auto" w:sz="4" w:space="0"/>
                    <w:right w:val="nil"/>
                  </w:tcBorders>
                  <w:noWrap w:val="0"/>
                  <w:vAlign w:val="center"/>
                </w:tcPr>
                <w:p w14:paraId="215C77B2">
                  <w:pPr>
                    <w:jc w:val="center"/>
                    <w:rPr>
                      <w:color w:val="auto"/>
                      <w:kern w:val="0"/>
                      <w:szCs w:val="21"/>
                      <w:highlight w:val="none"/>
                    </w:rPr>
                  </w:pPr>
                  <w:r>
                    <w:rPr>
                      <w:color w:val="auto"/>
                      <w:szCs w:val="21"/>
                      <w:highlight w:val="none"/>
                    </w:rPr>
                    <w:t>《工业企业厂界环境噪声排放标准》（GB12348-2008）</w:t>
                  </w:r>
                  <w:r>
                    <w:rPr>
                      <w:rFonts w:hint="eastAsia"/>
                      <w:color w:val="auto"/>
                      <w:szCs w:val="21"/>
                      <w:highlight w:val="none"/>
                      <w:lang w:val="en-US" w:eastAsia="zh-CN"/>
                    </w:rPr>
                    <w:t>3</w:t>
                  </w:r>
                  <w:r>
                    <w:rPr>
                      <w:color w:val="auto"/>
                      <w:szCs w:val="21"/>
                      <w:highlight w:val="none"/>
                    </w:rPr>
                    <w:t>类标准限值</w:t>
                  </w:r>
                </w:p>
              </w:tc>
            </w:tr>
          </w:tbl>
          <w:p w14:paraId="2A139E02">
            <w:pPr>
              <w:pStyle w:val="7"/>
              <w:spacing w:before="120" w:beforeLines="50"/>
              <w:ind w:firstLine="482"/>
              <w:rPr>
                <w:b/>
                <w:bCs/>
                <w:color w:val="auto"/>
                <w:highlight w:val="none"/>
              </w:rPr>
            </w:pPr>
            <w:r>
              <w:rPr>
                <w:rFonts w:hint="eastAsia"/>
                <w:b/>
                <w:bCs/>
                <w:color w:val="auto"/>
                <w:highlight w:val="none"/>
              </w:rPr>
              <w:t>四、固废</w:t>
            </w:r>
          </w:p>
          <w:p w14:paraId="079BA15E">
            <w:pPr>
              <w:spacing w:line="360" w:lineRule="auto"/>
              <w:ind w:firstLine="459"/>
              <w:rPr>
                <w:b/>
                <w:bCs/>
                <w:color w:val="auto"/>
                <w:sz w:val="24"/>
                <w:highlight w:val="none"/>
              </w:rPr>
            </w:pPr>
            <w:r>
              <w:rPr>
                <w:rFonts w:hint="eastAsia"/>
                <w:b/>
                <w:bCs/>
                <w:color w:val="auto"/>
                <w:sz w:val="24"/>
                <w:highlight w:val="none"/>
              </w:rPr>
              <w:t>1、固废产生情况</w:t>
            </w:r>
          </w:p>
          <w:p w14:paraId="1174BEE0">
            <w:pPr>
              <w:widowControl/>
              <w:spacing w:line="360" w:lineRule="auto"/>
              <w:ind w:firstLine="480" w:firstLineChars="200"/>
              <w:rPr>
                <w:color w:val="auto"/>
                <w:sz w:val="24"/>
                <w:highlight w:val="none"/>
              </w:rPr>
            </w:pPr>
            <w:r>
              <w:rPr>
                <w:rFonts w:ascii="宋体" w:hAnsi="宋体" w:cs="宋体"/>
                <w:color w:val="auto"/>
                <w:kern w:val="24"/>
                <w:sz w:val="24"/>
                <w:highlight w:val="none"/>
              </w:rPr>
              <w:t>项目运营期产生的固废主要包括生活垃圾</w:t>
            </w:r>
            <w:r>
              <w:rPr>
                <w:rFonts w:hint="eastAsia" w:ascii="宋体" w:hAnsi="宋体" w:cs="宋体"/>
                <w:color w:val="auto"/>
                <w:kern w:val="24"/>
                <w:sz w:val="24"/>
                <w:highlight w:val="none"/>
              </w:rPr>
              <w:t>、</w:t>
            </w:r>
            <w:r>
              <w:rPr>
                <w:rFonts w:ascii="宋体" w:hAnsi="宋体" w:cs="宋体"/>
                <w:color w:val="auto"/>
                <w:kern w:val="24"/>
                <w:sz w:val="24"/>
                <w:highlight w:val="none"/>
              </w:rPr>
              <w:t>一般工业固废及危险废物</w:t>
            </w:r>
            <w:r>
              <w:rPr>
                <w:rFonts w:hint="eastAsia" w:ascii="宋体" w:hAnsi="宋体" w:cs="宋体"/>
                <w:color w:val="auto"/>
                <w:kern w:val="24"/>
                <w:sz w:val="24"/>
                <w:highlight w:val="none"/>
                <w:lang w:eastAsia="zh-CN"/>
              </w:rPr>
              <w:t>。</w:t>
            </w:r>
          </w:p>
          <w:p w14:paraId="3C8E0289">
            <w:pPr>
              <w:widowControl/>
              <w:spacing w:line="360" w:lineRule="auto"/>
              <w:ind w:firstLine="480" w:firstLineChars="200"/>
              <w:rPr>
                <w:color w:val="auto"/>
                <w:sz w:val="24"/>
                <w:highlight w:val="none"/>
              </w:rPr>
            </w:pPr>
            <w:r>
              <w:rPr>
                <w:color w:val="auto"/>
                <w:sz w:val="24"/>
                <w:highlight w:val="none"/>
              </w:rPr>
              <w:t>①生活垃圾</w:t>
            </w:r>
          </w:p>
          <w:p w14:paraId="406A4E75">
            <w:pPr>
              <w:spacing w:line="360" w:lineRule="auto"/>
              <w:ind w:firstLine="480" w:firstLineChars="200"/>
              <w:rPr>
                <w:color w:val="auto"/>
                <w:sz w:val="24"/>
                <w:szCs w:val="28"/>
                <w:highlight w:val="none"/>
              </w:rPr>
            </w:pPr>
            <w:r>
              <w:rPr>
                <w:color w:val="auto"/>
                <w:sz w:val="24"/>
                <w:highlight w:val="none"/>
              </w:rPr>
              <w:t>本项目劳动定员为</w:t>
            </w:r>
            <w:r>
              <w:rPr>
                <w:rFonts w:hint="eastAsia"/>
                <w:color w:val="auto"/>
                <w:sz w:val="24"/>
                <w:highlight w:val="none"/>
                <w:lang w:val="en-US" w:eastAsia="zh-CN"/>
              </w:rPr>
              <w:t>5</w:t>
            </w:r>
            <w:r>
              <w:rPr>
                <w:color w:val="auto"/>
                <w:sz w:val="24"/>
                <w:highlight w:val="none"/>
              </w:rPr>
              <w:t>人</w:t>
            </w:r>
            <w:r>
              <w:rPr>
                <w:color w:val="auto"/>
                <w:sz w:val="24"/>
                <w:szCs w:val="28"/>
                <w:highlight w:val="none"/>
              </w:rPr>
              <w:t>，</w:t>
            </w:r>
            <w:r>
              <w:rPr>
                <w:color w:val="auto"/>
                <w:spacing w:val="2"/>
                <w:sz w:val="24"/>
                <w:highlight w:val="none"/>
              </w:rPr>
              <w:t>生活垃圾产生量按0.5kg/d·人计算，则生活垃圾产生量为</w:t>
            </w:r>
            <w:r>
              <w:rPr>
                <w:rFonts w:hint="eastAsia"/>
                <w:color w:val="auto"/>
                <w:spacing w:val="2"/>
                <w:sz w:val="24"/>
                <w:highlight w:val="none"/>
                <w:lang w:val="en-US" w:eastAsia="zh-CN"/>
              </w:rPr>
              <w:t>0.75</w:t>
            </w:r>
            <w:r>
              <w:rPr>
                <w:color w:val="auto"/>
                <w:spacing w:val="2"/>
                <w:sz w:val="24"/>
                <w:highlight w:val="none"/>
              </w:rPr>
              <w:t>t/a，采用分类垃圾桶对生活垃圾进行分类收集，日产日清，</w:t>
            </w:r>
            <w:r>
              <w:rPr>
                <w:color w:val="auto"/>
                <w:sz w:val="24"/>
                <w:highlight w:val="none"/>
              </w:rPr>
              <w:t>由</w:t>
            </w:r>
            <w:r>
              <w:rPr>
                <w:color w:val="auto"/>
                <w:sz w:val="24"/>
                <w:szCs w:val="32"/>
                <w:highlight w:val="none"/>
              </w:rPr>
              <w:t>市政环卫部门定期清运</w:t>
            </w:r>
            <w:r>
              <w:rPr>
                <w:color w:val="auto"/>
                <w:spacing w:val="2"/>
                <w:sz w:val="24"/>
                <w:highlight w:val="none"/>
              </w:rPr>
              <w:t>。</w:t>
            </w:r>
          </w:p>
          <w:p w14:paraId="426E33F0">
            <w:pPr>
              <w:widowControl/>
              <w:spacing w:line="360" w:lineRule="auto"/>
              <w:ind w:firstLine="480" w:firstLineChars="200"/>
              <w:rPr>
                <w:color w:val="auto"/>
                <w:sz w:val="24"/>
                <w:highlight w:val="none"/>
              </w:rPr>
            </w:pPr>
            <w:r>
              <w:rPr>
                <w:color w:val="auto"/>
                <w:sz w:val="24"/>
                <w:highlight w:val="none"/>
              </w:rPr>
              <w:t>②</w:t>
            </w:r>
            <w:r>
              <w:rPr>
                <w:rFonts w:ascii="宋体" w:hAnsi="宋体" w:cs="宋体"/>
                <w:color w:val="auto"/>
                <w:kern w:val="24"/>
                <w:sz w:val="24"/>
                <w:highlight w:val="none"/>
              </w:rPr>
              <w:t>一般工业固废</w:t>
            </w:r>
          </w:p>
          <w:p w14:paraId="2171BAF3">
            <w:pPr>
              <w:tabs>
                <w:tab w:val="left" w:pos="2610"/>
              </w:tabs>
              <w:spacing w:line="360" w:lineRule="auto"/>
              <w:ind w:firstLine="482"/>
              <w:rPr>
                <w:rFonts w:hint="default" w:eastAsia="宋体"/>
                <w:color w:val="auto"/>
                <w:sz w:val="24"/>
                <w:highlight w:val="none"/>
                <w:lang w:val="en-US" w:eastAsia="zh-CN"/>
              </w:rPr>
            </w:pPr>
            <w:r>
              <w:rPr>
                <w:rFonts w:hint="eastAsia"/>
                <w:color w:val="auto"/>
                <w:sz w:val="24"/>
                <w:highlight w:val="none"/>
              </w:rPr>
              <w:t>一般工业固废包括</w:t>
            </w:r>
            <w:r>
              <w:rPr>
                <w:rFonts w:hint="eastAsia"/>
                <w:color w:val="auto"/>
                <w:sz w:val="24"/>
                <w:highlight w:val="none"/>
                <w:lang w:val="en-US" w:eastAsia="zh-CN"/>
              </w:rPr>
              <w:t>除尘灰、废模具、废边角料、废包装材料、废铝合金。</w:t>
            </w:r>
          </w:p>
          <w:p w14:paraId="3772EB27">
            <w:pPr>
              <w:tabs>
                <w:tab w:val="left" w:pos="2610"/>
              </w:tabs>
              <w:spacing w:line="360" w:lineRule="auto"/>
              <w:ind w:firstLine="482"/>
              <w:rPr>
                <w:rFonts w:hint="eastAsia"/>
                <w:color w:val="auto"/>
                <w:sz w:val="24"/>
                <w:highlight w:val="none"/>
                <w:lang w:val="en-US" w:eastAsia="zh-CN"/>
              </w:rPr>
            </w:pPr>
            <w:r>
              <w:rPr>
                <w:rFonts w:hint="eastAsia"/>
                <w:color w:val="auto"/>
                <w:sz w:val="24"/>
                <w:highlight w:val="none"/>
                <w:lang w:val="en-US" w:eastAsia="zh-CN"/>
              </w:rPr>
              <w:t>a除尘灰：</w:t>
            </w:r>
            <w:r>
              <w:rPr>
                <w:rFonts w:hint="eastAsia"/>
                <w:color w:val="auto"/>
                <w:kern w:val="24"/>
                <w:sz w:val="24"/>
                <w:highlight w:val="none"/>
              </w:rPr>
              <w:t>根据工程分析，本项目</w:t>
            </w:r>
            <w:r>
              <w:rPr>
                <w:rFonts w:hint="eastAsia"/>
                <w:color w:val="auto"/>
                <w:kern w:val="24"/>
                <w:sz w:val="24"/>
                <w:highlight w:val="none"/>
                <w:lang w:val="en-US" w:eastAsia="zh-CN"/>
              </w:rPr>
              <w:t>除尘灰</w:t>
            </w:r>
            <w:r>
              <w:rPr>
                <w:rFonts w:hint="eastAsia"/>
                <w:color w:val="auto"/>
                <w:kern w:val="24"/>
                <w:sz w:val="24"/>
                <w:highlight w:val="none"/>
              </w:rPr>
              <w:t>产生量约为</w:t>
            </w:r>
            <w:r>
              <w:rPr>
                <w:rFonts w:hint="eastAsia"/>
                <w:color w:val="auto"/>
                <w:spacing w:val="2"/>
                <w:sz w:val="24"/>
                <w:highlight w:val="none"/>
                <w:lang w:val="en-US" w:eastAsia="zh-CN"/>
              </w:rPr>
              <w:t>0.000092</w:t>
            </w:r>
            <w:r>
              <w:rPr>
                <w:color w:val="auto"/>
                <w:spacing w:val="2"/>
                <w:sz w:val="24"/>
                <w:highlight w:val="none"/>
              </w:rPr>
              <w:t>t/a</w:t>
            </w:r>
            <w:r>
              <w:rPr>
                <w:rFonts w:hint="eastAsia"/>
                <w:color w:val="auto"/>
                <w:spacing w:val="2"/>
                <w:sz w:val="24"/>
                <w:highlight w:val="none"/>
              </w:rPr>
              <w:t>，收集后暂存于一般工业固废暂存区（位于库房北部，面积10m</w:t>
            </w:r>
            <w:r>
              <w:rPr>
                <w:rFonts w:hint="eastAsia"/>
                <w:color w:val="auto"/>
                <w:spacing w:val="2"/>
                <w:sz w:val="24"/>
                <w:highlight w:val="none"/>
                <w:vertAlign w:val="superscript"/>
              </w:rPr>
              <w:t>2</w:t>
            </w:r>
            <w:r>
              <w:rPr>
                <w:rFonts w:hint="eastAsia"/>
                <w:color w:val="auto"/>
                <w:spacing w:val="2"/>
                <w:sz w:val="24"/>
                <w:highlight w:val="none"/>
              </w:rPr>
              <w:t>），定期</w:t>
            </w:r>
            <w:r>
              <w:rPr>
                <w:rFonts w:hint="eastAsia"/>
                <w:color w:val="auto"/>
                <w:spacing w:val="2"/>
                <w:sz w:val="24"/>
                <w:highlight w:val="none"/>
                <w:lang w:val="en-US" w:eastAsia="zh-CN"/>
              </w:rPr>
              <w:t>回收</w:t>
            </w:r>
            <w:r>
              <w:rPr>
                <w:rFonts w:hint="eastAsia"/>
                <w:color w:val="auto"/>
                <w:spacing w:val="2"/>
                <w:sz w:val="24"/>
                <w:highlight w:val="none"/>
              </w:rPr>
              <w:t>综合利用。</w:t>
            </w:r>
          </w:p>
          <w:p w14:paraId="422D2C63">
            <w:pPr>
              <w:tabs>
                <w:tab w:val="left" w:pos="2610"/>
              </w:tabs>
              <w:spacing w:line="360" w:lineRule="auto"/>
              <w:ind w:firstLine="482"/>
              <w:rPr>
                <w:rFonts w:hint="default"/>
                <w:color w:val="auto"/>
                <w:sz w:val="24"/>
                <w:highlight w:val="none"/>
                <w:lang w:val="en-US" w:eastAsia="zh-CN"/>
              </w:rPr>
            </w:pPr>
            <w:r>
              <w:rPr>
                <w:rFonts w:hint="eastAsia"/>
                <w:color w:val="auto"/>
                <w:sz w:val="24"/>
                <w:highlight w:val="none"/>
                <w:lang w:val="en-US" w:eastAsia="zh-CN"/>
              </w:rPr>
              <w:t>b废模具：根据建设单位提供资料，本项目废模具产生量为0.1t/a，</w:t>
            </w:r>
            <w:r>
              <w:rPr>
                <w:rFonts w:hint="eastAsia"/>
                <w:color w:val="auto"/>
                <w:spacing w:val="2"/>
                <w:sz w:val="24"/>
                <w:highlight w:val="none"/>
              </w:rPr>
              <w:t>收集后暂存于一般工业固废暂存区（位于库房北部，面积10m</w:t>
            </w:r>
            <w:r>
              <w:rPr>
                <w:rFonts w:hint="eastAsia"/>
                <w:color w:val="auto"/>
                <w:spacing w:val="2"/>
                <w:sz w:val="24"/>
                <w:highlight w:val="none"/>
                <w:vertAlign w:val="superscript"/>
              </w:rPr>
              <w:t>2</w:t>
            </w:r>
            <w:r>
              <w:rPr>
                <w:rFonts w:hint="eastAsia"/>
                <w:color w:val="auto"/>
                <w:spacing w:val="2"/>
                <w:sz w:val="24"/>
                <w:highlight w:val="none"/>
              </w:rPr>
              <w:t>），</w:t>
            </w:r>
            <w:r>
              <w:rPr>
                <w:rFonts w:hint="eastAsia"/>
                <w:color w:val="auto"/>
                <w:spacing w:val="2"/>
                <w:sz w:val="24"/>
                <w:highlight w:val="none"/>
                <w:lang w:val="en-US" w:eastAsia="zh-CN"/>
              </w:rPr>
              <w:t>厂家</w:t>
            </w:r>
            <w:r>
              <w:rPr>
                <w:rFonts w:hint="eastAsia"/>
                <w:color w:val="auto"/>
                <w:spacing w:val="2"/>
                <w:sz w:val="24"/>
                <w:highlight w:val="none"/>
              </w:rPr>
              <w:t>定期</w:t>
            </w:r>
            <w:r>
              <w:rPr>
                <w:rFonts w:hint="eastAsia"/>
                <w:color w:val="auto"/>
                <w:spacing w:val="2"/>
                <w:sz w:val="24"/>
                <w:highlight w:val="none"/>
                <w:lang w:val="en-US" w:eastAsia="zh-CN"/>
              </w:rPr>
              <w:t>回收</w:t>
            </w:r>
            <w:r>
              <w:rPr>
                <w:rFonts w:hint="eastAsia"/>
                <w:color w:val="auto"/>
                <w:spacing w:val="2"/>
                <w:sz w:val="24"/>
                <w:highlight w:val="none"/>
              </w:rPr>
              <w:t>。</w:t>
            </w:r>
          </w:p>
          <w:p w14:paraId="173102E7">
            <w:pPr>
              <w:tabs>
                <w:tab w:val="left" w:pos="2610"/>
              </w:tabs>
              <w:spacing w:line="360" w:lineRule="auto"/>
              <w:ind w:firstLine="482"/>
              <w:rPr>
                <w:rFonts w:hint="default"/>
                <w:color w:val="auto"/>
                <w:sz w:val="24"/>
                <w:highlight w:val="none"/>
                <w:lang w:val="en-US" w:eastAsia="zh-CN"/>
              </w:rPr>
            </w:pPr>
            <w:r>
              <w:rPr>
                <w:rFonts w:hint="eastAsia"/>
                <w:color w:val="auto"/>
                <w:sz w:val="24"/>
                <w:highlight w:val="none"/>
                <w:lang w:val="en-US" w:eastAsia="zh-CN"/>
              </w:rPr>
              <w:t>c废边角料：根据建设单位提供资料，本项目废边角料产生量为0.2t/a，</w:t>
            </w:r>
            <w:r>
              <w:rPr>
                <w:rFonts w:hint="eastAsia"/>
                <w:color w:val="auto"/>
                <w:spacing w:val="2"/>
                <w:sz w:val="24"/>
                <w:highlight w:val="none"/>
              </w:rPr>
              <w:t>收集后暂存于一般工业固废暂存区（位于库房北部，面积10m</w:t>
            </w:r>
            <w:r>
              <w:rPr>
                <w:rFonts w:hint="eastAsia"/>
                <w:color w:val="auto"/>
                <w:spacing w:val="2"/>
                <w:sz w:val="24"/>
                <w:highlight w:val="none"/>
                <w:vertAlign w:val="superscript"/>
              </w:rPr>
              <w:t>2</w:t>
            </w:r>
            <w:r>
              <w:rPr>
                <w:rFonts w:hint="eastAsia"/>
                <w:color w:val="auto"/>
                <w:spacing w:val="2"/>
                <w:sz w:val="24"/>
                <w:highlight w:val="none"/>
              </w:rPr>
              <w:t>），定期外售综合利用。</w:t>
            </w:r>
          </w:p>
          <w:p w14:paraId="3B6200E5">
            <w:pPr>
              <w:tabs>
                <w:tab w:val="left" w:pos="2610"/>
              </w:tabs>
              <w:spacing w:line="360" w:lineRule="auto"/>
              <w:ind w:firstLine="482"/>
              <w:rPr>
                <w:rFonts w:hint="eastAsia"/>
                <w:color w:val="auto"/>
                <w:sz w:val="24"/>
                <w:highlight w:val="none"/>
                <w:lang w:val="en-US" w:eastAsia="zh-CN"/>
              </w:rPr>
            </w:pPr>
            <w:r>
              <w:rPr>
                <w:rFonts w:hint="eastAsia"/>
                <w:color w:val="auto"/>
                <w:sz w:val="24"/>
                <w:highlight w:val="none"/>
                <w:lang w:val="en-US" w:eastAsia="zh-CN"/>
              </w:rPr>
              <w:t>d废包装材料：根据建设单位提供资料，本项目废包装材料产生量为0.1t/a，</w:t>
            </w:r>
            <w:r>
              <w:rPr>
                <w:rFonts w:hint="eastAsia"/>
                <w:color w:val="auto"/>
                <w:spacing w:val="2"/>
                <w:sz w:val="24"/>
                <w:highlight w:val="none"/>
              </w:rPr>
              <w:t>收集后暂存于一般工业固废暂存区（位于库房北部，面积10m</w:t>
            </w:r>
            <w:r>
              <w:rPr>
                <w:rFonts w:hint="eastAsia"/>
                <w:color w:val="auto"/>
                <w:spacing w:val="2"/>
                <w:sz w:val="24"/>
                <w:highlight w:val="none"/>
                <w:vertAlign w:val="superscript"/>
              </w:rPr>
              <w:t>2</w:t>
            </w:r>
            <w:r>
              <w:rPr>
                <w:rFonts w:hint="eastAsia"/>
                <w:color w:val="auto"/>
                <w:spacing w:val="2"/>
                <w:sz w:val="24"/>
                <w:highlight w:val="none"/>
              </w:rPr>
              <w:t>），定期外售综合利用。</w:t>
            </w:r>
          </w:p>
          <w:p w14:paraId="6B210318">
            <w:pPr>
              <w:tabs>
                <w:tab w:val="left" w:pos="2610"/>
              </w:tabs>
              <w:spacing w:line="360" w:lineRule="auto"/>
              <w:ind w:firstLine="482"/>
              <w:rPr>
                <w:rFonts w:hint="eastAsia"/>
                <w:color w:val="auto"/>
                <w:sz w:val="24"/>
                <w:highlight w:val="none"/>
                <w:lang w:val="en-US" w:eastAsia="zh-CN"/>
              </w:rPr>
            </w:pPr>
            <w:r>
              <w:rPr>
                <w:rFonts w:hint="eastAsia"/>
                <w:color w:val="auto"/>
                <w:sz w:val="24"/>
                <w:highlight w:val="none"/>
                <w:lang w:val="en-US" w:eastAsia="zh-CN"/>
              </w:rPr>
              <w:t>e废铝合金：根据建设单位提供资料，本项目废铝合金产生量为0.1t/a，</w:t>
            </w:r>
            <w:r>
              <w:rPr>
                <w:rFonts w:hint="eastAsia"/>
                <w:color w:val="auto"/>
                <w:spacing w:val="2"/>
                <w:sz w:val="24"/>
                <w:highlight w:val="none"/>
              </w:rPr>
              <w:t>收集后暂存于一般工业固废暂存区（位于库房北部，面积10m</w:t>
            </w:r>
            <w:r>
              <w:rPr>
                <w:rFonts w:hint="eastAsia"/>
                <w:color w:val="auto"/>
                <w:spacing w:val="2"/>
                <w:sz w:val="24"/>
                <w:highlight w:val="none"/>
                <w:vertAlign w:val="superscript"/>
              </w:rPr>
              <w:t>2</w:t>
            </w:r>
            <w:r>
              <w:rPr>
                <w:rFonts w:hint="eastAsia"/>
                <w:color w:val="auto"/>
                <w:spacing w:val="2"/>
                <w:sz w:val="24"/>
                <w:highlight w:val="none"/>
              </w:rPr>
              <w:t>），定期外售综合利用。</w:t>
            </w:r>
          </w:p>
          <w:p w14:paraId="10C09663">
            <w:pPr>
              <w:tabs>
                <w:tab w:val="left" w:pos="2610"/>
              </w:tabs>
              <w:spacing w:line="360" w:lineRule="auto"/>
              <w:ind w:firstLine="482"/>
              <w:rPr>
                <w:rFonts w:hint="eastAsia" w:eastAsia="宋体"/>
                <w:color w:val="auto"/>
                <w:sz w:val="24"/>
                <w:highlight w:val="none"/>
                <w:lang w:val="en-US" w:eastAsia="zh-CN"/>
              </w:rPr>
            </w:pPr>
            <w:r>
              <w:rPr>
                <w:rFonts w:hint="eastAsia"/>
                <w:color w:val="auto"/>
                <w:sz w:val="24"/>
                <w:highlight w:val="none"/>
                <w:lang w:val="en-US" w:eastAsia="zh-CN"/>
              </w:rPr>
              <w:t>③危险废物</w:t>
            </w:r>
          </w:p>
          <w:p w14:paraId="59E5375E">
            <w:pPr>
              <w:tabs>
                <w:tab w:val="left" w:pos="2610"/>
              </w:tabs>
              <w:spacing w:line="360" w:lineRule="auto"/>
              <w:ind w:firstLine="482"/>
              <w:rPr>
                <w:rFonts w:hint="eastAsia"/>
                <w:color w:val="auto"/>
                <w:kern w:val="24"/>
                <w:sz w:val="24"/>
                <w:highlight w:val="none"/>
                <w:lang w:val="en-US" w:eastAsia="zh-CN"/>
              </w:rPr>
            </w:pPr>
            <w:r>
              <w:rPr>
                <w:color w:val="auto"/>
                <w:kern w:val="24"/>
                <w:sz w:val="24"/>
                <w:highlight w:val="none"/>
              </w:rPr>
              <w:t>危险废物</w:t>
            </w:r>
            <w:r>
              <w:rPr>
                <w:rFonts w:hint="eastAsia"/>
                <w:color w:val="auto"/>
                <w:kern w:val="24"/>
                <w:sz w:val="24"/>
                <w:highlight w:val="none"/>
              </w:rPr>
              <w:t>包括</w:t>
            </w:r>
            <w:r>
              <w:rPr>
                <w:rFonts w:hint="eastAsia"/>
                <w:color w:val="auto"/>
                <w:kern w:val="24"/>
                <w:sz w:val="24"/>
                <w:highlight w:val="none"/>
                <w:lang w:val="en-US" w:eastAsia="zh-CN"/>
              </w:rPr>
              <w:t>有机废气处理产生的废活性炭、废油桶、废含油抹布。</w:t>
            </w:r>
          </w:p>
          <w:p w14:paraId="195ABD4E">
            <w:pPr>
              <w:tabs>
                <w:tab w:val="left" w:pos="2610"/>
              </w:tabs>
              <w:spacing w:line="360" w:lineRule="auto"/>
              <w:ind w:firstLine="482"/>
              <w:rPr>
                <w:rFonts w:hint="eastAsia"/>
                <w:color w:val="auto"/>
                <w:kern w:val="24"/>
                <w:sz w:val="24"/>
                <w:highlight w:val="none"/>
                <w:lang w:val="en-US" w:eastAsia="zh-CN"/>
              </w:rPr>
            </w:pPr>
            <w:r>
              <w:rPr>
                <w:rFonts w:hint="eastAsia"/>
                <w:color w:val="auto"/>
                <w:kern w:val="24"/>
                <w:sz w:val="24"/>
                <w:highlight w:val="none"/>
                <w:lang w:val="en-US" w:eastAsia="zh-CN"/>
              </w:rPr>
              <w:t>a废活性炭：</w:t>
            </w:r>
            <w:r>
              <w:rPr>
                <w:color w:val="auto"/>
                <w:kern w:val="0"/>
                <w:sz w:val="24"/>
                <w:highlight w:val="none"/>
                <w:lang w:bidi="ar"/>
              </w:rPr>
              <w:t>本项目采用“活性炭吸附装置”处理有机废气，产生的废活性炭属于危险废物（代码900-039-49）。</w:t>
            </w:r>
            <w:r>
              <w:rPr>
                <w:rFonts w:hint="eastAsia"/>
                <w:color w:val="auto"/>
                <w:kern w:val="0"/>
                <w:sz w:val="24"/>
                <w:highlight w:val="none"/>
                <w:lang w:bidi="ar"/>
              </w:rPr>
              <w:t>根据《西咸新区生态环境局（泾河）工作部致新城使用活性炭处理VOCs废气单位的提示函》，企业活性炭吸附装置活性炭填充量不应少于0.5吨，更换周期不应超过3个月（或累计运行500h），蜂窝活性炭碘值应≥600mg/g，本次评价要求企业</w:t>
            </w:r>
            <w:r>
              <w:rPr>
                <w:color w:val="auto"/>
                <w:kern w:val="0"/>
                <w:sz w:val="24"/>
                <w:highlight w:val="none"/>
                <w:lang w:bidi="ar"/>
              </w:rPr>
              <w:t>活性炭采用碘</w:t>
            </w:r>
            <w:r>
              <w:rPr>
                <w:rFonts w:hint="eastAsia"/>
                <w:color w:val="auto"/>
                <w:kern w:val="0"/>
                <w:sz w:val="24"/>
                <w:highlight w:val="none"/>
                <w:lang w:bidi="ar"/>
              </w:rPr>
              <w:t>值</w:t>
            </w:r>
            <w:r>
              <w:rPr>
                <w:color w:val="auto"/>
                <w:kern w:val="0"/>
                <w:sz w:val="24"/>
                <w:highlight w:val="none"/>
                <w:lang w:bidi="ar"/>
              </w:rPr>
              <w:t>≥600mg/g</w:t>
            </w:r>
            <w:r>
              <w:rPr>
                <w:rFonts w:hint="eastAsia"/>
                <w:color w:val="auto"/>
                <w:kern w:val="0"/>
                <w:sz w:val="24"/>
                <w:highlight w:val="none"/>
                <w:lang w:bidi="ar"/>
              </w:rPr>
              <w:t>的</w:t>
            </w:r>
            <w:r>
              <w:rPr>
                <w:color w:val="auto"/>
                <w:kern w:val="0"/>
                <w:sz w:val="24"/>
                <w:highlight w:val="none"/>
                <w:lang w:bidi="ar"/>
              </w:rPr>
              <w:t>蜂窝活性炭，</w:t>
            </w:r>
            <w:r>
              <w:rPr>
                <w:rFonts w:hint="eastAsia"/>
                <w:color w:val="auto"/>
                <w:kern w:val="0"/>
                <w:sz w:val="24"/>
                <w:highlight w:val="none"/>
                <w:lang w:val="en-US" w:eastAsia="zh-CN" w:bidi="ar"/>
              </w:rPr>
              <w:t>二级</w:t>
            </w:r>
            <w:r>
              <w:rPr>
                <w:rFonts w:hint="eastAsia"/>
                <w:color w:val="auto"/>
                <w:kern w:val="0"/>
                <w:sz w:val="24"/>
                <w:highlight w:val="none"/>
                <w:lang w:bidi="ar"/>
              </w:rPr>
              <w:t>活性炭吸附装置填充量应≥</w:t>
            </w:r>
            <w:r>
              <w:rPr>
                <w:rFonts w:hint="eastAsia"/>
                <w:color w:val="auto"/>
                <w:kern w:val="0"/>
                <w:sz w:val="24"/>
                <w:highlight w:val="none"/>
                <w:lang w:val="en-US" w:eastAsia="zh-CN" w:bidi="ar"/>
              </w:rPr>
              <w:t>1.0</w:t>
            </w:r>
            <w:r>
              <w:rPr>
                <w:rFonts w:hint="eastAsia"/>
                <w:color w:val="auto"/>
                <w:kern w:val="0"/>
                <w:sz w:val="24"/>
                <w:highlight w:val="none"/>
                <w:lang w:bidi="ar"/>
              </w:rPr>
              <w:t>吨，更换周期为3个月，则年更换活性炭</w:t>
            </w:r>
            <w:r>
              <w:rPr>
                <w:rFonts w:hint="eastAsia"/>
                <w:color w:val="auto"/>
                <w:kern w:val="0"/>
                <w:sz w:val="24"/>
                <w:highlight w:val="none"/>
                <w:lang w:val="en-US" w:eastAsia="zh-CN" w:bidi="ar"/>
              </w:rPr>
              <w:t>4.0t</w:t>
            </w:r>
            <w:r>
              <w:rPr>
                <w:rFonts w:hint="eastAsia"/>
                <w:color w:val="auto"/>
                <w:kern w:val="0"/>
                <w:sz w:val="24"/>
                <w:highlight w:val="none"/>
                <w:lang w:bidi="ar"/>
              </w:rPr>
              <w:t>，</w:t>
            </w:r>
            <w:r>
              <w:rPr>
                <w:rFonts w:hint="eastAsia"/>
                <w:color w:val="auto"/>
                <w:kern w:val="0"/>
                <w:sz w:val="24"/>
                <w:highlight w:val="none"/>
                <w:lang w:val="en-US" w:eastAsia="zh-CN" w:bidi="ar"/>
              </w:rPr>
              <w:t>VOCs削减量为0.016</w:t>
            </w:r>
            <w:r>
              <w:rPr>
                <w:rFonts w:hint="eastAsia"/>
                <w:color w:val="auto"/>
                <w:kern w:val="0"/>
                <w:sz w:val="24"/>
                <w:highlight w:val="none"/>
                <w:lang w:bidi="ar"/>
              </w:rPr>
              <w:t>t/a</w:t>
            </w:r>
            <w:r>
              <w:rPr>
                <w:rFonts w:hint="eastAsia"/>
                <w:color w:val="auto"/>
                <w:kern w:val="0"/>
                <w:sz w:val="24"/>
                <w:highlight w:val="none"/>
                <w:lang w:val="en-US" w:eastAsia="zh-CN" w:bidi="ar"/>
              </w:rPr>
              <w:t>，则本项目</w:t>
            </w:r>
            <w:r>
              <w:rPr>
                <w:rFonts w:hint="eastAsia"/>
                <w:color w:val="auto"/>
                <w:kern w:val="0"/>
                <w:sz w:val="24"/>
                <w:highlight w:val="none"/>
                <w:lang w:bidi="ar"/>
              </w:rPr>
              <w:t>废活性炭产生量为</w:t>
            </w:r>
            <w:r>
              <w:rPr>
                <w:rFonts w:hint="eastAsia"/>
                <w:color w:val="auto"/>
                <w:kern w:val="0"/>
                <w:sz w:val="24"/>
                <w:highlight w:val="none"/>
                <w:lang w:val="en-US" w:eastAsia="zh-CN" w:bidi="ar"/>
              </w:rPr>
              <w:t>4.016</w:t>
            </w:r>
            <w:r>
              <w:rPr>
                <w:rFonts w:hint="eastAsia"/>
                <w:color w:val="auto"/>
                <w:kern w:val="0"/>
                <w:sz w:val="24"/>
                <w:highlight w:val="none"/>
                <w:lang w:bidi="ar"/>
              </w:rPr>
              <w:t>t</w:t>
            </w:r>
            <w:r>
              <w:rPr>
                <w:rFonts w:hint="eastAsia"/>
                <w:color w:val="auto"/>
                <w:kern w:val="0"/>
                <w:sz w:val="24"/>
                <w:highlight w:val="none"/>
                <w:lang w:bidi="ar"/>
              </w:rPr>
              <w:t>/a，</w:t>
            </w:r>
            <w:r>
              <w:rPr>
                <w:rFonts w:hint="eastAsia"/>
                <w:color w:val="auto"/>
                <w:kern w:val="0"/>
                <w:sz w:val="24"/>
                <w:highlight w:val="none"/>
                <w:lang w:val="en-US" w:eastAsia="zh-CN" w:bidi="ar"/>
              </w:rPr>
              <w:t>分类</w:t>
            </w:r>
            <w:r>
              <w:rPr>
                <w:rFonts w:hint="eastAsia"/>
                <w:color w:val="auto"/>
                <w:kern w:val="0"/>
                <w:sz w:val="24"/>
                <w:highlight w:val="none"/>
                <w:lang w:bidi="ar"/>
              </w:rPr>
              <w:t>收集后</w:t>
            </w:r>
            <w:r>
              <w:rPr>
                <w:rFonts w:hint="eastAsia"/>
                <w:color w:val="auto"/>
                <w:kern w:val="24"/>
                <w:sz w:val="24"/>
                <w:highlight w:val="none"/>
                <w:lang w:val="en-US" w:eastAsia="zh-CN"/>
              </w:rPr>
              <w:t>暂存于</w:t>
            </w:r>
            <w:r>
              <w:rPr>
                <w:rFonts w:hint="eastAsia"/>
                <w:color w:val="auto"/>
                <w:kern w:val="24"/>
                <w:sz w:val="24"/>
                <w:highlight w:val="none"/>
              </w:rPr>
              <w:t>危废贮存</w:t>
            </w:r>
            <w:r>
              <w:rPr>
                <w:rFonts w:hint="eastAsia"/>
                <w:color w:val="auto"/>
                <w:kern w:val="24"/>
                <w:sz w:val="24"/>
                <w:highlight w:val="none"/>
                <w:lang w:val="en-US" w:eastAsia="zh-CN"/>
              </w:rPr>
              <w:t>库</w:t>
            </w:r>
            <w:r>
              <w:rPr>
                <w:rFonts w:hint="eastAsia"/>
                <w:color w:val="auto"/>
                <w:spacing w:val="2"/>
                <w:sz w:val="24"/>
                <w:highlight w:val="none"/>
              </w:rPr>
              <w:t>（依托厂区现有，依托面积</w:t>
            </w:r>
            <w:r>
              <w:rPr>
                <w:rFonts w:hint="eastAsia"/>
                <w:color w:val="auto"/>
                <w:spacing w:val="2"/>
                <w:sz w:val="24"/>
                <w:highlight w:val="none"/>
                <w:lang w:val="en-US" w:eastAsia="zh-CN"/>
              </w:rPr>
              <w:t>5</w:t>
            </w:r>
            <w:r>
              <w:rPr>
                <w:rFonts w:hint="eastAsia"/>
                <w:color w:val="auto"/>
                <w:spacing w:val="2"/>
                <w:sz w:val="24"/>
                <w:highlight w:val="none"/>
              </w:rPr>
              <w:t>m</w:t>
            </w:r>
            <w:r>
              <w:rPr>
                <w:rFonts w:hint="eastAsia"/>
                <w:color w:val="auto"/>
                <w:spacing w:val="2"/>
                <w:sz w:val="24"/>
                <w:highlight w:val="none"/>
                <w:vertAlign w:val="superscript"/>
              </w:rPr>
              <w:t>2</w:t>
            </w:r>
            <w:r>
              <w:rPr>
                <w:rFonts w:hint="eastAsia"/>
                <w:color w:val="auto"/>
                <w:spacing w:val="2"/>
                <w:sz w:val="24"/>
                <w:highlight w:val="none"/>
              </w:rPr>
              <w:t>）</w:t>
            </w:r>
            <w:r>
              <w:rPr>
                <w:rFonts w:hint="eastAsia"/>
                <w:color w:val="auto"/>
                <w:kern w:val="24"/>
                <w:sz w:val="24"/>
                <w:highlight w:val="none"/>
                <w:lang w:val="en-US" w:eastAsia="zh-CN"/>
              </w:rPr>
              <w:t>，</w:t>
            </w:r>
            <w:r>
              <w:rPr>
                <w:color w:val="auto"/>
                <w:kern w:val="24"/>
                <w:sz w:val="24"/>
                <w:highlight w:val="none"/>
              </w:rPr>
              <w:t>定期交由有资质单位处置</w:t>
            </w:r>
            <w:r>
              <w:rPr>
                <w:rFonts w:hint="eastAsia"/>
                <w:color w:val="auto"/>
                <w:kern w:val="0"/>
                <w:sz w:val="24"/>
                <w:highlight w:val="none"/>
                <w:lang w:bidi="ar"/>
              </w:rPr>
              <w:t>。</w:t>
            </w:r>
          </w:p>
          <w:p w14:paraId="2F2085FE">
            <w:pPr>
              <w:tabs>
                <w:tab w:val="left" w:pos="2610"/>
              </w:tabs>
              <w:spacing w:line="360" w:lineRule="auto"/>
              <w:ind w:firstLine="482"/>
              <w:rPr>
                <w:rFonts w:hint="eastAsia"/>
                <w:color w:val="auto"/>
                <w:kern w:val="24"/>
                <w:sz w:val="24"/>
                <w:highlight w:val="none"/>
                <w:lang w:val="en-US" w:eastAsia="zh-CN"/>
              </w:rPr>
            </w:pPr>
            <w:r>
              <w:rPr>
                <w:rFonts w:hint="eastAsia"/>
                <w:color w:val="auto"/>
                <w:kern w:val="24"/>
                <w:sz w:val="24"/>
                <w:highlight w:val="none"/>
                <w:lang w:val="en-US" w:eastAsia="zh-CN"/>
              </w:rPr>
              <w:t>b废油桶：项目设备维护过程中会产生废油桶，根据建设单位提供资料，废油桶产生量约为0.1t/a，暂存于</w:t>
            </w:r>
            <w:r>
              <w:rPr>
                <w:rFonts w:hint="eastAsia"/>
                <w:color w:val="auto"/>
                <w:kern w:val="24"/>
                <w:sz w:val="24"/>
                <w:highlight w:val="none"/>
              </w:rPr>
              <w:t>危废贮存</w:t>
            </w:r>
            <w:r>
              <w:rPr>
                <w:rFonts w:hint="eastAsia"/>
                <w:color w:val="auto"/>
                <w:kern w:val="24"/>
                <w:sz w:val="24"/>
                <w:highlight w:val="none"/>
                <w:lang w:val="en-US" w:eastAsia="zh-CN"/>
              </w:rPr>
              <w:t>库</w:t>
            </w:r>
            <w:r>
              <w:rPr>
                <w:rFonts w:hint="eastAsia"/>
                <w:color w:val="auto"/>
                <w:spacing w:val="2"/>
                <w:sz w:val="24"/>
                <w:highlight w:val="none"/>
              </w:rPr>
              <w:t>（依托厂区现有，依托面积</w:t>
            </w:r>
            <w:r>
              <w:rPr>
                <w:rFonts w:hint="eastAsia"/>
                <w:color w:val="auto"/>
                <w:spacing w:val="2"/>
                <w:sz w:val="24"/>
                <w:highlight w:val="none"/>
                <w:lang w:val="en-US" w:eastAsia="zh-CN"/>
              </w:rPr>
              <w:t>5</w:t>
            </w:r>
            <w:r>
              <w:rPr>
                <w:rFonts w:hint="eastAsia"/>
                <w:color w:val="auto"/>
                <w:spacing w:val="2"/>
                <w:sz w:val="24"/>
                <w:highlight w:val="none"/>
              </w:rPr>
              <w:t>m</w:t>
            </w:r>
            <w:r>
              <w:rPr>
                <w:rFonts w:hint="eastAsia"/>
                <w:color w:val="auto"/>
                <w:spacing w:val="2"/>
                <w:sz w:val="24"/>
                <w:highlight w:val="none"/>
                <w:vertAlign w:val="superscript"/>
              </w:rPr>
              <w:t>2</w:t>
            </w:r>
            <w:r>
              <w:rPr>
                <w:rFonts w:hint="eastAsia"/>
                <w:color w:val="auto"/>
                <w:spacing w:val="2"/>
                <w:sz w:val="24"/>
                <w:highlight w:val="none"/>
              </w:rPr>
              <w:t>）</w:t>
            </w:r>
            <w:r>
              <w:rPr>
                <w:rFonts w:hint="eastAsia"/>
                <w:color w:val="auto"/>
                <w:kern w:val="24"/>
                <w:sz w:val="24"/>
                <w:highlight w:val="none"/>
                <w:lang w:val="en-US" w:eastAsia="zh-CN"/>
              </w:rPr>
              <w:t>，</w:t>
            </w:r>
            <w:r>
              <w:rPr>
                <w:color w:val="auto"/>
                <w:kern w:val="24"/>
                <w:sz w:val="24"/>
                <w:highlight w:val="none"/>
              </w:rPr>
              <w:t>定期交由有资质单位处置</w:t>
            </w:r>
            <w:r>
              <w:rPr>
                <w:rFonts w:hint="eastAsia"/>
                <w:color w:val="auto"/>
                <w:kern w:val="24"/>
                <w:sz w:val="24"/>
                <w:highlight w:val="none"/>
                <w:lang w:val="en-US" w:eastAsia="zh-CN"/>
              </w:rPr>
              <w:t>。</w:t>
            </w:r>
          </w:p>
          <w:p w14:paraId="7CAD0032">
            <w:pPr>
              <w:tabs>
                <w:tab w:val="left" w:pos="2610"/>
              </w:tabs>
              <w:spacing w:line="360" w:lineRule="auto"/>
              <w:ind w:firstLine="482"/>
              <w:rPr>
                <w:rFonts w:hint="default"/>
                <w:color w:val="auto"/>
                <w:kern w:val="24"/>
                <w:sz w:val="24"/>
                <w:highlight w:val="none"/>
                <w:lang w:val="en-US" w:eastAsia="zh-CN"/>
              </w:rPr>
            </w:pPr>
            <w:r>
              <w:rPr>
                <w:rFonts w:hint="eastAsia"/>
                <w:color w:val="auto"/>
                <w:kern w:val="24"/>
                <w:sz w:val="24"/>
                <w:highlight w:val="none"/>
                <w:lang w:val="en-US" w:eastAsia="zh-CN"/>
              </w:rPr>
              <w:t>c废含油抹布：项目设备维护过程中会产生废含油抹布，根据建设单位提供资料，废油桶产生量约为0.05t/a，暂存于</w:t>
            </w:r>
            <w:r>
              <w:rPr>
                <w:rFonts w:hint="eastAsia"/>
                <w:color w:val="auto"/>
                <w:kern w:val="24"/>
                <w:sz w:val="24"/>
                <w:highlight w:val="none"/>
              </w:rPr>
              <w:t>危废贮存</w:t>
            </w:r>
            <w:r>
              <w:rPr>
                <w:rFonts w:hint="eastAsia"/>
                <w:color w:val="auto"/>
                <w:kern w:val="24"/>
                <w:sz w:val="24"/>
                <w:highlight w:val="none"/>
                <w:lang w:val="en-US" w:eastAsia="zh-CN"/>
              </w:rPr>
              <w:t>库</w:t>
            </w:r>
            <w:r>
              <w:rPr>
                <w:rFonts w:hint="eastAsia"/>
                <w:color w:val="auto"/>
                <w:spacing w:val="2"/>
                <w:sz w:val="24"/>
                <w:highlight w:val="none"/>
              </w:rPr>
              <w:t>（依托厂区现有，依托面积</w:t>
            </w:r>
            <w:r>
              <w:rPr>
                <w:rFonts w:hint="eastAsia"/>
                <w:color w:val="auto"/>
                <w:spacing w:val="2"/>
                <w:sz w:val="24"/>
                <w:highlight w:val="none"/>
                <w:lang w:val="en-US" w:eastAsia="zh-CN"/>
              </w:rPr>
              <w:t>5</w:t>
            </w:r>
            <w:r>
              <w:rPr>
                <w:rFonts w:hint="eastAsia"/>
                <w:color w:val="auto"/>
                <w:spacing w:val="2"/>
                <w:sz w:val="24"/>
                <w:highlight w:val="none"/>
              </w:rPr>
              <w:t>m</w:t>
            </w:r>
            <w:r>
              <w:rPr>
                <w:rFonts w:hint="eastAsia"/>
                <w:color w:val="auto"/>
                <w:spacing w:val="2"/>
                <w:sz w:val="24"/>
                <w:highlight w:val="none"/>
                <w:vertAlign w:val="superscript"/>
              </w:rPr>
              <w:t>2</w:t>
            </w:r>
            <w:r>
              <w:rPr>
                <w:rFonts w:hint="eastAsia"/>
                <w:color w:val="auto"/>
                <w:spacing w:val="2"/>
                <w:sz w:val="24"/>
                <w:highlight w:val="none"/>
              </w:rPr>
              <w:t>）</w:t>
            </w:r>
            <w:r>
              <w:rPr>
                <w:rFonts w:hint="eastAsia"/>
                <w:color w:val="auto"/>
                <w:kern w:val="24"/>
                <w:sz w:val="24"/>
                <w:highlight w:val="none"/>
                <w:lang w:val="en-US" w:eastAsia="zh-CN"/>
              </w:rPr>
              <w:t>，</w:t>
            </w:r>
            <w:r>
              <w:rPr>
                <w:color w:val="auto"/>
                <w:kern w:val="24"/>
                <w:sz w:val="24"/>
                <w:highlight w:val="none"/>
              </w:rPr>
              <w:t>定期交由有资质单位处置</w:t>
            </w:r>
            <w:r>
              <w:rPr>
                <w:rFonts w:hint="eastAsia"/>
                <w:color w:val="auto"/>
                <w:kern w:val="24"/>
                <w:sz w:val="24"/>
                <w:highlight w:val="none"/>
                <w:lang w:val="en-US" w:eastAsia="zh-CN"/>
              </w:rPr>
              <w:t>。</w:t>
            </w:r>
          </w:p>
          <w:p w14:paraId="559D7069">
            <w:pPr>
              <w:pStyle w:val="7"/>
              <w:ind w:firstLine="482"/>
              <w:rPr>
                <w:b/>
                <w:color w:val="auto"/>
                <w:highlight w:val="none"/>
              </w:rPr>
            </w:pPr>
            <w:r>
              <w:rPr>
                <w:rFonts w:hint="eastAsia"/>
                <w:b/>
                <w:color w:val="auto"/>
                <w:highlight w:val="none"/>
              </w:rPr>
              <w:t>2、固体废物处置情况</w:t>
            </w:r>
          </w:p>
          <w:p w14:paraId="1935280B">
            <w:pPr>
              <w:pStyle w:val="7"/>
              <w:ind w:firstLine="480"/>
              <w:rPr>
                <w:color w:val="auto"/>
                <w:highlight w:val="none"/>
              </w:rPr>
            </w:pPr>
            <w:r>
              <w:rPr>
                <w:rFonts w:hint="eastAsia"/>
                <w:bCs/>
                <w:color w:val="auto"/>
                <w:highlight w:val="none"/>
              </w:rPr>
              <w:t>本项目固废产生情况及处置方式</w:t>
            </w:r>
            <w:r>
              <w:rPr>
                <w:rFonts w:hint="eastAsia"/>
                <w:bCs/>
                <w:color w:val="auto"/>
                <w:highlight w:val="none"/>
                <w:lang w:val="en-US" w:eastAsia="zh-CN"/>
              </w:rPr>
              <w:t>见表4-13。</w:t>
            </w:r>
          </w:p>
          <w:p w14:paraId="1E79BD5F">
            <w:pPr>
              <w:jc w:val="center"/>
              <w:rPr>
                <w:color w:val="auto"/>
                <w:sz w:val="24"/>
                <w:szCs w:val="32"/>
                <w:highlight w:val="none"/>
              </w:rPr>
            </w:pPr>
            <w:r>
              <w:rPr>
                <w:b/>
                <w:bCs/>
                <w:color w:val="auto"/>
                <w:kern w:val="0"/>
                <w:sz w:val="24"/>
                <w:szCs w:val="32"/>
                <w:highlight w:val="none"/>
              </w:rPr>
              <w:t>表4-</w:t>
            </w:r>
            <w:r>
              <w:rPr>
                <w:rFonts w:hint="eastAsia"/>
                <w:b/>
                <w:bCs/>
                <w:color w:val="auto"/>
                <w:kern w:val="0"/>
                <w:sz w:val="24"/>
                <w:szCs w:val="32"/>
                <w:highlight w:val="none"/>
              </w:rPr>
              <w:t>13</w:t>
            </w:r>
            <w:r>
              <w:rPr>
                <w:b/>
                <w:bCs/>
                <w:color w:val="auto"/>
                <w:kern w:val="0"/>
                <w:sz w:val="24"/>
                <w:szCs w:val="32"/>
                <w:highlight w:val="none"/>
              </w:rPr>
              <w:t xml:space="preserve"> </w:t>
            </w:r>
            <w:r>
              <w:rPr>
                <w:rFonts w:hint="eastAsia"/>
                <w:b/>
                <w:bCs/>
                <w:color w:val="auto"/>
                <w:kern w:val="0"/>
                <w:sz w:val="24"/>
                <w:szCs w:val="32"/>
                <w:highlight w:val="none"/>
              </w:rPr>
              <w:t>本项目固废产生情况一览表</w:t>
            </w:r>
          </w:p>
          <w:tbl>
            <w:tblPr>
              <w:tblStyle w:val="24"/>
              <w:tblW w:w="87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231"/>
              <w:gridCol w:w="793"/>
              <w:gridCol w:w="617"/>
              <w:gridCol w:w="1243"/>
              <w:gridCol w:w="665"/>
              <w:gridCol w:w="800"/>
              <w:gridCol w:w="1180"/>
              <w:gridCol w:w="1702"/>
            </w:tblGrid>
            <w:tr w14:paraId="0FAF6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13" w:type="pct"/>
                  <w:noWrap w:val="0"/>
                  <w:vAlign w:val="center"/>
                </w:tcPr>
                <w:p w14:paraId="5CF6777D">
                  <w:pPr>
                    <w:ind w:left="-105" w:leftChars="-50" w:right="-105" w:rightChars="-50"/>
                    <w:jc w:val="center"/>
                    <w:rPr>
                      <w:b/>
                      <w:color w:val="auto"/>
                      <w:szCs w:val="21"/>
                      <w:highlight w:val="none"/>
                    </w:rPr>
                  </w:pPr>
                  <w:r>
                    <w:rPr>
                      <w:b/>
                      <w:color w:val="auto"/>
                      <w:szCs w:val="21"/>
                      <w:highlight w:val="none"/>
                    </w:rPr>
                    <w:t>序号</w:t>
                  </w:r>
                </w:p>
              </w:tc>
              <w:tc>
                <w:tcPr>
                  <w:tcW w:w="700" w:type="pct"/>
                  <w:noWrap w:val="0"/>
                  <w:vAlign w:val="center"/>
                </w:tcPr>
                <w:p w14:paraId="0EA944C6">
                  <w:pPr>
                    <w:ind w:left="-105" w:leftChars="-50" w:right="-105" w:rightChars="-50"/>
                    <w:jc w:val="center"/>
                    <w:rPr>
                      <w:b/>
                      <w:color w:val="auto"/>
                      <w:szCs w:val="21"/>
                      <w:highlight w:val="none"/>
                    </w:rPr>
                  </w:pPr>
                  <w:r>
                    <w:rPr>
                      <w:b/>
                      <w:color w:val="auto"/>
                      <w:szCs w:val="21"/>
                      <w:highlight w:val="none"/>
                    </w:rPr>
                    <w:t>固废名称</w:t>
                  </w:r>
                </w:p>
              </w:tc>
              <w:tc>
                <w:tcPr>
                  <w:tcW w:w="451" w:type="pct"/>
                  <w:noWrap w:val="0"/>
                  <w:vAlign w:val="center"/>
                </w:tcPr>
                <w:p w14:paraId="0824BC0B">
                  <w:pPr>
                    <w:ind w:left="-105" w:leftChars="-50" w:right="-105" w:rightChars="-50"/>
                    <w:jc w:val="center"/>
                    <w:rPr>
                      <w:b/>
                      <w:color w:val="auto"/>
                      <w:szCs w:val="21"/>
                      <w:highlight w:val="none"/>
                    </w:rPr>
                  </w:pPr>
                  <w:r>
                    <w:rPr>
                      <w:b/>
                      <w:color w:val="auto"/>
                      <w:szCs w:val="21"/>
                      <w:highlight w:val="none"/>
                    </w:rPr>
                    <w:t>属性</w:t>
                  </w:r>
                </w:p>
              </w:tc>
              <w:tc>
                <w:tcPr>
                  <w:tcW w:w="351" w:type="pct"/>
                  <w:noWrap w:val="0"/>
                  <w:vAlign w:val="center"/>
                </w:tcPr>
                <w:p w14:paraId="15F1C0B9">
                  <w:pPr>
                    <w:ind w:left="-105" w:leftChars="-50" w:right="-105" w:rightChars="-50"/>
                    <w:jc w:val="center"/>
                    <w:rPr>
                      <w:b/>
                      <w:color w:val="auto"/>
                      <w:szCs w:val="21"/>
                      <w:highlight w:val="none"/>
                    </w:rPr>
                  </w:pPr>
                  <w:r>
                    <w:rPr>
                      <w:rFonts w:hint="eastAsia"/>
                      <w:b/>
                      <w:color w:val="auto"/>
                      <w:szCs w:val="21"/>
                      <w:highlight w:val="none"/>
                    </w:rPr>
                    <w:t>危废</w:t>
                  </w:r>
                  <w:r>
                    <w:rPr>
                      <w:b/>
                      <w:color w:val="auto"/>
                      <w:szCs w:val="21"/>
                      <w:highlight w:val="none"/>
                    </w:rPr>
                    <w:t>类别</w:t>
                  </w:r>
                </w:p>
              </w:tc>
              <w:tc>
                <w:tcPr>
                  <w:tcW w:w="707" w:type="pct"/>
                  <w:noWrap w:val="0"/>
                  <w:vAlign w:val="center"/>
                </w:tcPr>
                <w:p w14:paraId="24886609">
                  <w:pPr>
                    <w:ind w:left="-105" w:leftChars="-50" w:right="-105" w:rightChars="-50"/>
                    <w:jc w:val="center"/>
                    <w:rPr>
                      <w:b/>
                      <w:color w:val="auto"/>
                      <w:szCs w:val="21"/>
                      <w:highlight w:val="none"/>
                    </w:rPr>
                  </w:pPr>
                  <w:r>
                    <w:rPr>
                      <w:b/>
                      <w:color w:val="auto"/>
                      <w:szCs w:val="21"/>
                      <w:highlight w:val="none"/>
                    </w:rPr>
                    <w:t>代码</w:t>
                  </w:r>
                </w:p>
              </w:tc>
              <w:tc>
                <w:tcPr>
                  <w:tcW w:w="378" w:type="pct"/>
                  <w:noWrap w:val="0"/>
                  <w:vAlign w:val="center"/>
                </w:tcPr>
                <w:p w14:paraId="476A5AE1">
                  <w:pPr>
                    <w:ind w:left="-105" w:leftChars="-50" w:right="-105" w:rightChars="-50"/>
                    <w:jc w:val="center"/>
                    <w:rPr>
                      <w:rFonts w:hint="eastAsia"/>
                      <w:b/>
                      <w:color w:val="auto"/>
                      <w:szCs w:val="21"/>
                      <w:highlight w:val="none"/>
                    </w:rPr>
                  </w:pPr>
                  <w:r>
                    <w:rPr>
                      <w:rFonts w:hint="eastAsia"/>
                      <w:b/>
                      <w:color w:val="auto"/>
                      <w:szCs w:val="21"/>
                      <w:highlight w:val="none"/>
                    </w:rPr>
                    <w:t>性状</w:t>
                  </w:r>
                </w:p>
              </w:tc>
              <w:tc>
                <w:tcPr>
                  <w:tcW w:w="455" w:type="pct"/>
                  <w:noWrap w:val="0"/>
                  <w:vAlign w:val="center"/>
                </w:tcPr>
                <w:p w14:paraId="18FF278C">
                  <w:pPr>
                    <w:ind w:left="-105" w:leftChars="-50" w:right="-105" w:rightChars="-50"/>
                    <w:jc w:val="center"/>
                    <w:rPr>
                      <w:b/>
                      <w:color w:val="auto"/>
                      <w:szCs w:val="21"/>
                      <w:highlight w:val="none"/>
                    </w:rPr>
                  </w:pPr>
                  <w:r>
                    <w:rPr>
                      <w:rFonts w:hint="eastAsia"/>
                      <w:b/>
                      <w:color w:val="auto"/>
                      <w:szCs w:val="21"/>
                      <w:highlight w:val="none"/>
                    </w:rPr>
                    <w:t>危险特性</w:t>
                  </w:r>
                </w:p>
              </w:tc>
              <w:tc>
                <w:tcPr>
                  <w:tcW w:w="671" w:type="pct"/>
                  <w:noWrap w:val="0"/>
                  <w:vAlign w:val="center"/>
                </w:tcPr>
                <w:p w14:paraId="1059CC61">
                  <w:pPr>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产生量（t/a）</w:t>
                  </w:r>
                </w:p>
              </w:tc>
              <w:tc>
                <w:tcPr>
                  <w:tcW w:w="968" w:type="pct"/>
                  <w:noWrap w:val="0"/>
                  <w:vAlign w:val="center"/>
                </w:tcPr>
                <w:p w14:paraId="211551EE">
                  <w:pPr>
                    <w:ind w:left="-105" w:leftChars="-50" w:right="-105" w:rightChars="-50"/>
                    <w:jc w:val="center"/>
                    <w:rPr>
                      <w:rFonts w:hint="eastAsia"/>
                      <w:b/>
                      <w:color w:val="auto"/>
                      <w:szCs w:val="21"/>
                      <w:highlight w:val="none"/>
                    </w:rPr>
                  </w:pPr>
                  <w:r>
                    <w:rPr>
                      <w:rFonts w:hint="eastAsia"/>
                      <w:b/>
                      <w:color w:val="auto"/>
                      <w:szCs w:val="21"/>
                      <w:highlight w:val="none"/>
                    </w:rPr>
                    <w:t>去向</w:t>
                  </w:r>
                </w:p>
              </w:tc>
            </w:tr>
            <w:tr w14:paraId="19E4D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3985503F">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1</w:t>
                  </w:r>
                </w:p>
              </w:tc>
              <w:tc>
                <w:tcPr>
                  <w:tcW w:w="700" w:type="pct"/>
                  <w:noWrap w:val="0"/>
                  <w:vAlign w:val="center"/>
                </w:tcPr>
                <w:p w14:paraId="531BB567">
                  <w:pPr>
                    <w:ind w:left="-105" w:leftChars="-50" w:right="-105" w:rightChars="-50"/>
                    <w:jc w:val="center"/>
                    <w:rPr>
                      <w:b w:val="0"/>
                      <w:bCs w:val="0"/>
                      <w:color w:val="auto"/>
                      <w:szCs w:val="21"/>
                      <w:highlight w:val="none"/>
                    </w:rPr>
                  </w:pPr>
                  <w:r>
                    <w:rPr>
                      <w:rFonts w:hint="eastAsia"/>
                      <w:color w:val="auto"/>
                      <w:szCs w:val="21"/>
                      <w:highlight w:val="none"/>
                    </w:rPr>
                    <w:t>除尘灰</w:t>
                  </w:r>
                </w:p>
              </w:tc>
              <w:tc>
                <w:tcPr>
                  <w:tcW w:w="451" w:type="pct"/>
                  <w:vMerge w:val="restart"/>
                  <w:noWrap w:val="0"/>
                  <w:vAlign w:val="center"/>
                </w:tcPr>
                <w:p w14:paraId="58B94438">
                  <w:pPr>
                    <w:jc w:val="center"/>
                    <w:rPr>
                      <w:b w:val="0"/>
                      <w:bCs w:val="0"/>
                      <w:color w:val="auto"/>
                      <w:szCs w:val="21"/>
                      <w:highlight w:val="none"/>
                    </w:rPr>
                  </w:pPr>
                  <w:r>
                    <w:rPr>
                      <w:rFonts w:hint="eastAsia"/>
                      <w:color w:val="auto"/>
                      <w:szCs w:val="21"/>
                      <w:highlight w:val="none"/>
                    </w:rPr>
                    <w:t>一般固废</w:t>
                  </w:r>
                </w:p>
              </w:tc>
              <w:tc>
                <w:tcPr>
                  <w:tcW w:w="351" w:type="pct"/>
                  <w:noWrap w:val="0"/>
                  <w:vAlign w:val="center"/>
                </w:tcPr>
                <w:p w14:paraId="7DFB2485">
                  <w:pPr>
                    <w:ind w:left="-105" w:leftChars="-50" w:right="-105" w:rightChars="-50"/>
                    <w:jc w:val="center"/>
                    <w:rPr>
                      <w:b w:val="0"/>
                      <w:bCs w:val="0"/>
                      <w:color w:val="auto"/>
                      <w:szCs w:val="21"/>
                      <w:highlight w:val="none"/>
                    </w:rPr>
                  </w:pPr>
                  <w:r>
                    <w:rPr>
                      <w:rFonts w:hint="eastAsia"/>
                      <w:color w:val="auto"/>
                      <w:szCs w:val="21"/>
                      <w:highlight w:val="none"/>
                    </w:rPr>
                    <w:t>/</w:t>
                  </w:r>
                </w:p>
              </w:tc>
              <w:tc>
                <w:tcPr>
                  <w:tcW w:w="707" w:type="pct"/>
                  <w:noWrap w:val="0"/>
                  <w:vAlign w:val="center"/>
                </w:tcPr>
                <w:p w14:paraId="7F7AB364">
                  <w:pPr>
                    <w:ind w:left="-105" w:leftChars="-50" w:right="-105" w:rightChars="-50"/>
                    <w:jc w:val="center"/>
                    <w:rPr>
                      <w:b w:val="0"/>
                      <w:bCs w:val="0"/>
                      <w:color w:val="auto"/>
                      <w:szCs w:val="21"/>
                      <w:highlight w:val="none"/>
                    </w:rPr>
                  </w:pPr>
                  <w:r>
                    <w:rPr>
                      <w:rFonts w:hint="eastAsia"/>
                      <w:color w:val="auto"/>
                      <w:szCs w:val="21"/>
                      <w:highlight w:val="none"/>
                    </w:rPr>
                    <w:t>900-003-S17</w:t>
                  </w:r>
                </w:p>
              </w:tc>
              <w:tc>
                <w:tcPr>
                  <w:tcW w:w="378" w:type="pct"/>
                  <w:noWrap w:val="0"/>
                  <w:vAlign w:val="center"/>
                </w:tcPr>
                <w:p w14:paraId="3A422274">
                  <w:pPr>
                    <w:ind w:left="-105" w:leftChars="-50" w:right="-105" w:rightChars="-50"/>
                    <w:jc w:val="center"/>
                    <w:rPr>
                      <w:b w:val="0"/>
                      <w:bCs w:val="0"/>
                      <w:color w:val="auto"/>
                      <w:szCs w:val="21"/>
                      <w:highlight w:val="none"/>
                    </w:rPr>
                  </w:pPr>
                  <w:r>
                    <w:rPr>
                      <w:rFonts w:hint="eastAsia"/>
                      <w:color w:val="auto"/>
                      <w:szCs w:val="21"/>
                      <w:highlight w:val="none"/>
                    </w:rPr>
                    <w:t>固</w:t>
                  </w:r>
                </w:p>
              </w:tc>
              <w:tc>
                <w:tcPr>
                  <w:tcW w:w="455" w:type="pct"/>
                  <w:noWrap w:val="0"/>
                  <w:vAlign w:val="center"/>
                </w:tcPr>
                <w:p w14:paraId="33E50EFD">
                  <w:pPr>
                    <w:ind w:left="-105" w:leftChars="-50" w:right="-105" w:rightChars="-50"/>
                    <w:jc w:val="center"/>
                    <w:rPr>
                      <w:b w:val="0"/>
                      <w:bCs w:val="0"/>
                      <w:color w:val="auto"/>
                      <w:szCs w:val="21"/>
                      <w:highlight w:val="none"/>
                    </w:rPr>
                  </w:pPr>
                  <w:r>
                    <w:rPr>
                      <w:rFonts w:hint="eastAsia"/>
                      <w:color w:val="auto"/>
                      <w:szCs w:val="21"/>
                      <w:highlight w:val="none"/>
                    </w:rPr>
                    <w:t>/</w:t>
                  </w:r>
                </w:p>
              </w:tc>
              <w:tc>
                <w:tcPr>
                  <w:tcW w:w="671" w:type="pct"/>
                  <w:noWrap w:val="0"/>
                  <w:vAlign w:val="center"/>
                </w:tcPr>
                <w:p w14:paraId="72A0D3C3">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0.000092</w:t>
                  </w:r>
                </w:p>
              </w:tc>
              <w:tc>
                <w:tcPr>
                  <w:tcW w:w="968" w:type="pct"/>
                  <w:noWrap w:val="0"/>
                  <w:vAlign w:val="center"/>
                </w:tcPr>
                <w:p w14:paraId="2F849801">
                  <w:pPr>
                    <w:ind w:left="-105" w:leftChars="-50" w:right="-105" w:rightChars="-50"/>
                    <w:jc w:val="center"/>
                    <w:rPr>
                      <w:color w:val="auto"/>
                      <w:szCs w:val="21"/>
                      <w:highlight w:val="none"/>
                    </w:rPr>
                  </w:pPr>
                  <w:r>
                    <w:rPr>
                      <w:rFonts w:hint="eastAsia"/>
                      <w:color w:val="auto"/>
                      <w:szCs w:val="21"/>
                      <w:highlight w:val="none"/>
                    </w:rPr>
                    <w:t>定期回收综合利用</w:t>
                  </w:r>
                </w:p>
              </w:tc>
            </w:tr>
            <w:tr w14:paraId="0E87B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2AF92617">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2</w:t>
                  </w:r>
                </w:p>
              </w:tc>
              <w:tc>
                <w:tcPr>
                  <w:tcW w:w="700" w:type="pct"/>
                  <w:noWrap w:val="0"/>
                  <w:vAlign w:val="center"/>
                </w:tcPr>
                <w:p w14:paraId="1EB8CAA2">
                  <w:pPr>
                    <w:ind w:left="-105" w:leftChars="-50" w:right="-105" w:rightChars="-50"/>
                    <w:jc w:val="center"/>
                    <w:rPr>
                      <w:rFonts w:hint="eastAsia"/>
                      <w:color w:val="auto"/>
                      <w:szCs w:val="21"/>
                      <w:highlight w:val="none"/>
                    </w:rPr>
                  </w:pPr>
                  <w:r>
                    <w:rPr>
                      <w:rFonts w:hint="eastAsia"/>
                      <w:color w:val="auto"/>
                      <w:szCs w:val="21"/>
                      <w:highlight w:val="none"/>
                    </w:rPr>
                    <w:t>废模具</w:t>
                  </w:r>
                </w:p>
              </w:tc>
              <w:tc>
                <w:tcPr>
                  <w:tcW w:w="451" w:type="pct"/>
                  <w:vMerge w:val="continue"/>
                  <w:noWrap w:val="0"/>
                  <w:vAlign w:val="center"/>
                </w:tcPr>
                <w:p w14:paraId="6B047EA2">
                  <w:pPr>
                    <w:widowControl/>
                    <w:jc w:val="center"/>
                    <w:rPr>
                      <w:b w:val="0"/>
                      <w:bCs w:val="0"/>
                      <w:color w:val="auto"/>
                      <w:szCs w:val="21"/>
                      <w:highlight w:val="none"/>
                    </w:rPr>
                  </w:pPr>
                </w:p>
              </w:tc>
              <w:tc>
                <w:tcPr>
                  <w:tcW w:w="351" w:type="pct"/>
                  <w:noWrap w:val="0"/>
                  <w:vAlign w:val="center"/>
                </w:tcPr>
                <w:p w14:paraId="2075C1E6">
                  <w:pPr>
                    <w:ind w:left="-105" w:leftChars="-50" w:right="-105" w:rightChars="-50"/>
                    <w:jc w:val="center"/>
                    <w:rPr>
                      <w:b w:val="0"/>
                      <w:bCs w:val="0"/>
                      <w:color w:val="auto"/>
                      <w:szCs w:val="21"/>
                      <w:highlight w:val="none"/>
                    </w:rPr>
                  </w:pPr>
                  <w:r>
                    <w:rPr>
                      <w:rFonts w:hint="eastAsia"/>
                      <w:color w:val="auto"/>
                      <w:szCs w:val="21"/>
                      <w:highlight w:val="none"/>
                    </w:rPr>
                    <w:t>/</w:t>
                  </w:r>
                </w:p>
              </w:tc>
              <w:tc>
                <w:tcPr>
                  <w:tcW w:w="707" w:type="pct"/>
                  <w:noWrap w:val="0"/>
                  <w:vAlign w:val="center"/>
                </w:tcPr>
                <w:p w14:paraId="143A2F1A">
                  <w:pPr>
                    <w:ind w:left="-105" w:leftChars="-50" w:right="-105" w:rightChars="-50"/>
                    <w:jc w:val="center"/>
                    <w:rPr>
                      <w:b w:val="0"/>
                      <w:bCs w:val="0"/>
                      <w:color w:val="auto"/>
                      <w:szCs w:val="21"/>
                      <w:highlight w:val="none"/>
                    </w:rPr>
                  </w:pPr>
                  <w:r>
                    <w:rPr>
                      <w:rFonts w:hint="eastAsia"/>
                      <w:color w:val="auto"/>
                      <w:szCs w:val="21"/>
                      <w:highlight w:val="none"/>
                    </w:rPr>
                    <w:t>900-003-S17</w:t>
                  </w:r>
                </w:p>
              </w:tc>
              <w:tc>
                <w:tcPr>
                  <w:tcW w:w="378" w:type="pct"/>
                  <w:noWrap w:val="0"/>
                  <w:vAlign w:val="center"/>
                </w:tcPr>
                <w:p w14:paraId="4D3B890B">
                  <w:pPr>
                    <w:ind w:left="-105" w:leftChars="-50" w:right="-105" w:rightChars="-50"/>
                    <w:jc w:val="center"/>
                    <w:rPr>
                      <w:b w:val="0"/>
                      <w:bCs w:val="0"/>
                      <w:color w:val="auto"/>
                      <w:szCs w:val="21"/>
                      <w:highlight w:val="none"/>
                    </w:rPr>
                  </w:pPr>
                  <w:r>
                    <w:rPr>
                      <w:rFonts w:hint="eastAsia"/>
                      <w:color w:val="auto"/>
                      <w:szCs w:val="21"/>
                      <w:highlight w:val="none"/>
                    </w:rPr>
                    <w:t>固</w:t>
                  </w:r>
                </w:p>
              </w:tc>
              <w:tc>
                <w:tcPr>
                  <w:tcW w:w="455" w:type="pct"/>
                  <w:noWrap w:val="0"/>
                  <w:vAlign w:val="center"/>
                </w:tcPr>
                <w:p w14:paraId="4746DA2D">
                  <w:pPr>
                    <w:ind w:left="-105" w:leftChars="-50" w:right="-105" w:rightChars="-50"/>
                    <w:jc w:val="center"/>
                    <w:rPr>
                      <w:b w:val="0"/>
                      <w:bCs w:val="0"/>
                      <w:color w:val="auto"/>
                      <w:szCs w:val="21"/>
                      <w:highlight w:val="none"/>
                    </w:rPr>
                  </w:pPr>
                  <w:r>
                    <w:rPr>
                      <w:rFonts w:hint="eastAsia"/>
                      <w:color w:val="auto"/>
                      <w:szCs w:val="21"/>
                      <w:highlight w:val="none"/>
                    </w:rPr>
                    <w:t>/</w:t>
                  </w:r>
                </w:p>
              </w:tc>
              <w:tc>
                <w:tcPr>
                  <w:tcW w:w="671" w:type="pct"/>
                  <w:noWrap w:val="0"/>
                  <w:vAlign w:val="center"/>
                </w:tcPr>
                <w:p w14:paraId="38AE5703">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0.1</w:t>
                  </w:r>
                </w:p>
              </w:tc>
              <w:tc>
                <w:tcPr>
                  <w:tcW w:w="968" w:type="pct"/>
                  <w:noWrap w:val="0"/>
                  <w:vAlign w:val="center"/>
                </w:tcPr>
                <w:p w14:paraId="099F5C5D">
                  <w:pPr>
                    <w:ind w:left="-105" w:leftChars="-50" w:right="-105" w:rightChars="-50"/>
                    <w:jc w:val="center"/>
                    <w:rPr>
                      <w:rFonts w:hint="eastAsia"/>
                      <w:color w:val="auto"/>
                      <w:szCs w:val="21"/>
                      <w:highlight w:val="none"/>
                    </w:rPr>
                  </w:pPr>
                  <w:r>
                    <w:rPr>
                      <w:rFonts w:hint="eastAsia"/>
                      <w:color w:val="auto"/>
                      <w:szCs w:val="21"/>
                      <w:highlight w:val="none"/>
                    </w:rPr>
                    <w:t>厂家定期回收</w:t>
                  </w:r>
                </w:p>
              </w:tc>
            </w:tr>
            <w:tr w14:paraId="021C1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715E1283">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3</w:t>
                  </w:r>
                </w:p>
              </w:tc>
              <w:tc>
                <w:tcPr>
                  <w:tcW w:w="700" w:type="pct"/>
                  <w:noWrap w:val="0"/>
                  <w:vAlign w:val="center"/>
                </w:tcPr>
                <w:p w14:paraId="5F839B0D">
                  <w:pPr>
                    <w:ind w:left="-105" w:leftChars="-50" w:right="-105" w:rightChars="-50"/>
                    <w:jc w:val="center"/>
                    <w:rPr>
                      <w:rFonts w:hint="eastAsia"/>
                      <w:color w:val="auto"/>
                      <w:szCs w:val="21"/>
                      <w:highlight w:val="none"/>
                    </w:rPr>
                  </w:pPr>
                  <w:r>
                    <w:rPr>
                      <w:rFonts w:hint="eastAsia"/>
                      <w:color w:val="auto"/>
                      <w:szCs w:val="21"/>
                      <w:highlight w:val="none"/>
                    </w:rPr>
                    <w:t>废边角料</w:t>
                  </w:r>
                </w:p>
              </w:tc>
              <w:tc>
                <w:tcPr>
                  <w:tcW w:w="451" w:type="pct"/>
                  <w:vMerge w:val="continue"/>
                  <w:noWrap w:val="0"/>
                  <w:vAlign w:val="center"/>
                </w:tcPr>
                <w:p w14:paraId="561AAAF6">
                  <w:pPr>
                    <w:jc w:val="center"/>
                    <w:rPr>
                      <w:b w:val="0"/>
                      <w:bCs w:val="0"/>
                      <w:color w:val="auto"/>
                      <w:szCs w:val="21"/>
                      <w:highlight w:val="none"/>
                    </w:rPr>
                  </w:pPr>
                </w:p>
              </w:tc>
              <w:tc>
                <w:tcPr>
                  <w:tcW w:w="351" w:type="pct"/>
                  <w:noWrap w:val="0"/>
                  <w:vAlign w:val="center"/>
                </w:tcPr>
                <w:p w14:paraId="749A8BC7">
                  <w:pPr>
                    <w:ind w:left="-105" w:leftChars="-50" w:right="-105" w:rightChars="-50"/>
                    <w:jc w:val="center"/>
                    <w:rPr>
                      <w:b w:val="0"/>
                      <w:bCs w:val="0"/>
                      <w:color w:val="auto"/>
                      <w:szCs w:val="21"/>
                      <w:highlight w:val="none"/>
                    </w:rPr>
                  </w:pPr>
                  <w:r>
                    <w:rPr>
                      <w:rFonts w:hint="eastAsia"/>
                      <w:color w:val="auto"/>
                      <w:szCs w:val="21"/>
                      <w:highlight w:val="none"/>
                    </w:rPr>
                    <w:t>/</w:t>
                  </w:r>
                </w:p>
              </w:tc>
              <w:tc>
                <w:tcPr>
                  <w:tcW w:w="707" w:type="pct"/>
                  <w:noWrap w:val="0"/>
                  <w:vAlign w:val="center"/>
                </w:tcPr>
                <w:p w14:paraId="528707BB">
                  <w:pPr>
                    <w:ind w:left="-105" w:leftChars="-50" w:right="-105" w:rightChars="-50"/>
                    <w:jc w:val="center"/>
                    <w:rPr>
                      <w:b w:val="0"/>
                      <w:bCs w:val="0"/>
                      <w:color w:val="auto"/>
                      <w:szCs w:val="21"/>
                      <w:highlight w:val="none"/>
                    </w:rPr>
                  </w:pPr>
                  <w:r>
                    <w:rPr>
                      <w:rFonts w:hint="eastAsia"/>
                      <w:color w:val="auto"/>
                      <w:szCs w:val="21"/>
                      <w:highlight w:val="none"/>
                    </w:rPr>
                    <w:t>900-003-S17</w:t>
                  </w:r>
                </w:p>
              </w:tc>
              <w:tc>
                <w:tcPr>
                  <w:tcW w:w="378" w:type="pct"/>
                  <w:noWrap w:val="0"/>
                  <w:vAlign w:val="center"/>
                </w:tcPr>
                <w:p w14:paraId="19EB8123">
                  <w:pPr>
                    <w:ind w:left="-105" w:leftChars="-50" w:right="-105" w:rightChars="-50"/>
                    <w:jc w:val="center"/>
                    <w:rPr>
                      <w:b w:val="0"/>
                      <w:bCs w:val="0"/>
                      <w:color w:val="auto"/>
                      <w:szCs w:val="21"/>
                      <w:highlight w:val="none"/>
                    </w:rPr>
                  </w:pPr>
                  <w:r>
                    <w:rPr>
                      <w:rFonts w:hint="eastAsia"/>
                      <w:color w:val="auto"/>
                      <w:szCs w:val="21"/>
                      <w:highlight w:val="none"/>
                    </w:rPr>
                    <w:t>固</w:t>
                  </w:r>
                </w:p>
              </w:tc>
              <w:tc>
                <w:tcPr>
                  <w:tcW w:w="455" w:type="pct"/>
                  <w:noWrap w:val="0"/>
                  <w:vAlign w:val="center"/>
                </w:tcPr>
                <w:p w14:paraId="207422E3">
                  <w:pPr>
                    <w:ind w:left="-105" w:leftChars="-50" w:right="-105" w:rightChars="-50"/>
                    <w:jc w:val="center"/>
                    <w:rPr>
                      <w:b w:val="0"/>
                      <w:bCs w:val="0"/>
                      <w:color w:val="auto"/>
                      <w:szCs w:val="21"/>
                      <w:highlight w:val="none"/>
                    </w:rPr>
                  </w:pPr>
                  <w:r>
                    <w:rPr>
                      <w:rFonts w:hint="eastAsia"/>
                      <w:color w:val="auto"/>
                      <w:szCs w:val="21"/>
                      <w:highlight w:val="none"/>
                    </w:rPr>
                    <w:t>/</w:t>
                  </w:r>
                </w:p>
              </w:tc>
              <w:tc>
                <w:tcPr>
                  <w:tcW w:w="671" w:type="pct"/>
                  <w:noWrap w:val="0"/>
                  <w:vAlign w:val="center"/>
                </w:tcPr>
                <w:p w14:paraId="32BC0C01">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0.2</w:t>
                  </w:r>
                </w:p>
              </w:tc>
              <w:tc>
                <w:tcPr>
                  <w:tcW w:w="1702" w:type="dxa"/>
                  <w:noWrap w:val="0"/>
                  <w:vAlign w:val="center"/>
                </w:tcPr>
                <w:p w14:paraId="723B92E3">
                  <w:pPr>
                    <w:ind w:left="-105" w:leftChars="-50" w:right="-105" w:rightChars="-50"/>
                    <w:jc w:val="center"/>
                    <w:rPr>
                      <w:rFonts w:hint="eastAsia"/>
                      <w:color w:val="auto"/>
                      <w:szCs w:val="21"/>
                      <w:highlight w:val="none"/>
                    </w:rPr>
                  </w:pPr>
                  <w:r>
                    <w:rPr>
                      <w:rFonts w:hint="eastAsia"/>
                      <w:color w:val="auto"/>
                      <w:szCs w:val="21"/>
                      <w:highlight w:val="none"/>
                    </w:rPr>
                    <w:t>定期回收综合利用</w:t>
                  </w:r>
                </w:p>
              </w:tc>
            </w:tr>
            <w:tr w14:paraId="56FB4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2B11046C">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4</w:t>
                  </w:r>
                </w:p>
              </w:tc>
              <w:tc>
                <w:tcPr>
                  <w:tcW w:w="700" w:type="pct"/>
                  <w:noWrap w:val="0"/>
                  <w:vAlign w:val="center"/>
                </w:tcPr>
                <w:p w14:paraId="59C85C05">
                  <w:pPr>
                    <w:ind w:left="-105" w:leftChars="-50" w:right="-105" w:rightChars="-50"/>
                    <w:jc w:val="center"/>
                    <w:rPr>
                      <w:rFonts w:hint="eastAsia"/>
                      <w:color w:val="auto"/>
                      <w:szCs w:val="21"/>
                      <w:highlight w:val="none"/>
                    </w:rPr>
                  </w:pPr>
                  <w:r>
                    <w:rPr>
                      <w:rFonts w:hint="eastAsia"/>
                      <w:color w:val="auto"/>
                      <w:szCs w:val="21"/>
                      <w:highlight w:val="none"/>
                    </w:rPr>
                    <w:t>废包装材料</w:t>
                  </w:r>
                </w:p>
              </w:tc>
              <w:tc>
                <w:tcPr>
                  <w:tcW w:w="451" w:type="pct"/>
                  <w:vMerge w:val="continue"/>
                  <w:noWrap w:val="0"/>
                  <w:vAlign w:val="center"/>
                </w:tcPr>
                <w:p w14:paraId="734B5AC9">
                  <w:pPr>
                    <w:widowControl/>
                    <w:jc w:val="center"/>
                    <w:rPr>
                      <w:b w:val="0"/>
                      <w:bCs w:val="0"/>
                      <w:color w:val="auto"/>
                      <w:szCs w:val="21"/>
                      <w:highlight w:val="none"/>
                    </w:rPr>
                  </w:pPr>
                </w:p>
              </w:tc>
              <w:tc>
                <w:tcPr>
                  <w:tcW w:w="351" w:type="pct"/>
                  <w:noWrap w:val="0"/>
                  <w:vAlign w:val="center"/>
                </w:tcPr>
                <w:p w14:paraId="22DF9717">
                  <w:pPr>
                    <w:ind w:left="-105" w:leftChars="-50" w:right="-105" w:rightChars="-50"/>
                    <w:jc w:val="center"/>
                    <w:rPr>
                      <w:b w:val="0"/>
                      <w:bCs w:val="0"/>
                      <w:color w:val="auto"/>
                      <w:szCs w:val="21"/>
                      <w:highlight w:val="none"/>
                    </w:rPr>
                  </w:pPr>
                  <w:r>
                    <w:rPr>
                      <w:rFonts w:hint="eastAsia"/>
                      <w:color w:val="auto"/>
                      <w:szCs w:val="21"/>
                      <w:highlight w:val="none"/>
                    </w:rPr>
                    <w:t>/</w:t>
                  </w:r>
                </w:p>
              </w:tc>
              <w:tc>
                <w:tcPr>
                  <w:tcW w:w="707" w:type="pct"/>
                  <w:noWrap w:val="0"/>
                  <w:vAlign w:val="center"/>
                </w:tcPr>
                <w:p w14:paraId="53D2AC67">
                  <w:pPr>
                    <w:ind w:left="-105" w:leftChars="-50" w:right="-105" w:rightChars="-50"/>
                    <w:jc w:val="center"/>
                    <w:rPr>
                      <w:b w:val="0"/>
                      <w:bCs w:val="0"/>
                      <w:color w:val="auto"/>
                      <w:szCs w:val="21"/>
                      <w:highlight w:val="none"/>
                    </w:rPr>
                  </w:pPr>
                  <w:r>
                    <w:rPr>
                      <w:rFonts w:hint="eastAsia"/>
                      <w:color w:val="auto"/>
                      <w:szCs w:val="21"/>
                      <w:highlight w:val="none"/>
                    </w:rPr>
                    <w:t>900-003-S17</w:t>
                  </w:r>
                </w:p>
              </w:tc>
              <w:tc>
                <w:tcPr>
                  <w:tcW w:w="378" w:type="pct"/>
                  <w:noWrap w:val="0"/>
                  <w:vAlign w:val="center"/>
                </w:tcPr>
                <w:p w14:paraId="1E46B821">
                  <w:pPr>
                    <w:ind w:left="-105" w:leftChars="-50" w:right="-105" w:rightChars="-50"/>
                    <w:jc w:val="center"/>
                    <w:rPr>
                      <w:b w:val="0"/>
                      <w:bCs w:val="0"/>
                      <w:color w:val="auto"/>
                      <w:szCs w:val="21"/>
                      <w:highlight w:val="none"/>
                    </w:rPr>
                  </w:pPr>
                  <w:r>
                    <w:rPr>
                      <w:rFonts w:hint="eastAsia"/>
                      <w:color w:val="auto"/>
                      <w:szCs w:val="21"/>
                      <w:highlight w:val="none"/>
                    </w:rPr>
                    <w:t>固</w:t>
                  </w:r>
                </w:p>
              </w:tc>
              <w:tc>
                <w:tcPr>
                  <w:tcW w:w="455" w:type="pct"/>
                  <w:noWrap w:val="0"/>
                  <w:vAlign w:val="center"/>
                </w:tcPr>
                <w:p w14:paraId="74E9AB4C">
                  <w:pPr>
                    <w:ind w:left="-105" w:leftChars="-50" w:right="-105" w:rightChars="-50"/>
                    <w:jc w:val="center"/>
                    <w:rPr>
                      <w:b w:val="0"/>
                      <w:bCs w:val="0"/>
                      <w:color w:val="auto"/>
                      <w:szCs w:val="21"/>
                      <w:highlight w:val="none"/>
                    </w:rPr>
                  </w:pPr>
                  <w:r>
                    <w:rPr>
                      <w:rFonts w:hint="eastAsia"/>
                      <w:color w:val="auto"/>
                      <w:szCs w:val="21"/>
                      <w:highlight w:val="none"/>
                    </w:rPr>
                    <w:t>/</w:t>
                  </w:r>
                </w:p>
              </w:tc>
              <w:tc>
                <w:tcPr>
                  <w:tcW w:w="671" w:type="pct"/>
                  <w:noWrap w:val="0"/>
                  <w:vAlign w:val="center"/>
                </w:tcPr>
                <w:p w14:paraId="601F7E1C">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0.1</w:t>
                  </w:r>
                </w:p>
              </w:tc>
              <w:tc>
                <w:tcPr>
                  <w:tcW w:w="1702" w:type="dxa"/>
                  <w:noWrap w:val="0"/>
                  <w:vAlign w:val="center"/>
                </w:tcPr>
                <w:p w14:paraId="646D6CCC">
                  <w:pPr>
                    <w:ind w:left="-105" w:leftChars="-50" w:right="-105" w:rightChars="-50"/>
                    <w:jc w:val="center"/>
                    <w:rPr>
                      <w:rFonts w:hint="eastAsia"/>
                      <w:color w:val="auto"/>
                      <w:szCs w:val="21"/>
                      <w:highlight w:val="none"/>
                    </w:rPr>
                  </w:pPr>
                  <w:r>
                    <w:rPr>
                      <w:rFonts w:hint="eastAsia"/>
                      <w:color w:val="auto"/>
                      <w:szCs w:val="21"/>
                      <w:highlight w:val="none"/>
                    </w:rPr>
                    <w:t>定期回收综合利用</w:t>
                  </w:r>
                </w:p>
              </w:tc>
            </w:tr>
            <w:tr w14:paraId="7811D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3652FA42">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5</w:t>
                  </w:r>
                </w:p>
              </w:tc>
              <w:tc>
                <w:tcPr>
                  <w:tcW w:w="700" w:type="pct"/>
                  <w:noWrap w:val="0"/>
                  <w:vAlign w:val="center"/>
                </w:tcPr>
                <w:p w14:paraId="06583ACF">
                  <w:pPr>
                    <w:ind w:left="-105" w:leftChars="-50" w:right="-105" w:rightChars="-50"/>
                    <w:jc w:val="center"/>
                    <w:rPr>
                      <w:rFonts w:hint="eastAsia"/>
                      <w:color w:val="auto"/>
                      <w:szCs w:val="21"/>
                      <w:highlight w:val="none"/>
                    </w:rPr>
                  </w:pPr>
                  <w:r>
                    <w:rPr>
                      <w:rFonts w:hint="eastAsia"/>
                      <w:color w:val="auto"/>
                      <w:szCs w:val="21"/>
                      <w:highlight w:val="none"/>
                    </w:rPr>
                    <w:t>废铝合金</w:t>
                  </w:r>
                </w:p>
              </w:tc>
              <w:tc>
                <w:tcPr>
                  <w:tcW w:w="451" w:type="pct"/>
                  <w:vMerge w:val="continue"/>
                  <w:noWrap w:val="0"/>
                  <w:vAlign w:val="center"/>
                </w:tcPr>
                <w:p w14:paraId="42BB71B5">
                  <w:pPr>
                    <w:jc w:val="center"/>
                    <w:rPr>
                      <w:b w:val="0"/>
                      <w:bCs w:val="0"/>
                      <w:color w:val="auto"/>
                      <w:szCs w:val="21"/>
                      <w:highlight w:val="none"/>
                    </w:rPr>
                  </w:pPr>
                </w:p>
              </w:tc>
              <w:tc>
                <w:tcPr>
                  <w:tcW w:w="351" w:type="pct"/>
                  <w:noWrap w:val="0"/>
                  <w:vAlign w:val="center"/>
                </w:tcPr>
                <w:p w14:paraId="59C9ED06">
                  <w:pPr>
                    <w:ind w:left="-105" w:leftChars="-50" w:right="-105" w:rightChars="-50"/>
                    <w:jc w:val="center"/>
                    <w:rPr>
                      <w:b w:val="0"/>
                      <w:bCs w:val="0"/>
                      <w:color w:val="auto"/>
                      <w:szCs w:val="21"/>
                      <w:highlight w:val="none"/>
                    </w:rPr>
                  </w:pPr>
                  <w:r>
                    <w:rPr>
                      <w:rFonts w:hint="eastAsia"/>
                      <w:color w:val="auto"/>
                      <w:szCs w:val="21"/>
                      <w:highlight w:val="none"/>
                    </w:rPr>
                    <w:t>/</w:t>
                  </w:r>
                </w:p>
              </w:tc>
              <w:tc>
                <w:tcPr>
                  <w:tcW w:w="707" w:type="pct"/>
                  <w:noWrap w:val="0"/>
                  <w:vAlign w:val="center"/>
                </w:tcPr>
                <w:p w14:paraId="5E52A649">
                  <w:pPr>
                    <w:ind w:left="-105" w:leftChars="-50" w:right="-105" w:rightChars="-50"/>
                    <w:jc w:val="center"/>
                    <w:rPr>
                      <w:b w:val="0"/>
                      <w:bCs w:val="0"/>
                      <w:color w:val="auto"/>
                      <w:szCs w:val="21"/>
                      <w:highlight w:val="none"/>
                    </w:rPr>
                  </w:pPr>
                  <w:r>
                    <w:rPr>
                      <w:rFonts w:hint="eastAsia"/>
                      <w:color w:val="auto"/>
                      <w:szCs w:val="21"/>
                      <w:highlight w:val="none"/>
                    </w:rPr>
                    <w:t>900-003-S17</w:t>
                  </w:r>
                </w:p>
              </w:tc>
              <w:tc>
                <w:tcPr>
                  <w:tcW w:w="378" w:type="pct"/>
                  <w:noWrap w:val="0"/>
                  <w:vAlign w:val="center"/>
                </w:tcPr>
                <w:p w14:paraId="7C4F3AC5">
                  <w:pPr>
                    <w:ind w:left="-105" w:leftChars="-50" w:right="-105" w:rightChars="-50"/>
                    <w:jc w:val="center"/>
                    <w:rPr>
                      <w:b w:val="0"/>
                      <w:bCs w:val="0"/>
                      <w:color w:val="auto"/>
                      <w:szCs w:val="21"/>
                      <w:highlight w:val="none"/>
                    </w:rPr>
                  </w:pPr>
                  <w:r>
                    <w:rPr>
                      <w:rFonts w:hint="eastAsia"/>
                      <w:color w:val="auto"/>
                      <w:szCs w:val="21"/>
                      <w:highlight w:val="none"/>
                    </w:rPr>
                    <w:t>固</w:t>
                  </w:r>
                </w:p>
              </w:tc>
              <w:tc>
                <w:tcPr>
                  <w:tcW w:w="455" w:type="pct"/>
                  <w:noWrap w:val="0"/>
                  <w:vAlign w:val="center"/>
                </w:tcPr>
                <w:p w14:paraId="7E89EF22">
                  <w:pPr>
                    <w:ind w:left="-105" w:leftChars="-50" w:right="-105" w:rightChars="-50"/>
                    <w:jc w:val="center"/>
                    <w:rPr>
                      <w:b w:val="0"/>
                      <w:bCs w:val="0"/>
                      <w:color w:val="auto"/>
                      <w:szCs w:val="21"/>
                      <w:highlight w:val="none"/>
                    </w:rPr>
                  </w:pPr>
                  <w:r>
                    <w:rPr>
                      <w:rFonts w:hint="eastAsia"/>
                      <w:color w:val="auto"/>
                      <w:szCs w:val="21"/>
                      <w:highlight w:val="none"/>
                    </w:rPr>
                    <w:t>/</w:t>
                  </w:r>
                </w:p>
              </w:tc>
              <w:tc>
                <w:tcPr>
                  <w:tcW w:w="671" w:type="pct"/>
                  <w:noWrap w:val="0"/>
                  <w:vAlign w:val="center"/>
                </w:tcPr>
                <w:p w14:paraId="186F3F5D">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0.1</w:t>
                  </w:r>
                </w:p>
              </w:tc>
              <w:tc>
                <w:tcPr>
                  <w:tcW w:w="1702" w:type="dxa"/>
                  <w:noWrap w:val="0"/>
                  <w:vAlign w:val="center"/>
                </w:tcPr>
                <w:p w14:paraId="0A0B615F">
                  <w:pPr>
                    <w:ind w:left="-105" w:leftChars="-50" w:right="-105" w:rightChars="-50"/>
                    <w:jc w:val="center"/>
                    <w:rPr>
                      <w:rFonts w:hint="eastAsia"/>
                      <w:color w:val="auto"/>
                      <w:szCs w:val="21"/>
                      <w:highlight w:val="none"/>
                    </w:rPr>
                  </w:pPr>
                  <w:r>
                    <w:rPr>
                      <w:rFonts w:hint="eastAsia"/>
                      <w:color w:val="auto"/>
                      <w:szCs w:val="21"/>
                      <w:highlight w:val="none"/>
                    </w:rPr>
                    <w:t>定期回收综合利用</w:t>
                  </w:r>
                </w:p>
              </w:tc>
            </w:tr>
            <w:tr w14:paraId="23A64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13" w:type="pct"/>
                  <w:noWrap w:val="0"/>
                  <w:vAlign w:val="center"/>
                </w:tcPr>
                <w:p w14:paraId="62388B86">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6</w:t>
                  </w:r>
                </w:p>
              </w:tc>
              <w:tc>
                <w:tcPr>
                  <w:tcW w:w="700" w:type="pct"/>
                  <w:noWrap w:val="0"/>
                  <w:vAlign w:val="center"/>
                </w:tcPr>
                <w:p w14:paraId="1766EA9B">
                  <w:pPr>
                    <w:ind w:left="-105" w:leftChars="-50" w:right="-105" w:rightChars="-50"/>
                    <w:jc w:val="center"/>
                    <w:rPr>
                      <w:rFonts w:hint="eastAsia"/>
                      <w:color w:val="auto"/>
                      <w:szCs w:val="21"/>
                      <w:highlight w:val="none"/>
                    </w:rPr>
                  </w:pPr>
                  <w:r>
                    <w:rPr>
                      <w:rFonts w:hint="eastAsia"/>
                      <w:color w:val="auto"/>
                      <w:szCs w:val="21"/>
                      <w:highlight w:val="none"/>
                    </w:rPr>
                    <w:t>废活性炭</w:t>
                  </w:r>
                </w:p>
              </w:tc>
              <w:tc>
                <w:tcPr>
                  <w:tcW w:w="451" w:type="pct"/>
                  <w:vMerge w:val="restart"/>
                  <w:noWrap w:val="0"/>
                  <w:vAlign w:val="center"/>
                </w:tcPr>
                <w:p w14:paraId="18034FD0">
                  <w:pPr>
                    <w:jc w:val="center"/>
                    <w:rPr>
                      <w:b w:val="0"/>
                      <w:bCs w:val="0"/>
                      <w:color w:val="auto"/>
                      <w:szCs w:val="21"/>
                      <w:highlight w:val="none"/>
                    </w:rPr>
                  </w:pPr>
                  <w:r>
                    <w:rPr>
                      <w:rFonts w:hint="eastAsia"/>
                      <w:b w:val="0"/>
                      <w:bCs w:val="0"/>
                      <w:color w:val="auto"/>
                      <w:szCs w:val="21"/>
                      <w:highlight w:val="none"/>
                    </w:rPr>
                    <w:t>危险废物</w:t>
                  </w:r>
                </w:p>
              </w:tc>
              <w:tc>
                <w:tcPr>
                  <w:tcW w:w="351" w:type="pct"/>
                  <w:noWrap w:val="0"/>
                  <w:vAlign w:val="center"/>
                </w:tcPr>
                <w:p w14:paraId="3CAAD971">
                  <w:pPr>
                    <w:ind w:left="-105" w:leftChars="-50" w:right="-105" w:rightChars="-50"/>
                    <w:jc w:val="center"/>
                    <w:rPr>
                      <w:b w:val="0"/>
                      <w:bCs w:val="0"/>
                      <w:color w:val="auto"/>
                      <w:szCs w:val="21"/>
                      <w:highlight w:val="none"/>
                    </w:rPr>
                  </w:pPr>
                  <w:r>
                    <w:rPr>
                      <w:rFonts w:hint="eastAsia"/>
                      <w:color w:val="auto"/>
                      <w:szCs w:val="21"/>
                      <w:highlight w:val="none"/>
                    </w:rPr>
                    <w:t>HW49</w:t>
                  </w:r>
                </w:p>
              </w:tc>
              <w:tc>
                <w:tcPr>
                  <w:tcW w:w="707" w:type="pct"/>
                  <w:shd w:val="clear" w:color="auto" w:fill="auto"/>
                  <w:noWrap w:val="0"/>
                  <w:vAlign w:val="center"/>
                </w:tcPr>
                <w:p w14:paraId="09C44844">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900-039-49</w:t>
                  </w:r>
                </w:p>
              </w:tc>
              <w:tc>
                <w:tcPr>
                  <w:tcW w:w="378" w:type="pct"/>
                  <w:shd w:val="clear" w:color="auto" w:fill="auto"/>
                  <w:noWrap w:val="0"/>
                  <w:vAlign w:val="center"/>
                </w:tcPr>
                <w:p w14:paraId="362C18AB">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固</w:t>
                  </w:r>
                </w:p>
              </w:tc>
              <w:tc>
                <w:tcPr>
                  <w:tcW w:w="455" w:type="pct"/>
                  <w:shd w:val="clear" w:color="auto" w:fill="auto"/>
                  <w:noWrap w:val="0"/>
                  <w:vAlign w:val="center"/>
                </w:tcPr>
                <w:p w14:paraId="1053ED35">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w:t>
                  </w:r>
                </w:p>
              </w:tc>
              <w:tc>
                <w:tcPr>
                  <w:tcW w:w="671" w:type="pct"/>
                  <w:noWrap w:val="0"/>
                  <w:vAlign w:val="center"/>
                </w:tcPr>
                <w:p w14:paraId="49BA08A1">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4</w:t>
                  </w:r>
                  <w:r>
                    <w:rPr>
                      <w:rFonts w:hint="eastAsia" w:ascii="Times New Roman" w:hAnsi="Times New Roman" w:cs="Times New Roman"/>
                      <w:b w:val="0"/>
                      <w:bCs w:val="0"/>
                      <w:color w:val="auto"/>
                      <w:szCs w:val="21"/>
                      <w:highlight w:val="none"/>
                      <w:lang w:val="en-US" w:eastAsia="zh-CN"/>
                    </w:rPr>
                    <w:t>.016</w:t>
                  </w:r>
                </w:p>
              </w:tc>
              <w:tc>
                <w:tcPr>
                  <w:tcW w:w="968" w:type="pct"/>
                  <w:noWrap w:val="0"/>
                  <w:vAlign w:val="center"/>
                </w:tcPr>
                <w:p w14:paraId="41075CA9">
                  <w:pPr>
                    <w:ind w:left="-105" w:leftChars="-50" w:right="-105" w:rightChars="-50"/>
                    <w:jc w:val="center"/>
                    <w:rPr>
                      <w:rFonts w:hint="eastAsia"/>
                      <w:color w:val="auto"/>
                      <w:szCs w:val="21"/>
                      <w:highlight w:val="none"/>
                    </w:rPr>
                  </w:pPr>
                  <w:r>
                    <w:rPr>
                      <w:rFonts w:hint="eastAsia"/>
                      <w:color w:val="auto"/>
                      <w:szCs w:val="21"/>
                      <w:highlight w:val="none"/>
                    </w:rPr>
                    <w:t>定期交由有资质单位处置</w:t>
                  </w:r>
                </w:p>
              </w:tc>
            </w:tr>
            <w:tr w14:paraId="09F81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00CAB9F8">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7</w:t>
                  </w:r>
                </w:p>
              </w:tc>
              <w:tc>
                <w:tcPr>
                  <w:tcW w:w="700" w:type="pct"/>
                  <w:noWrap w:val="0"/>
                  <w:vAlign w:val="center"/>
                </w:tcPr>
                <w:p w14:paraId="24A9E6B2">
                  <w:pPr>
                    <w:ind w:left="-105" w:leftChars="-50" w:right="-105" w:rightChars="-50"/>
                    <w:jc w:val="center"/>
                    <w:rPr>
                      <w:rFonts w:hint="eastAsia"/>
                      <w:color w:val="auto"/>
                      <w:szCs w:val="21"/>
                      <w:highlight w:val="none"/>
                    </w:rPr>
                  </w:pPr>
                  <w:r>
                    <w:rPr>
                      <w:rFonts w:hint="eastAsia"/>
                      <w:color w:val="auto"/>
                      <w:szCs w:val="21"/>
                      <w:highlight w:val="none"/>
                    </w:rPr>
                    <w:t>废油桶</w:t>
                  </w:r>
                </w:p>
              </w:tc>
              <w:tc>
                <w:tcPr>
                  <w:tcW w:w="451" w:type="pct"/>
                  <w:vMerge w:val="continue"/>
                  <w:noWrap w:val="0"/>
                  <w:vAlign w:val="center"/>
                </w:tcPr>
                <w:p w14:paraId="4781BEBD">
                  <w:pPr>
                    <w:jc w:val="center"/>
                    <w:rPr>
                      <w:b w:val="0"/>
                      <w:bCs w:val="0"/>
                      <w:color w:val="auto"/>
                      <w:szCs w:val="21"/>
                      <w:highlight w:val="none"/>
                    </w:rPr>
                  </w:pPr>
                </w:p>
              </w:tc>
              <w:tc>
                <w:tcPr>
                  <w:tcW w:w="351" w:type="pct"/>
                  <w:noWrap w:val="0"/>
                  <w:vAlign w:val="center"/>
                </w:tcPr>
                <w:p w14:paraId="08E46E3F">
                  <w:pPr>
                    <w:ind w:left="-105" w:leftChars="-50" w:right="-105" w:rightChars="-50"/>
                    <w:jc w:val="center"/>
                    <w:rPr>
                      <w:b w:val="0"/>
                      <w:bCs w:val="0"/>
                      <w:color w:val="auto"/>
                      <w:szCs w:val="21"/>
                      <w:highlight w:val="none"/>
                    </w:rPr>
                  </w:pPr>
                  <w:r>
                    <w:rPr>
                      <w:rFonts w:hint="eastAsia"/>
                      <w:color w:val="auto"/>
                      <w:szCs w:val="21"/>
                      <w:highlight w:val="none"/>
                    </w:rPr>
                    <w:t>HW08</w:t>
                  </w:r>
                </w:p>
              </w:tc>
              <w:tc>
                <w:tcPr>
                  <w:tcW w:w="707" w:type="pct"/>
                  <w:shd w:val="clear" w:color="auto" w:fill="auto"/>
                  <w:noWrap w:val="0"/>
                  <w:vAlign w:val="center"/>
                </w:tcPr>
                <w:p w14:paraId="518AF677">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900-249-08</w:t>
                  </w:r>
                </w:p>
              </w:tc>
              <w:tc>
                <w:tcPr>
                  <w:tcW w:w="378" w:type="pct"/>
                  <w:shd w:val="clear" w:color="auto" w:fill="auto"/>
                  <w:noWrap w:val="0"/>
                  <w:vAlign w:val="center"/>
                </w:tcPr>
                <w:p w14:paraId="790EBA48">
                  <w:pPr>
                    <w:ind w:left="-105" w:leftChars="-50" w:right="-105" w:rightChars="-5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固</w:t>
                  </w:r>
                </w:p>
              </w:tc>
              <w:tc>
                <w:tcPr>
                  <w:tcW w:w="455" w:type="pct"/>
                  <w:shd w:val="clear" w:color="auto" w:fill="auto"/>
                  <w:noWrap w:val="0"/>
                  <w:vAlign w:val="center"/>
                </w:tcPr>
                <w:p w14:paraId="6A48A30A">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T,I</w:t>
                  </w:r>
                </w:p>
              </w:tc>
              <w:tc>
                <w:tcPr>
                  <w:tcW w:w="671" w:type="pct"/>
                  <w:noWrap w:val="0"/>
                  <w:vAlign w:val="center"/>
                </w:tcPr>
                <w:p w14:paraId="4C708CFB">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0.1</w:t>
                  </w:r>
                </w:p>
              </w:tc>
              <w:tc>
                <w:tcPr>
                  <w:tcW w:w="1702" w:type="dxa"/>
                  <w:noWrap w:val="0"/>
                  <w:vAlign w:val="center"/>
                </w:tcPr>
                <w:p w14:paraId="595DD3D1">
                  <w:pPr>
                    <w:ind w:left="-105" w:leftChars="-50" w:right="-105" w:rightChars="-50"/>
                    <w:jc w:val="center"/>
                    <w:rPr>
                      <w:rFonts w:hint="eastAsia"/>
                      <w:color w:val="auto"/>
                      <w:szCs w:val="21"/>
                      <w:highlight w:val="none"/>
                    </w:rPr>
                  </w:pPr>
                  <w:r>
                    <w:rPr>
                      <w:rFonts w:hint="eastAsia"/>
                      <w:color w:val="auto"/>
                      <w:szCs w:val="21"/>
                      <w:highlight w:val="none"/>
                    </w:rPr>
                    <w:t>定期交由有资质单位处置</w:t>
                  </w:r>
                </w:p>
              </w:tc>
            </w:tr>
            <w:tr w14:paraId="3028D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60DF2F5C">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8</w:t>
                  </w:r>
                </w:p>
              </w:tc>
              <w:tc>
                <w:tcPr>
                  <w:tcW w:w="700" w:type="pct"/>
                  <w:noWrap w:val="0"/>
                  <w:vAlign w:val="center"/>
                </w:tcPr>
                <w:p w14:paraId="7E233711">
                  <w:pPr>
                    <w:ind w:left="-105" w:leftChars="-50" w:right="-105" w:rightChars="-50"/>
                    <w:jc w:val="center"/>
                    <w:rPr>
                      <w:rFonts w:hint="eastAsia"/>
                      <w:color w:val="auto"/>
                      <w:szCs w:val="21"/>
                      <w:highlight w:val="none"/>
                    </w:rPr>
                  </w:pPr>
                  <w:r>
                    <w:rPr>
                      <w:rFonts w:hint="eastAsia"/>
                      <w:color w:val="auto"/>
                      <w:szCs w:val="21"/>
                      <w:highlight w:val="none"/>
                    </w:rPr>
                    <w:t>废含油抹布</w:t>
                  </w:r>
                </w:p>
              </w:tc>
              <w:tc>
                <w:tcPr>
                  <w:tcW w:w="451" w:type="pct"/>
                  <w:vMerge w:val="continue"/>
                  <w:noWrap w:val="0"/>
                  <w:vAlign w:val="center"/>
                </w:tcPr>
                <w:p w14:paraId="672551B6">
                  <w:pPr>
                    <w:jc w:val="center"/>
                    <w:rPr>
                      <w:rFonts w:hint="eastAsia"/>
                      <w:b w:val="0"/>
                      <w:bCs w:val="0"/>
                      <w:color w:val="auto"/>
                      <w:szCs w:val="21"/>
                      <w:highlight w:val="none"/>
                    </w:rPr>
                  </w:pPr>
                </w:p>
              </w:tc>
              <w:tc>
                <w:tcPr>
                  <w:tcW w:w="351" w:type="pct"/>
                  <w:noWrap w:val="0"/>
                  <w:vAlign w:val="center"/>
                </w:tcPr>
                <w:p w14:paraId="38C718F7">
                  <w:pPr>
                    <w:ind w:left="-105" w:leftChars="-50" w:right="-105" w:rightChars="-50"/>
                    <w:jc w:val="center"/>
                    <w:rPr>
                      <w:rFonts w:hint="eastAsia"/>
                      <w:b w:val="0"/>
                      <w:bCs w:val="0"/>
                      <w:color w:val="auto"/>
                      <w:szCs w:val="21"/>
                      <w:highlight w:val="none"/>
                    </w:rPr>
                  </w:pPr>
                  <w:r>
                    <w:rPr>
                      <w:rFonts w:hint="eastAsia"/>
                      <w:color w:val="auto"/>
                      <w:szCs w:val="21"/>
                      <w:highlight w:val="none"/>
                    </w:rPr>
                    <w:t>HW08</w:t>
                  </w:r>
                </w:p>
              </w:tc>
              <w:tc>
                <w:tcPr>
                  <w:tcW w:w="707" w:type="pct"/>
                  <w:shd w:val="clear" w:color="auto" w:fill="auto"/>
                  <w:noWrap w:val="0"/>
                  <w:vAlign w:val="center"/>
                </w:tcPr>
                <w:p w14:paraId="1FCFAF30">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900-249-08</w:t>
                  </w:r>
                </w:p>
              </w:tc>
              <w:tc>
                <w:tcPr>
                  <w:tcW w:w="378" w:type="pct"/>
                  <w:shd w:val="clear" w:color="auto" w:fill="auto"/>
                  <w:noWrap w:val="0"/>
                  <w:vAlign w:val="center"/>
                </w:tcPr>
                <w:p w14:paraId="08F525F7">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固</w:t>
                  </w:r>
                </w:p>
              </w:tc>
              <w:tc>
                <w:tcPr>
                  <w:tcW w:w="455" w:type="pct"/>
                  <w:shd w:val="clear" w:color="auto" w:fill="auto"/>
                  <w:noWrap w:val="0"/>
                  <w:vAlign w:val="center"/>
                </w:tcPr>
                <w:p w14:paraId="640FA33F">
                  <w:pPr>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T,I</w:t>
                  </w:r>
                </w:p>
              </w:tc>
              <w:tc>
                <w:tcPr>
                  <w:tcW w:w="671" w:type="pct"/>
                  <w:noWrap w:val="0"/>
                  <w:vAlign w:val="center"/>
                </w:tcPr>
                <w:p w14:paraId="0820874A">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0.05</w:t>
                  </w:r>
                </w:p>
              </w:tc>
              <w:tc>
                <w:tcPr>
                  <w:tcW w:w="1702" w:type="dxa"/>
                  <w:noWrap w:val="0"/>
                  <w:vAlign w:val="center"/>
                </w:tcPr>
                <w:p w14:paraId="5981F0CA">
                  <w:pPr>
                    <w:ind w:left="-105" w:leftChars="-50" w:right="-105" w:rightChars="-50"/>
                    <w:jc w:val="center"/>
                    <w:rPr>
                      <w:rFonts w:hint="eastAsia"/>
                      <w:color w:val="auto"/>
                      <w:szCs w:val="21"/>
                      <w:highlight w:val="none"/>
                    </w:rPr>
                  </w:pPr>
                  <w:r>
                    <w:rPr>
                      <w:rFonts w:hint="eastAsia"/>
                      <w:color w:val="auto"/>
                      <w:szCs w:val="21"/>
                      <w:highlight w:val="none"/>
                    </w:rPr>
                    <w:t>定期交由有资质单位处置</w:t>
                  </w:r>
                </w:p>
              </w:tc>
            </w:tr>
            <w:tr w14:paraId="502A7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noWrap w:val="0"/>
                  <w:vAlign w:val="center"/>
                </w:tcPr>
                <w:p w14:paraId="260A7A14">
                  <w:pPr>
                    <w:ind w:left="-105" w:leftChars="-50" w:right="-105" w:rightChars="-5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9</w:t>
                  </w:r>
                </w:p>
              </w:tc>
              <w:tc>
                <w:tcPr>
                  <w:tcW w:w="700" w:type="pct"/>
                  <w:noWrap w:val="0"/>
                  <w:vAlign w:val="center"/>
                </w:tcPr>
                <w:p w14:paraId="67B09999">
                  <w:pPr>
                    <w:ind w:left="-105" w:leftChars="-50" w:right="-105" w:rightChars="-50"/>
                    <w:jc w:val="center"/>
                    <w:rPr>
                      <w:rFonts w:hint="eastAsia"/>
                      <w:b w:val="0"/>
                      <w:bCs w:val="0"/>
                      <w:color w:val="auto"/>
                      <w:szCs w:val="21"/>
                      <w:highlight w:val="none"/>
                    </w:rPr>
                  </w:pPr>
                  <w:r>
                    <w:rPr>
                      <w:rFonts w:hint="eastAsia"/>
                      <w:color w:val="auto"/>
                      <w:szCs w:val="21"/>
                      <w:highlight w:val="none"/>
                    </w:rPr>
                    <w:t>生活垃圾</w:t>
                  </w:r>
                </w:p>
              </w:tc>
              <w:tc>
                <w:tcPr>
                  <w:tcW w:w="451" w:type="pct"/>
                  <w:noWrap w:val="0"/>
                  <w:vAlign w:val="center"/>
                </w:tcPr>
                <w:p w14:paraId="056EDAD5">
                  <w:pPr>
                    <w:widowControl/>
                    <w:jc w:val="center"/>
                    <w:rPr>
                      <w:rFonts w:hint="eastAsia"/>
                      <w:b w:val="0"/>
                      <w:bCs w:val="0"/>
                      <w:color w:val="auto"/>
                      <w:szCs w:val="21"/>
                      <w:highlight w:val="none"/>
                    </w:rPr>
                  </w:pPr>
                  <w:r>
                    <w:rPr>
                      <w:rFonts w:hint="eastAsia"/>
                      <w:color w:val="auto"/>
                      <w:szCs w:val="21"/>
                      <w:highlight w:val="none"/>
                    </w:rPr>
                    <w:t>生活垃圾</w:t>
                  </w:r>
                </w:p>
              </w:tc>
              <w:tc>
                <w:tcPr>
                  <w:tcW w:w="351" w:type="pct"/>
                  <w:noWrap w:val="0"/>
                  <w:vAlign w:val="center"/>
                </w:tcPr>
                <w:p w14:paraId="01B60796">
                  <w:pPr>
                    <w:ind w:left="-105" w:leftChars="-50" w:right="-105" w:rightChars="-50"/>
                    <w:jc w:val="center"/>
                    <w:rPr>
                      <w:rFonts w:hint="eastAsia"/>
                      <w:b w:val="0"/>
                      <w:bCs w:val="0"/>
                      <w:color w:val="auto"/>
                      <w:szCs w:val="21"/>
                      <w:highlight w:val="none"/>
                    </w:rPr>
                  </w:pPr>
                  <w:r>
                    <w:rPr>
                      <w:rFonts w:hint="eastAsia"/>
                      <w:color w:val="auto"/>
                      <w:szCs w:val="21"/>
                      <w:highlight w:val="none"/>
                    </w:rPr>
                    <w:t>/</w:t>
                  </w:r>
                </w:p>
              </w:tc>
              <w:tc>
                <w:tcPr>
                  <w:tcW w:w="707" w:type="pct"/>
                  <w:noWrap w:val="0"/>
                  <w:vAlign w:val="center"/>
                </w:tcPr>
                <w:p w14:paraId="5FA586C5">
                  <w:pPr>
                    <w:ind w:left="-105" w:leftChars="-50" w:right="-105" w:rightChars="-50"/>
                    <w:jc w:val="center"/>
                    <w:rPr>
                      <w:rFonts w:hint="eastAsia"/>
                      <w:b w:val="0"/>
                      <w:bCs w:val="0"/>
                      <w:color w:val="auto"/>
                      <w:szCs w:val="21"/>
                      <w:highlight w:val="none"/>
                    </w:rPr>
                  </w:pPr>
                  <w:r>
                    <w:rPr>
                      <w:rFonts w:hint="eastAsia"/>
                      <w:color w:val="auto"/>
                      <w:szCs w:val="21"/>
                      <w:highlight w:val="none"/>
                    </w:rPr>
                    <w:t>900-099-S64</w:t>
                  </w:r>
                </w:p>
              </w:tc>
              <w:tc>
                <w:tcPr>
                  <w:tcW w:w="378" w:type="pct"/>
                  <w:noWrap w:val="0"/>
                  <w:vAlign w:val="center"/>
                </w:tcPr>
                <w:p w14:paraId="4A407558">
                  <w:pPr>
                    <w:ind w:left="-105" w:leftChars="-50" w:right="-105" w:rightChars="-50"/>
                    <w:jc w:val="center"/>
                    <w:rPr>
                      <w:rFonts w:hint="eastAsia"/>
                      <w:b w:val="0"/>
                      <w:bCs w:val="0"/>
                      <w:color w:val="auto"/>
                      <w:szCs w:val="21"/>
                      <w:highlight w:val="none"/>
                    </w:rPr>
                  </w:pPr>
                  <w:r>
                    <w:rPr>
                      <w:rFonts w:hint="eastAsia"/>
                      <w:color w:val="auto"/>
                      <w:szCs w:val="21"/>
                      <w:highlight w:val="none"/>
                    </w:rPr>
                    <w:t>固</w:t>
                  </w:r>
                </w:p>
              </w:tc>
              <w:tc>
                <w:tcPr>
                  <w:tcW w:w="455" w:type="pct"/>
                  <w:noWrap w:val="0"/>
                  <w:vAlign w:val="center"/>
                </w:tcPr>
                <w:p w14:paraId="735E9931">
                  <w:pPr>
                    <w:ind w:left="-105" w:leftChars="-50" w:right="-105" w:rightChars="-50"/>
                    <w:jc w:val="center"/>
                    <w:rPr>
                      <w:rFonts w:hint="eastAsia"/>
                      <w:b w:val="0"/>
                      <w:bCs w:val="0"/>
                      <w:color w:val="auto"/>
                      <w:szCs w:val="21"/>
                      <w:highlight w:val="none"/>
                    </w:rPr>
                  </w:pPr>
                  <w:r>
                    <w:rPr>
                      <w:rFonts w:hint="eastAsia"/>
                      <w:color w:val="auto"/>
                      <w:szCs w:val="21"/>
                      <w:highlight w:val="none"/>
                    </w:rPr>
                    <w:t>/</w:t>
                  </w:r>
                </w:p>
              </w:tc>
              <w:tc>
                <w:tcPr>
                  <w:tcW w:w="671" w:type="pct"/>
                  <w:noWrap w:val="0"/>
                  <w:vAlign w:val="center"/>
                </w:tcPr>
                <w:p w14:paraId="2B331E86">
                  <w:pPr>
                    <w:ind w:left="-105" w:leftChars="-50" w:right="-105" w:rightChars="-5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0.75</w:t>
                  </w:r>
                </w:p>
              </w:tc>
              <w:tc>
                <w:tcPr>
                  <w:tcW w:w="968" w:type="pct"/>
                  <w:noWrap w:val="0"/>
                  <w:vAlign w:val="center"/>
                </w:tcPr>
                <w:p w14:paraId="699686B7">
                  <w:pPr>
                    <w:ind w:left="-105" w:leftChars="-50" w:right="-105" w:rightChars="-50"/>
                    <w:jc w:val="center"/>
                    <w:rPr>
                      <w:rFonts w:hint="default" w:eastAsia="宋体"/>
                      <w:color w:val="auto"/>
                      <w:szCs w:val="21"/>
                      <w:highlight w:val="none"/>
                      <w:lang w:val="en-US" w:eastAsia="zh-CN"/>
                    </w:rPr>
                  </w:pPr>
                  <w:r>
                    <w:rPr>
                      <w:rFonts w:hint="eastAsia"/>
                      <w:color w:val="auto"/>
                      <w:szCs w:val="21"/>
                      <w:highlight w:val="none"/>
                      <w:lang w:val="en-US" w:eastAsia="zh-CN"/>
                    </w:rPr>
                    <w:t>市政环卫</w:t>
                  </w:r>
                </w:p>
              </w:tc>
            </w:tr>
          </w:tbl>
          <w:p w14:paraId="528586CD">
            <w:pPr>
              <w:pStyle w:val="7"/>
              <w:ind w:firstLine="480"/>
              <w:rPr>
                <w:color w:val="auto"/>
                <w:highlight w:val="none"/>
              </w:rPr>
            </w:pPr>
            <w:r>
              <w:rPr>
                <w:rFonts w:hint="eastAsia"/>
                <w:color w:val="auto"/>
                <w:highlight w:val="none"/>
              </w:rPr>
              <w:t>本项目产生的</w:t>
            </w:r>
            <w:r>
              <w:rPr>
                <w:color w:val="auto"/>
                <w:highlight w:val="none"/>
              </w:rPr>
              <w:t>各种固废全部得到妥善处理，符</w:t>
            </w:r>
            <w:r>
              <w:rPr>
                <w:rFonts w:hint="eastAsia"/>
                <w:color w:val="auto"/>
                <w:highlight w:val="none"/>
              </w:rPr>
              <w:t>合“资源化、减量化、无害化”</w:t>
            </w:r>
            <w:r>
              <w:rPr>
                <w:color w:val="auto"/>
                <w:highlight w:val="none"/>
              </w:rPr>
              <w:t>处理的要求，满足相关环境保护的要求，固体废物处置措施合理可行。</w:t>
            </w:r>
          </w:p>
          <w:p w14:paraId="7F432404">
            <w:pPr>
              <w:spacing w:line="360" w:lineRule="auto"/>
              <w:ind w:firstLine="482" w:firstLineChars="200"/>
              <w:rPr>
                <w:b/>
                <w:bCs/>
                <w:color w:val="auto"/>
                <w:sz w:val="24"/>
                <w:highlight w:val="none"/>
              </w:rPr>
            </w:pPr>
            <w:r>
              <w:rPr>
                <w:rFonts w:hint="eastAsia"/>
                <w:b/>
                <w:bCs/>
                <w:color w:val="auto"/>
                <w:sz w:val="24"/>
                <w:highlight w:val="none"/>
              </w:rPr>
              <w:t>3、</w:t>
            </w:r>
            <w:r>
              <w:rPr>
                <w:b/>
                <w:bCs/>
                <w:color w:val="auto"/>
                <w:sz w:val="24"/>
                <w:highlight w:val="none"/>
              </w:rPr>
              <w:t>环境管理要求</w:t>
            </w:r>
          </w:p>
          <w:p w14:paraId="6FFA0D0D">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（1）生活垃圾</w:t>
            </w:r>
          </w:p>
          <w:p w14:paraId="5F234C8F">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采用分类垃圾桶对生活垃圾进行分类收集，日产日清，由市政环卫部门定期清运。</w:t>
            </w:r>
          </w:p>
          <w:p w14:paraId="35368907">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（2）一般工业固废</w:t>
            </w:r>
          </w:p>
          <w:p w14:paraId="16CC1132">
            <w:pPr>
              <w:tabs>
                <w:tab w:val="left" w:pos="1440"/>
                <w:tab w:val="left" w:pos="1800"/>
              </w:tabs>
              <w:adjustRightInd w:val="0"/>
              <w:snapToGrid w:val="0"/>
              <w:spacing w:line="360" w:lineRule="auto"/>
              <w:ind w:firstLine="480" w:firstLineChars="200"/>
              <w:rPr>
                <w:rFonts w:hint="eastAsia" w:eastAsia="宋体"/>
                <w:color w:val="auto"/>
                <w:spacing w:val="2"/>
                <w:sz w:val="24"/>
                <w:highlight w:val="none"/>
                <w:lang w:eastAsia="zh-CN"/>
              </w:rPr>
            </w:pPr>
            <w:r>
              <w:rPr>
                <w:rFonts w:hint="eastAsia"/>
                <w:color w:val="auto"/>
                <w:kern w:val="24"/>
                <w:sz w:val="24"/>
                <w:highlight w:val="none"/>
              </w:rPr>
              <w:t>本项目一般工业固废包括除尘灰、废模具、废边角料、废包装材料、废铝合金，分类收集后暂存于一般工业固废暂存区（位于库房北部，面积10m</w:t>
            </w:r>
            <w:r>
              <w:rPr>
                <w:rFonts w:hint="eastAsia"/>
                <w:color w:val="auto"/>
                <w:kern w:val="24"/>
                <w:sz w:val="24"/>
                <w:highlight w:val="none"/>
                <w:vertAlign w:val="superscript"/>
              </w:rPr>
              <w:t>2</w:t>
            </w:r>
            <w:r>
              <w:rPr>
                <w:rFonts w:hint="eastAsia"/>
                <w:color w:val="auto"/>
                <w:kern w:val="24"/>
                <w:sz w:val="24"/>
                <w:highlight w:val="none"/>
              </w:rPr>
              <w:t>），其中除尘灰定期回收综合利用，废模具厂家定期回收，废边角料、废包装材料、废铝合金定期外售综合利用</w:t>
            </w:r>
            <w:r>
              <w:rPr>
                <w:rFonts w:hint="eastAsia"/>
                <w:color w:val="auto"/>
                <w:spacing w:val="2"/>
                <w:sz w:val="24"/>
                <w:highlight w:val="none"/>
              </w:rPr>
              <w:t>。</w:t>
            </w:r>
            <w:r>
              <w:rPr>
                <w:rFonts w:hint="eastAsia"/>
                <w:color w:val="auto"/>
                <w:sz w:val="24"/>
                <w:highlight w:val="none"/>
                <w:lang w:val="en-US" w:eastAsia="zh-CN"/>
              </w:rPr>
              <w:t>环评要求本项目</w:t>
            </w:r>
            <w:r>
              <w:rPr>
                <w:rFonts w:hint="eastAsia"/>
                <w:color w:val="auto"/>
                <w:sz w:val="24"/>
                <w:highlight w:val="none"/>
              </w:rPr>
              <w:t>一般固废暂存区严格</w:t>
            </w:r>
            <w:r>
              <w:rPr>
                <w:color w:val="auto"/>
                <w:sz w:val="24"/>
                <w:highlight w:val="none"/>
              </w:rPr>
              <w:t>按照《一般工业固体废物贮存和填埋污染控制标准》（GB18599-2020）</w:t>
            </w:r>
            <w:r>
              <w:rPr>
                <w:rFonts w:hint="eastAsia"/>
                <w:color w:val="auto"/>
                <w:sz w:val="24"/>
                <w:highlight w:val="none"/>
              </w:rPr>
              <w:t>等相关要求</w:t>
            </w:r>
            <w:r>
              <w:rPr>
                <w:color w:val="auto"/>
                <w:sz w:val="24"/>
                <w:highlight w:val="none"/>
              </w:rPr>
              <w:t>，</w:t>
            </w:r>
            <w:r>
              <w:rPr>
                <w:rFonts w:hint="eastAsia"/>
                <w:color w:val="auto"/>
                <w:sz w:val="24"/>
                <w:highlight w:val="none"/>
              </w:rPr>
              <w:t>进行</w:t>
            </w:r>
            <w:r>
              <w:rPr>
                <w:color w:val="auto"/>
                <w:sz w:val="24"/>
                <w:highlight w:val="none"/>
              </w:rPr>
              <w:t>防风、防雨、防晒</w:t>
            </w:r>
            <w:r>
              <w:rPr>
                <w:rFonts w:hint="eastAsia"/>
                <w:color w:val="auto"/>
                <w:sz w:val="24"/>
                <w:highlight w:val="none"/>
              </w:rPr>
              <w:t>等工程建设</w:t>
            </w:r>
            <w:r>
              <w:rPr>
                <w:rFonts w:hint="eastAsia"/>
                <w:color w:val="auto"/>
                <w:sz w:val="24"/>
                <w:highlight w:val="none"/>
                <w:lang w:eastAsia="zh-CN"/>
              </w:rPr>
              <w:t>。</w:t>
            </w:r>
          </w:p>
          <w:p w14:paraId="68A9B514">
            <w:pPr>
              <w:tabs>
                <w:tab w:val="left" w:pos="1440"/>
                <w:tab w:val="left" w:pos="1800"/>
              </w:tabs>
              <w:adjustRightInd w:val="0"/>
              <w:snapToGrid w:val="0"/>
              <w:spacing w:line="360" w:lineRule="auto"/>
              <w:ind w:firstLine="488" w:firstLineChars="200"/>
              <w:rPr>
                <w:color w:val="auto"/>
                <w:spacing w:val="2"/>
                <w:sz w:val="24"/>
                <w:highlight w:val="none"/>
              </w:rPr>
            </w:pPr>
            <w:r>
              <w:rPr>
                <w:rFonts w:hint="eastAsia"/>
                <w:color w:val="auto"/>
                <w:spacing w:val="2"/>
                <w:sz w:val="24"/>
                <w:highlight w:val="none"/>
              </w:rPr>
              <w:t>（3）危险废物</w:t>
            </w:r>
          </w:p>
          <w:p w14:paraId="004473F2">
            <w:pPr>
              <w:spacing w:line="360" w:lineRule="auto"/>
              <w:ind w:firstLine="488" w:firstLineChars="200"/>
              <w:rPr>
                <w:rFonts w:hint="default"/>
                <w:color w:val="auto"/>
                <w:spacing w:val="2"/>
                <w:sz w:val="24"/>
                <w:highlight w:val="none"/>
                <w:lang w:val="en-US" w:eastAsia="zh-CN"/>
              </w:rPr>
            </w:pPr>
            <w:r>
              <w:rPr>
                <w:rFonts w:hint="eastAsia"/>
                <w:color w:val="auto"/>
                <w:spacing w:val="2"/>
                <w:sz w:val="24"/>
                <w:highlight w:val="none"/>
              </w:rPr>
              <w:t>危险废物包括有机废气处理产生的废活性炭、废油桶、废含油抹布，分类收集后暂存于危废贮存库</w:t>
            </w:r>
            <w:r>
              <w:rPr>
                <w:rFonts w:hint="eastAsia"/>
                <w:color w:val="auto"/>
                <w:spacing w:val="2"/>
                <w:sz w:val="24"/>
                <w:highlight w:val="none"/>
                <w:lang w:eastAsia="zh-CN"/>
              </w:rPr>
              <w:t>，</w:t>
            </w:r>
            <w:r>
              <w:rPr>
                <w:rFonts w:hint="eastAsia"/>
                <w:color w:val="auto"/>
                <w:spacing w:val="2"/>
                <w:sz w:val="24"/>
                <w:highlight w:val="none"/>
              </w:rPr>
              <w:t>依托</w:t>
            </w:r>
            <w:r>
              <w:rPr>
                <w:rFonts w:hint="eastAsia"/>
                <w:bCs/>
                <w:color w:val="auto"/>
                <w:sz w:val="24"/>
                <w:highlight w:val="none"/>
                <w:lang w:val="en-US" w:eastAsia="zh-CN"/>
              </w:rPr>
              <w:t>陕西力拓重工机械有限公司</w:t>
            </w:r>
            <w:r>
              <w:rPr>
                <w:rFonts w:hint="eastAsia"/>
                <w:color w:val="auto"/>
                <w:spacing w:val="2"/>
                <w:sz w:val="24"/>
                <w:highlight w:val="none"/>
              </w:rPr>
              <w:t>现有</w:t>
            </w:r>
            <w:r>
              <w:rPr>
                <w:rFonts w:hint="eastAsia"/>
                <w:color w:val="auto"/>
                <w:spacing w:val="2"/>
                <w:sz w:val="24"/>
                <w:highlight w:val="none"/>
                <w:lang w:val="en-US" w:eastAsia="zh-CN"/>
              </w:rPr>
              <w:t>危废贮存库</w:t>
            </w:r>
            <w:r>
              <w:rPr>
                <w:rFonts w:hint="eastAsia"/>
                <w:color w:val="auto"/>
                <w:spacing w:val="2"/>
                <w:sz w:val="24"/>
                <w:highlight w:val="none"/>
              </w:rPr>
              <w:t>，</w:t>
            </w:r>
            <w:r>
              <w:rPr>
                <w:rFonts w:hint="eastAsia"/>
                <w:bCs/>
                <w:color w:val="auto"/>
                <w:sz w:val="24"/>
                <w:highlight w:val="none"/>
                <w:lang w:val="en-US" w:eastAsia="zh-CN"/>
              </w:rPr>
              <w:t>陕西力拓重工机械有限公司与西安兴晟裕汇环保科技有限公司签订了危险废物处置合同书（见附件9），</w:t>
            </w:r>
            <w:r>
              <w:rPr>
                <w:rFonts w:hint="eastAsia"/>
                <w:color w:val="auto"/>
                <w:spacing w:val="2"/>
                <w:sz w:val="24"/>
                <w:highlight w:val="none"/>
                <w:lang w:val="en-US" w:eastAsia="zh-CN"/>
              </w:rPr>
              <w:t>根据建设单位提供资料，厂区给本项目划分的可</w:t>
            </w:r>
            <w:r>
              <w:rPr>
                <w:rFonts w:hint="eastAsia"/>
                <w:color w:val="auto"/>
                <w:spacing w:val="2"/>
                <w:sz w:val="24"/>
                <w:highlight w:val="none"/>
              </w:rPr>
              <w:t>依托面积</w:t>
            </w:r>
            <w:r>
              <w:rPr>
                <w:rFonts w:hint="eastAsia"/>
                <w:color w:val="auto"/>
                <w:spacing w:val="2"/>
                <w:sz w:val="24"/>
                <w:highlight w:val="none"/>
                <w:lang w:val="en-US" w:eastAsia="zh-CN"/>
              </w:rPr>
              <w:t>为</w:t>
            </w:r>
            <w:r>
              <w:rPr>
                <w:rFonts w:hint="eastAsia"/>
                <w:color w:val="auto"/>
                <w:spacing w:val="2"/>
                <w:sz w:val="24"/>
                <w:highlight w:val="none"/>
                <w:lang w:val="en-US" w:eastAsia="zh-CN"/>
              </w:rPr>
              <w:t>5</w:t>
            </w:r>
            <w:r>
              <w:rPr>
                <w:rFonts w:hint="eastAsia"/>
                <w:color w:val="auto"/>
                <w:spacing w:val="2"/>
                <w:sz w:val="24"/>
                <w:highlight w:val="none"/>
              </w:rPr>
              <w:t>m</w:t>
            </w:r>
            <w:r>
              <w:rPr>
                <w:rFonts w:hint="eastAsia"/>
                <w:color w:val="auto"/>
                <w:spacing w:val="2"/>
                <w:sz w:val="24"/>
                <w:highlight w:val="none"/>
                <w:vertAlign w:val="superscript"/>
              </w:rPr>
              <w:t>2</w:t>
            </w:r>
            <w:r>
              <w:rPr>
                <w:rFonts w:hint="eastAsia"/>
                <w:color w:val="auto"/>
                <w:spacing w:val="2"/>
                <w:sz w:val="24"/>
                <w:highlight w:val="none"/>
                <w:lang w:eastAsia="zh-CN"/>
              </w:rPr>
              <w:t>。</w:t>
            </w:r>
          </w:p>
          <w:p w14:paraId="111CD6BC">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根据现场踏勘，本项目所依托的现有危废贮存库设置符合《危险废物贮存污染控制标准》（GB18597-2023）和《危险废物转移联单管理办法》（国家环保总局5号令）等相关要求，具体如下：</w:t>
            </w:r>
          </w:p>
          <w:p w14:paraId="5610C9E9">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①</w:t>
            </w:r>
            <w:r>
              <w:rPr>
                <w:rFonts w:hint="eastAsia"/>
                <w:bCs/>
                <w:color w:val="auto"/>
                <w:sz w:val="24"/>
                <w:highlight w:val="none"/>
                <w:lang w:val="en-US" w:eastAsia="zh-CN"/>
              </w:rPr>
              <w:t>陕西力拓重工机械有限公司</w:t>
            </w:r>
            <w:r>
              <w:rPr>
                <w:rFonts w:hint="eastAsia"/>
                <w:color w:val="auto"/>
                <w:sz w:val="24"/>
                <w:highlight w:val="none"/>
                <w:lang w:val="en-US" w:eastAsia="zh-CN"/>
              </w:rPr>
              <w:t>设置1间10m</w:t>
            </w:r>
            <w:r>
              <w:rPr>
                <w:rFonts w:hint="eastAsia"/>
                <w:color w:val="auto"/>
                <w:sz w:val="24"/>
                <w:highlight w:val="none"/>
                <w:vertAlign w:val="superscript"/>
                <w:lang w:val="en-US" w:eastAsia="zh-CN"/>
              </w:rPr>
              <w:t>2</w:t>
            </w:r>
            <w:r>
              <w:rPr>
                <w:rFonts w:hint="eastAsia"/>
                <w:color w:val="auto"/>
                <w:sz w:val="24"/>
                <w:highlight w:val="none"/>
                <w:lang w:val="en-US" w:eastAsia="zh-CN"/>
              </w:rPr>
              <w:t>的危废贮存库，危废贮存库门口设置了标识并配备双人双锁管理；</w:t>
            </w:r>
          </w:p>
          <w:p w14:paraId="4B02C344">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②危废贮存库内地面及裙角采用了防渗环氧漆涂刷进行防渗，渗透系数≤10-10cm/s；</w:t>
            </w:r>
          </w:p>
          <w:p w14:paraId="28E1D5D7">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③危废贮存库内设置了分区，各项危险废物在危废贮存库内分区堆放；各危险废物采用桶装，收集桶设置了托盘进行暂存；收集桶上和危废贮存库内墙上分别张贴有危废标识；</w:t>
            </w:r>
          </w:p>
          <w:p w14:paraId="4852C852">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④危废贮存库内墙上张贴了《危险废物管理制度》，设置了台账记录本，并悬挂于墙上；出入口处设台秤一台。</w:t>
            </w:r>
          </w:p>
          <w:p w14:paraId="50E44138">
            <w:pPr>
              <w:spacing w:line="360" w:lineRule="auto"/>
              <w:jc w:val="center"/>
              <w:rPr>
                <w:rFonts w:hint="eastAsia"/>
                <w:color w:val="auto"/>
                <w:sz w:val="24"/>
                <w:highlight w:val="none"/>
                <w:lang w:val="en-US" w:eastAsia="zh-CN"/>
              </w:rPr>
            </w:pPr>
            <w:r>
              <w:rPr>
                <w:color w:val="auto"/>
                <w:highlight w:val="none"/>
              </w:rPr>
              <w:drawing>
                <wp:inline distT="0" distB="0" distL="114300" distR="114300">
                  <wp:extent cx="5584190" cy="360426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rcRect r="711"/>
                          <a:stretch>
                            <a:fillRect/>
                          </a:stretch>
                        </pic:blipFill>
                        <pic:spPr>
                          <a:xfrm>
                            <a:off x="0" y="0"/>
                            <a:ext cx="5584190" cy="3604260"/>
                          </a:xfrm>
                          <a:prstGeom prst="rect">
                            <a:avLst/>
                          </a:prstGeom>
                          <a:noFill/>
                          <a:ln>
                            <a:noFill/>
                          </a:ln>
                        </pic:spPr>
                      </pic:pic>
                    </a:graphicData>
                  </a:graphic>
                </wp:inline>
              </w:drawing>
            </w:r>
          </w:p>
          <w:p w14:paraId="35A8F743">
            <w:pPr>
              <w:spacing w:line="360" w:lineRule="auto"/>
              <w:jc w:val="center"/>
              <w:rPr>
                <w:rFonts w:hint="default"/>
                <w:b/>
                <w:bCs/>
                <w:color w:val="auto"/>
                <w:sz w:val="24"/>
                <w:highlight w:val="none"/>
                <w:lang w:val="en-US" w:eastAsia="zh-CN"/>
              </w:rPr>
            </w:pPr>
            <w:r>
              <w:rPr>
                <w:rFonts w:hint="eastAsia"/>
                <w:b/>
                <w:bCs/>
                <w:color w:val="auto"/>
                <w:sz w:val="24"/>
                <w:highlight w:val="none"/>
                <w:lang w:val="en-US" w:eastAsia="zh-CN"/>
              </w:rPr>
              <w:t>图4-1  陕西力拓重工机械有限公司现有危废贮存库建设情</w:t>
            </w:r>
            <w:r>
              <w:rPr>
                <w:rFonts w:hint="eastAsia"/>
                <w:b/>
                <w:bCs/>
                <w:color w:val="auto"/>
                <w:spacing w:val="2"/>
                <w:sz w:val="24"/>
                <w:highlight w:val="none"/>
                <w:lang w:val="en-US" w:eastAsia="zh-CN"/>
              </w:rPr>
              <w:t>况</w:t>
            </w:r>
          </w:p>
          <w:p w14:paraId="5690D866">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现有危废贮存库尚有存放余量5m</w:t>
            </w:r>
            <w:r>
              <w:rPr>
                <w:rFonts w:hint="eastAsia"/>
                <w:color w:val="auto"/>
                <w:sz w:val="24"/>
                <w:highlight w:val="none"/>
                <w:vertAlign w:val="superscript"/>
                <w:lang w:val="en-US" w:eastAsia="zh-CN"/>
              </w:rPr>
              <w:t>2</w:t>
            </w:r>
            <w:r>
              <w:rPr>
                <w:rFonts w:hint="eastAsia"/>
                <w:color w:val="auto"/>
                <w:sz w:val="24"/>
                <w:highlight w:val="none"/>
                <w:lang w:val="en-US" w:eastAsia="zh-CN"/>
              </w:rPr>
              <w:t>以上，可满足本项目需求。针对本项目产生的危险废物，本次评价要求严格按照《危险废物贮存污染控制标准》（GB18597-2023）和《危险废物转移联单管理办法》（国家环保总局5号令）等相关要求对其进行贮存及转移。</w:t>
            </w:r>
          </w:p>
          <w:p w14:paraId="768AD44C">
            <w:pPr>
              <w:pStyle w:val="23"/>
              <w:ind w:firstLine="480"/>
              <w:rPr>
                <w:rFonts w:hint="eastAsia" w:eastAsia="宋体"/>
                <w:color w:val="auto"/>
                <w:sz w:val="24"/>
                <w:szCs w:val="22"/>
                <w:highlight w:val="none"/>
                <w:lang w:eastAsia="zh-CN"/>
              </w:rPr>
            </w:pPr>
            <w:r>
              <w:rPr>
                <w:bCs/>
                <w:color w:val="auto"/>
                <w:sz w:val="24"/>
                <w:highlight w:val="none"/>
              </w:rPr>
              <w:t>综上，项目严格按照有关规定执行，落实本环评提出的各项措施，</w:t>
            </w:r>
            <w:r>
              <w:rPr>
                <w:color w:val="auto"/>
                <w:sz w:val="24"/>
                <w:szCs w:val="22"/>
                <w:highlight w:val="none"/>
              </w:rPr>
              <w:t>项目固体废物均能够得到合理妥善处置，不产生二次污染，对外环境影响较小</w:t>
            </w:r>
            <w:r>
              <w:rPr>
                <w:rFonts w:hint="eastAsia"/>
                <w:color w:val="auto"/>
                <w:sz w:val="24"/>
                <w:szCs w:val="22"/>
                <w:highlight w:val="none"/>
                <w:lang w:eastAsia="zh-CN"/>
              </w:rPr>
              <w:t>。</w:t>
            </w:r>
          </w:p>
          <w:p w14:paraId="2659CD5F">
            <w:pPr>
              <w:pStyle w:val="7"/>
              <w:spacing w:before="120" w:beforeLines="50"/>
              <w:ind w:firstLine="482"/>
              <w:rPr>
                <w:b/>
                <w:bCs/>
                <w:color w:val="auto"/>
                <w:highlight w:val="none"/>
              </w:rPr>
            </w:pPr>
            <w:r>
              <w:rPr>
                <w:rFonts w:hint="eastAsia"/>
                <w:b/>
                <w:bCs/>
                <w:color w:val="auto"/>
                <w:highlight w:val="none"/>
              </w:rPr>
              <w:t>五</w:t>
            </w:r>
            <w:r>
              <w:rPr>
                <w:b/>
                <w:bCs/>
                <w:color w:val="auto"/>
                <w:highlight w:val="none"/>
              </w:rPr>
              <w:t>、</w:t>
            </w:r>
            <w:r>
              <w:rPr>
                <w:rFonts w:hint="eastAsia"/>
                <w:b/>
                <w:bCs/>
                <w:color w:val="auto"/>
                <w:highlight w:val="none"/>
              </w:rPr>
              <w:t>地下水、土壤</w:t>
            </w:r>
          </w:p>
          <w:p w14:paraId="120EE0A2">
            <w:pPr>
              <w:pStyle w:val="49"/>
              <w:rPr>
                <w:rFonts w:hAnsi="Times New Roman"/>
                <w:snapToGrid w:val="0"/>
                <w:color w:val="auto"/>
                <w:kern w:val="0"/>
                <w:szCs w:val="24"/>
                <w:highlight w:val="none"/>
              </w:rPr>
            </w:pPr>
            <w:r>
              <w:rPr>
                <w:rFonts w:hint="eastAsia" w:hAnsi="Times New Roman"/>
                <w:snapToGrid w:val="0"/>
                <w:color w:val="auto"/>
                <w:kern w:val="0"/>
                <w:szCs w:val="24"/>
                <w:highlight w:val="none"/>
              </w:rPr>
              <w:t>1、污染源、类型</w:t>
            </w:r>
          </w:p>
          <w:p w14:paraId="577600A2">
            <w:pPr>
              <w:spacing w:line="360" w:lineRule="auto"/>
              <w:ind w:firstLine="480" w:firstLineChars="200"/>
              <w:rPr>
                <w:snapToGrid w:val="0"/>
                <w:color w:val="auto"/>
                <w:kern w:val="0"/>
                <w:sz w:val="24"/>
                <w:highlight w:val="none"/>
              </w:rPr>
            </w:pPr>
            <w:r>
              <w:rPr>
                <w:rFonts w:hint="eastAsia"/>
                <w:snapToGrid w:val="0"/>
                <w:color w:val="auto"/>
                <w:kern w:val="0"/>
                <w:sz w:val="24"/>
                <w:highlight w:val="none"/>
              </w:rPr>
              <w:t>本</w:t>
            </w:r>
            <w:r>
              <w:rPr>
                <w:snapToGrid w:val="0"/>
                <w:color w:val="auto"/>
                <w:kern w:val="0"/>
                <w:sz w:val="24"/>
                <w:highlight w:val="none"/>
              </w:rPr>
              <w:t>项目</w:t>
            </w:r>
            <w:r>
              <w:rPr>
                <w:rFonts w:hint="eastAsia"/>
                <w:snapToGrid w:val="0"/>
                <w:color w:val="auto"/>
                <w:kern w:val="0"/>
                <w:sz w:val="24"/>
                <w:highlight w:val="none"/>
              </w:rPr>
              <w:t>厂区内乳蜡</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机油</w:t>
            </w:r>
            <w:r>
              <w:rPr>
                <w:rFonts w:hint="eastAsia"/>
                <w:snapToGrid w:val="0"/>
                <w:color w:val="auto"/>
                <w:kern w:val="0"/>
                <w:sz w:val="24"/>
                <w:highlight w:val="none"/>
              </w:rPr>
              <w:t>等</w:t>
            </w:r>
            <w:r>
              <w:rPr>
                <w:rFonts w:hint="eastAsia"/>
                <w:snapToGrid w:val="0"/>
                <w:color w:val="auto"/>
                <w:kern w:val="0"/>
                <w:sz w:val="24"/>
                <w:highlight w:val="none"/>
                <w:lang w:val="en-US" w:eastAsia="zh-CN"/>
              </w:rPr>
              <w:t>原辅料</w:t>
            </w:r>
            <w:r>
              <w:rPr>
                <w:rFonts w:hint="eastAsia"/>
                <w:snapToGrid w:val="0"/>
                <w:color w:val="auto"/>
                <w:kern w:val="0"/>
                <w:sz w:val="24"/>
                <w:highlight w:val="none"/>
              </w:rPr>
              <w:t>若存储不当发生泄漏，会对土壤及地下水造成污染。</w:t>
            </w:r>
          </w:p>
          <w:p w14:paraId="690A1F23">
            <w:pPr>
              <w:pStyle w:val="49"/>
              <w:rPr>
                <w:rFonts w:hAnsi="Times New Roman"/>
                <w:snapToGrid w:val="0"/>
                <w:color w:val="auto"/>
                <w:kern w:val="0"/>
                <w:szCs w:val="24"/>
                <w:highlight w:val="none"/>
              </w:rPr>
            </w:pPr>
            <w:r>
              <w:rPr>
                <w:rFonts w:hint="eastAsia" w:hAnsi="Times New Roman"/>
                <w:snapToGrid w:val="0"/>
                <w:color w:val="auto"/>
                <w:kern w:val="0"/>
                <w:szCs w:val="24"/>
                <w:highlight w:val="none"/>
              </w:rPr>
              <w:t>2、</w:t>
            </w:r>
            <w:r>
              <w:rPr>
                <w:rFonts w:hAnsi="Times New Roman"/>
                <w:snapToGrid w:val="0"/>
                <w:color w:val="auto"/>
                <w:kern w:val="0"/>
                <w:szCs w:val="24"/>
                <w:highlight w:val="none"/>
              </w:rPr>
              <w:t>主要污染途径</w:t>
            </w:r>
          </w:p>
          <w:p w14:paraId="4422F485">
            <w:pPr>
              <w:pStyle w:val="49"/>
              <w:rPr>
                <w:rFonts w:hAnsi="Times New Roman"/>
                <w:snapToGrid w:val="0"/>
                <w:color w:val="auto"/>
                <w:kern w:val="0"/>
                <w:szCs w:val="24"/>
                <w:highlight w:val="none"/>
              </w:rPr>
            </w:pPr>
            <w:r>
              <w:rPr>
                <w:rFonts w:hint="eastAsia" w:hAnsi="Times New Roman"/>
                <w:snapToGrid w:val="0"/>
                <w:color w:val="auto"/>
                <w:kern w:val="0"/>
                <w:szCs w:val="24"/>
                <w:highlight w:val="none"/>
              </w:rPr>
              <w:t>地下水及土壤</w:t>
            </w:r>
            <w:r>
              <w:rPr>
                <w:rFonts w:hAnsi="Times New Roman"/>
                <w:snapToGrid w:val="0"/>
                <w:color w:val="auto"/>
                <w:kern w:val="0"/>
                <w:szCs w:val="24"/>
                <w:highlight w:val="none"/>
              </w:rPr>
              <w:t>的主要污染途径是</w:t>
            </w:r>
            <w:r>
              <w:rPr>
                <w:rFonts w:hint="eastAsia" w:hAnsi="Times New Roman"/>
                <w:snapToGrid w:val="0"/>
                <w:color w:val="auto"/>
                <w:kern w:val="0"/>
                <w:szCs w:val="24"/>
                <w:highlight w:val="none"/>
              </w:rPr>
              <w:t>原辅料暂存区液态物料储存不当发生泄漏，从而对土壤及地下水造成污染</w:t>
            </w:r>
            <w:r>
              <w:rPr>
                <w:rFonts w:hAnsi="Times New Roman"/>
                <w:snapToGrid w:val="0"/>
                <w:color w:val="auto"/>
                <w:kern w:val="0"/>
                <w:szCs w:val="24"/>
                <w:highlight w:val="none"/>
              </w:rPr>
              <w:t>。</w:t>
            </w:r>
          </w:p>
          <w:p w14:paraId="088D3134">
            <w:pPr>
              <w:pStyle w:val="49"/>
              <w:rPr>
                <w:rFonts w:hAnsi="Times New Roman"/>
                <w:snapToGrid w:val="0"/>
                <w:color w:val="auto"/>
                <w:kern w:val="0"/>
                <w:szCs w:val="24"/>
                <w:highlight w:val="none"/>
              </w:rPr>
            </w:pPr>
            <w:r>
              <w:rPr>
                <w:rFonts w:hint="eastAsia" w:hAnsi="Times New Roman"/>
                <w:snapToGrid w:val="0"/>
                <w:color w:val="auto"/>
                <w:kern w:val="0"/>
                <w:szCs w:val="24"/>
                <w:highlight w:val="none"/>
              </w:rPr>
              <w:t>3、</w:t>
            </w:r>
            <w:r>
              <w:rPr>
                <w:rFonts w:hAnsi="Times New Roman"/>
                <w:snapToGrid w:val="0"/>
                <w:color w:val="auto"/>
                <w:kern w:val="0"/>
                <w:szCs w:val="24"/>
                <w:highlight w:val="none"/>
              </w:rPr>
              <w:t>防控措施</w:t>
            </w:r>
          </w:p>
          <w:p w14:paraId="561B27F4">
            <w:pPr>
              <w:pStyle w:val="49"/>
              <w:rPr>
                <w:rFonts w:hAnsi="Times New Roman"/>
                <w:snapToGrid w:val="0"/>
                <w:color w:val="auto"/>
                <w:kern w:val="0"/>
                <w:szCs w:val="24"/>
                <w:highlight w:val="none"/>
              </w:rPr>
            </w:pPr>
            <w:r>
              <w:rPr>
                <w:rFonts w:hAnsi="Times New Roman"/>
                <w:snapToGrid w:val="0"/>
                <w:color w:val="auto"/>
                <w:kern w:val="0"/>
                <w:szCs w:val="24"/>
                <w:highlight w:val="none"/>
              </w:rPr>
              <w:t>本项目主要污染单元为</w:t>
            </w:r>
            <w:r>
              <w:rPr>
                <w:rFonts w:hint="eastAsia" w:hAnsi="Times New Roman"/>
                <w:snapToGrid w:val="0"/>
                <w:color w:val="auto"/>
                <w:kern w:val="0"/>
                <w:szCs w:val="24"/>
                <w:highlight w:val="none"/>
                <w:lang w:val="en-US" w:eastAsia="zh-CN"/>
              </w:rPr>
              <w:t>原辅料</w:t>
            </w:r>
            <w:r>
              <w:rPr>
                <w:rFonts w:hint="eastAsia" w:hAnsi="Times New Roman"/>
                <w:snapToGrid w:val="0"/>
                <w:color w:val="auto"/>
                <w:kern w:val="0"/>
                <w:szCs w:val="24"/>
                <w:highlight w:val="none"/>
              </w:rPr>
              <w:t>暂存区，</w:t>
            </w:r>
            <w:r>
              <w:rPr>
                <w:rFonts w:hAnsi="Times New Roman"/>
                <w:snapToGrid w:val="0"/>
                <w:color w:val="auto"/>
                <w:kern w:val="0"/>
                <w:szCs w:val="24"/>
                <w:highlight w:val="none"/>
              </w:rPr>
              <w:t>企业通过</w:t>
            </w:r>
            <w:r>
              <w:rPr>
                <w:rFonts w:hint="eastAsia" w:ascii="宋体" w:cs="宋体"/>
                <w:snapToGrid w:val="0"/>
                <w:color w:val="auto"/>
                <w:kern w:val="0"/>
                <w:szCs w:val="24"/>
                <w:highlight w:val="none"/>
              </w:rPr>
              <w:t>“源头控制，分区防渗，应急响应”</w:t>
            </w:r>
            <w:r>
              <w:rPr>
                <w:rFonts w:hAnsi="Times New Roman"/>
                <w:snapToGrid w:val="0"/>
                <w:color w:val="auto"/>
                <w:kern w:val="0"/>
                <w:szCs w:val="24"/>
                <w:highlight w:val="none"/>
              </w:rPr>
              <w:t>及加强管理可避免地下水</w:t>
            </w:r>
            <w:r>
              <w:rPr>
                <w:rFonts w:hint="eastAsia" w:hAnsi="Times New Roman"/>
                <w:snapToGrid w:val="0"/>
                <w:color w:val="auto"/>
                <w:kern w:val="0"/>
                <w:szCs w:val="24"/>
                <w:highlight w:val="none"/>
              </w:rPr>
              <w:t>及土壤</w:t>
            </w:r>
            <w:r>
              <w:rPr>
                <w:rFonts w:hAnsi="Times New Roman"/>
                <w:snapToGrid w:val="0"/>
                <w:color w:val="auto"/>
                <w:kern w:val="0"/>
                <w:szCs w:val="24"/>
                <w:highlight w:val="none"/>
              </w:rPr>
              <w:t>污染事故的发生。</w:t>
            </w:r>
          </w:p>
          <w:p w14:paraId="6CEECCAC">
            <w:pPr>
              <w:pStyle w:val="49"/>
              <w:rPr>
                <w:rFonts w:hAnsi="Times New Roman"/>
                <w:snapToGrid w:val="0"/>
                <w:color w:val="auto"/>
                <w:kern w:val="0"/>
                <w:szCs w:val="24"/>
                <w:highlight w:val="none"/>
              </w:rPr>
            </w:pPr>
            <w:r>
              <w:rPr>
                <w:rFonts w:hAnsi="Times New Roman"/>
                <w:snapToGrid w:val="0"/>
                <w:color w:val="auto"/>
                <w:kern w:val="0"/>
                <w:szCs w:val="24"/>
                <w:highlight w:val="none"/>
              </w:rPr>
              <w:t>源头控制：加强对</w:t>
            </w:r>
            <w:r>
              <w:rPr>
                <w:rFonts w:hint="eastAsia" w:hAnsi="Times New Roman"/>
                <w:snapToGrid w:val="0"/>
                <w:color w:val="auto"/>
                <w:kern w:val="0"/>
                <w:szCs w:val="24"/>
                <w:highlight w:val="none"/>
              </w:rPr>
              <w:t>原辅材料</w:t>
            </w:r>
            <w:r>
              <w:rPr>
                <w:rFonts w:hAnsi="Times New Roman"/>
                <w:snapToGrid w:val="0"/>
                <w:color w:val="auto"/>
                <w:kern w:val="0"/>
                <w:szCs w:val="24"/>
                <w:highlight w:val="none"/>
              </w:rPr>
              <w:t>的管理，避免污染物跑</w:t>
            </w:r>
            <w:r>
              <w:rPr>
                <w:rFonts w:hint="eastAsia" w:hAnsi="Times New Roman"/>
                <w:snapToGrid w:val="0"/>
                <w:color w:val="auto"/>
                <w:kern w:val="0"/>
                <w:szCs w:val="24"/>
                <w:highlight w:val="none"/>
              </w:rPr>
              <w:t>、</w:t>
            </w:r>
            <w:r>
              <w:rPr>
                <w:rFonts w:hAnsi="Times New Roman"/>
                <w:snapToGrid w:val="0"/>
                <w:color w:val="auto"/>
                <w:kern w:val="0"/>
                <w:szCs w:val="24"/>
                <w:highlight w:val="none"/>
              </w:rPr>
              <w:t>冒</w:t>
            </w:r>
            <w:r>
              <w:rPr>
                <w:rFonts w:hint="eastAsia" w:hAnsi="Times New Roman"/>
                <w:snapToGrid w:val="0"/>
                <w:color w:val="auto"/>
                <w:kern w:val="0"/>
                <w:szCs w:val="24"/>
                <w:highlight w:val="none"/>
              </w:rPr>
              <w:t>、</w:t>
            </w:r>
            <w:r>
              <w:rPr>
                <w:rFonts w:hAnsi="Times New Roman"/>
                <w:snapToGrid w:val="0"/>
                <w:color w:val="auto"/>
                <w:kern w:val="0"/>
                <w:szCs w:val="24"/>
                <w:highlight w:val="none"/>
              </w:rPr>
              <w:t>滴</w:t>
            </w:r>
            <w:r>
              <w:rPr>
                <w:rFonts w:hint="eastAsia" w:hAnsi="Times New Roman"/>
                <w:snapToGrid w:val="0"/>
                <w:color w:val="auto"/>
                <w:kern w:val="0"/>
                <w:szCs w:val="24"/>
                <w:highlight w:val="none"/>
              </w:rPr>
              <w:t>、</w:t>
            </w:r>
            <w:r>
              <w:rPr>
                <w:rFonts w:hAnsi="Times New Roman"/>
                <w:snapToGrid w:val="0"/>
                <w:color w:val="auto"/>
                <w:kern w:val="0"/>
                <w:szCs w:val="24"/>
                <w:highlight w:val="none"/>
              </w:rPr>
              <w:t>漏现象发生。</w:t>
            </w:r>
          </w:p>
          <w:p w14:paraId="509F6451">
            <w:pPr>
              <w:pStyle w:val="49"/>
              <w:rPr>
                <w:rFonts w:hAnsi="Times New Roman"/>
                <w:snapToGrid w:val="0"/>
                <w:color w:val="auto"/>
                <w:kern w:val="0"/>
                <w:szCs w:val="24"/>
                <w:highlight w:val="none"/>
              </w:rPr>
            </w:pPr>
            <w:r>
              <w:rPr>
                <w:rFonts w:hAnsi="Times New Roman"/>
                <w:snapToGrid w:val="0"/>
                <w:color w:val="auto"/>
                <w:kern w:val="0"/>
                <w:szCs w:val="24"/>
                <w:highlight w:val="none"/>
              </w:rPr>
              <w:t>分区</w:t>
            </w:r>
            <w:r>
              <w:rPr>
                <w:rFonts w:hint="eastAsia" w:hAnsi="Times New Roman"/>
                <w:snapToGrid w:val="0"/>
                <w:color w:val="auto"/>
                <w:kern w:val="0"/>
                <w:szCs w:val="24"/>
                <w:highlight w:val="none"/>
              </w:rPr>
              <w:t>防渗</w:t>
            </w:r>
            <w:r>
              <w:rPr>
                <w:rFonts w:hAnsi="Times New Roman"/>
                <w:snapToGrid w:val="0"/>
                <w:color w:val="auto"/>
                <w:kern w:val="0"/>
                <w:szCs w:val="24"/>
                <w:highlight w:val="none"/>
              </w:rPr>
              <w:t>：</w:t>
            </w:r>
            <w:r>
              <w:rPr>
                <w:rFonts w:hint="eastAsia" w:hAnsi="Times New Roman"/>
                <w:snapToGrid w:val="0"/>
                <w:color w:val="auto"/>
                <w:kern w:val="0"/>
                <w:szCs w:val="24"/>
                <w:highlight w:val="none"/>
                <w:lang w:val="en-US" w:eastAsia="zh-CN"/>
              </w:rPr>
              <w:t>原辅料</w:t>
            </w:r>
            <w:r>
              <w:rPr>
                <w:rFonts w:hint="eastAsia" w:hAnsi="Times New Roman"/>
                <w:snapToGrid w:val="0"/>
                <w:color w:val="auto"/>
                <w:kern w:val="0"/>
                <w:szCs w:val="24"/>
                <w:highlight w:val="none"/>
              </w:rPr>
              <w:t>暂存区位于</w:t>
            </w:r>
            <w:r>
              <w:rPr>
                <w:rFonts w:hint="eastAsia" w:hAnsi="Times New Roman"/>
                <w:snapToGrid w:val="0"/>
                <w:color w:val="auto"/>
                <w:kern w:val="0"/>
                <w:szCs w:val="24"/>
                <w:highlight w:val="none"/>
                <w:lang w:val="en-US" w:eastAsia="zh-CN"/>
              </w:rPr>
              <w:t>库房</w:t>
            </w:r>
            <w:r>
              <w:rPr>
                <w:rFonts w:hint="eastAsia" w:hAnsi="Times New Roman"/>
                <w:snapToGrid w:val="0"/>
                <w:color w:val="auto"/>
                <w:kern w:val="0"/>
                <w:szCs w:val="24"/>
                <w:highlight w:val="none"/>
              </w:rPr>
              <w:t>内，企业应对其进行一般防渗或采取相关措施以达到一般防渗的效果，以防止液态原辅料泄漏导致土壤及地下水污染；</w:t>
            </w:r>
            <w:r>
              <w:rPr>
                <w:rFonts w:hAnsi="Times New Roman"/>
                <w:snapToGrid w:val="0"/>
                <w:color w:val="auto"/>
                <w:kern w:val="0"/>
                <w:szCs w:val="24"/>
                <w:highlight w:val="none"/>
              </w:rPr>
              <w:t>其他</w:t>
            </w:r>
            <w:r>
              <w:rPr>
                <w:rFonts w:hint="eastAsia" w:hAnsi="Times New Roman"/>
                <w:snapToGrid w:val="0"/>
                <w:color w:val="auto"/>
                <w:kern w:val="0"/>
                <w:szCs w:val="24"/>
                <w:highlight w:val="none"/>
              </w:rPr>
              <w:t>生产</w:t>
            </w:r>
            <w:r>
              <w:rPr>
                <w:rFonts w:hAnsi="Times New Roman"/>
                <w:snapToGrid w:val="0"/>
                <w:color w:val="auto"/>
                <w:kern w:val="0"/>
                <w:szCs w:val="24"/>
                <w:highlight w:val="none"/>
              </w:rPr>
              <w:t>区域进行简单防渗。</w:t>
            </w:r>
          </w:p>
          <w:p w14:paraId="1E379681">
            <w:pPr>
              <w:pStyle w:val="49"/>
              <w:rPr>
                <w:rFonts w:hAnsi="Times New Roman"/>
                <w:snapToGrid w:val="0"/>
                <w:color w:val="auto"/>
                <w:kern w:val="0"/>
                <w:szCs w:val="24"/>
                <w:highlight w:val="none"/>
              </w:rPr>
            </w:pPr>
            <w:r>
              <w:rPr>
                <w:rFonts w:hAnsi="Times New Roman"/>
                <w:snapToGrid w:val="0"/>
                <w:color w:val="auto"/>
                <w:kern w:val="0"/>
                <w:szCs w:val="24"/>
                <w:highlight w:val="none"/>
              </w:rPr>
              <w:t>应急响应：发现</w:t>
            </w:r>
            <w:r>
              <w:rPr>
                <w:rFonts w:hint="eastAsia" w:hAnsi="Times New Roman"/>
                <w:snapToGrid w:val="0"/>
                <w:color w:val="auto"/>
                <w:kern w:val="0"/>
                <w:szCs w:val="24"/>
                <w:highlight w:val="none"/>
              </w:rPr>
              <w:t>物料</w:t>
            </w:r>
            <w:r>
              <w:rPr>
                <w:rFonts w:hAnsi="Times New Roman"/>
                <w:snapToGrid w:val="0"/>
                <w:color w:val="auto"/>
                <w:kern w:val="0"/>
                <w:szCs w:val="24"/>
                <w:highlight w:val="none"/>
              </w:rPr>
              <w:t>泄漏后，应立即将泄漏设施内的物料转移至其他包装完好的容器中；及时向</w:t>
            </w:r>
            <w:r>
              <w:rPr>
                <w:rFonts w:hint="eastAsia" w:hAnsi="Times New Roman"/>
                <w:snapToGrid w:val="0"/>
                <w:color w:val="auto"/>
                <w:kern w:val="0"/>
                <w:szCs w:val="24"/>
                <w:highlight w:val="none"/>
              </w:rPr>
              <w:t>生态环境部</w:t>
            </w:r>
            <w:r>
              <w:rPr>
                <w:rFonts w:hAnsi="Times New Roman"/>
                <w:snapToGrid w:val="0"/>
                <w:color w:val="auto"/>
                <w:kern w:val="0"/>
                <w:szCs w:val="24"/>
                <w:highlight w:val="none"/>
              </w:rPr>
              <w:t>门报告，随时就应急处置工作接受监督检查。</w:t>
            </w:r>
          </w:p>
          <w:p w14:paraId="43AD5F58">
            <w:pPr>
              <w:pStyle w:val="49"/>
              <w:rPr>
                <w:rFonts w:hAnsi="Times New Roman"/>
                <w:snapToGrid w:val="0"/>
                <w:color w:val="auto"/>
                <w:kern w:val="0"/>
                <w:szCs w:val="24"/>
                <w:highlight w:val="none"/>
              </w:rPr>
            </w:pPr>
            <w:r>
              <w:rPr>
                <w:rFonts w:hAnsi="Times New Roman"/>
                <w:snapToGrid w:val="0"/>
                <w:color w:val="auto"/>
                <w:kern w:val="0"/>
                <w:szCs w:val="24"/>
                <w:highlight w:val="none"/>
              </w:rPr>
              <w:t>经采取这些措施后，项目运营</w:t>
            </w:r>
            <w:r>
              <w:rPr>
                <w:rFonts w:hint="eastAsia" w:hAnsi="Times New Roman"/>
                <w:snapToGrid w:val="0"/>
                <w:color w:val="auto"/>
                <w:kern w:val="0"/>
                <w:szCs w:val="24"/>
                <w:highlight w:val="none"/>
              </w:rPr>
              <w:t>后</w:t>
            </w:r>
            <w:r>
              <w:rPr>
                <w:rFonts w:hAnsi="Times New Roman"/>
                <w:snapToGrid w:val="0"/>
                <w:color w:val="auto"/>
                <w:kern w:val="0"/>
                <w:szCs w:val="24"/>
                <w:highlight w:val="none"/>
              </w:rPr>
              <w:t>不会对土壤及地下水环境产生影响。</w:t>
            </w:r>
          </w:p>
          <w:p w14:paraId="22C70AB2">
            <w:pPr>
              <w:pStyle w:val="23"/>
              <w:ind w:firstLine="480"/>
              <w:rPr>
                <w:rFonts w:hint="eastAsia"/>
                <w:b/>
                <w:bCs/>
                <w:color w:val="auto"/>
                <w:sz w:val="24"/>
                <w:szCs w:val="22"/>
                <w:highlight w:val="none"/>
                <w:lang w:val="en-US" w:eastAsia="zh-CN"/>
              </w:rPr>
            </w:pPr>
            <w:r>
              <w:rPr>
                <w:rFonts w:hint="eastAsia"/>
                <w:b/>
                <w:bCs/>
                <w:color w:val="auto"/>
                <w:sz w:val="24"/>
                <w:szCs w:val="22"/>
                <w:highlight w:val="none"/>
                <w:lang w:val="en-US" w:eastAsia="zh-CN"/>
              </w:rPr>
              <w:t>六、环境风险</w:t>
            </w:r>
          </w:p>
          <w:p w14:paraId="7590A367">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3CB446D9">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1、风险物质识别</w:t>
            </w:r>
          </w:p>
          <w:p w14:paraId="7FC21D8C">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本项目设备维护所用机油，仅定期补充，无废机产生；液压机所用液压油即采即用，仅定期补充，无废液压油，不在厂区内暂存。因此，本项目所涉及的环境风险物质主要为机油。</w:t>
            </w:r>
          </w:p>
          <w:p w14:paraId="173241BE">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2、环境风险潜势初判</w:t>
            </w:r>
          </w:p>
          <w:p w14:paraId="6EC67906">
            <w:pPr>
              <w:pStyle w:val="23"/>
              <w:ind w:firstLine="480"/>
              <w:rPr>
                <w:rFonts w:hint="default"/>
                <w:color w:val="auto"/>
                <w:sz w:val="24"/>
                <w:szCs w:val="22"/>
                <w:highlight w:val="none"/>
                <w:lang w:val="en-US" w:eastAsia="zh-CN"/>
              </w:rPr>
            </w:pPr>
            <w:r>
              <w:rPr>
                <w:rFonts w:hint="eastAsia"/>
                <w:color w:val="auto"/>
                <w:sz w:val="24"/>
                <w:szCs w:val="22"/>
                <w:highlight w:val="none"/>
                <w:lang w:val="en-US" w:eastAsia="zh-CN"/>
              </w:rPr>
              <w:t>按照《建设项目环境风险评价技术导则》（HJ169-2018）以及《企业突发环境事件风险分级办法》（HJ 941-2018），本项目涉及的环境风险物质主要为机油，对照《建设项目环境风险评价技术导则》（HJ169-2018），油类物质（矿物油类，如石油、汽油、柴油等，生物柴油等）-临界量2500t，本项目所用机油属于矿物油类，故本项目机油临界量为2500t。风险潜势分析及风险等级判定见表4-18。</w:t>
            </w:r>
          </w:p>
          <w:p w14:paraId="6B75BBC6">
            <w:pPr>
              <w:pStyle w:val="52"/>
              <w:spacing w:line="240" w:lineRule="auto"/>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rPr>
              <w:t>4-1</w:t>
            </w:r>
            <w:r>
              <w:rPr>
                <w:rFonts w:hint="eastAsia" w:ascii="Times New Roman" w:hAnsi="Times New Roman" w:eastAsia="宋体" w:cs="Times New Roman"/>
                <w:b/>
                <w:bCs/>
                <w:color w:val="auto"/>
                <w:highlight w:val="none"/>
                <w:lang w:val="en-US" w:eastAsia="zh-CN"/>
              </w:rPr>
              <w:t>8</w:t>
            </w:r>
            <w:r>
              <w:rPr>
                <w:rFonts w:ascii="Times New Roman" w:hAnsi="Times New Roman" w:eastAsia="宋体" w:cs="Times New Roman"/>
                <w:b/>
                <w:bCs/>
                <w:color w:val="auto"/>
                <w:highlight w:val="none"/>
              </w:rPr>
              <w:t>建设项目Q值确定</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432"/>
              <w:gridCol w:w="2356"/>
              <w:gridCol w:w="1763"/>
              <w:gridCol w:w="2238"/>
            </w:tblGrid>
            <w:tr w14:paraId="6D472C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383" w:type="pct"/>
                  <w:tcBorders>
                    <w:top w:val="single" w:color="auto" w:sz="12" w:space="0"/>
                    <w:left w:val="nil"/>
                    <w:bottom w:val="single" w:color="auto" w:sz="6" w:space="0"/>
                    <w:right w:val="single" w:color="auto" w:sz="6" w:space="0"/>
                  </w:tcBorders>
                  <w:noWrap w:val="0"/>
                  <w:vAlign w:val="center"/>
                </w:tcPr>
                <w:p w14:paraId="382AB128">
                  <w:pPr>
                    <w:jc w:val="center"/>
                    <w:rPr>
                      <w:b/>
                      <w:color w:val="auto"/>
                      <w:spacing w:val="-10"/>
                      <w:kern w:val="0"/>
                      <w:szCs w:val="21"/>
                      <w:highlight w:val="none"/>
                    </w:rPr>
                  </w:pPr>
                  <w:r>
                    <w:rPr>
                      <w:b/>
                      <w:color w:val="auto"/>
                      <w:kern w:val="0"/>
                      <w:szCs w:val="21"/>
                      <w:highlight w:val="none"/>
                    </w:rPr>
                    <w:t>风险物质名称</w:t>
                  </w:r>
                </w:p>
              </w:tc>
              <w:tc>
                <w:tcPr>
                  <w:tcW w:w="1340" w:type="pct"/>
                  <w:tcBorders>
                    <w:top w:val="single" w:color="auto" w:sz="12" w:space="0"/>
                    <w:left w:val="nil"/>
                    <w:bottom w:val="single" w:color="auto" w:sz="6" w:space="0"/>
                    <w:right w:val="single" w:color="auto" w:sz="6" w:space="0"/>
                  </w:tcBorders>
                  <w:noWrap w:val="0"/>
                  <w:vAlign w:val="center"/>
                </w:tcPr>
                <w:p w14:paraId="62F57682">
                  <w:pPr>
                    <w:jc w:val="center"/>
                    <w:rPr>
                      <w:b/>
                      <w:color w:val="auto"/>
                      <w:kern w:val="0"/>
                      <w:szCs w:val="21"/>
                      <w:highlight w:val="none"/>
                    </w:rPr>
                  </w:pPr>
                  <w:r>
                    <w:rPr>
                      <w:b/>
                      <w:color w:val="auto"/>
                      <w:kern w:val="0"/>
                      <w:szCs w:val="21"/>
                      <w:highlight w:val="none"/>
                    </w:rPr>
                    <w:t>最大存储总量</w:t>
                  </w:r>
                  <w:r>
                    <w:rPr>
                      <w:b/>
                      <w:i/>
                      <w:color w:val="auto"/>
                      <w:kern w:val="0"/>
                      <w:szCs w:val="21"/>
                      <w:highlight w:val="none"/>
                    </w:rPr>
                    <w:t>qn</w:t>
                  </w:r>
                  <w:r>
                    <w:rPr>
                      <w:b/>
                      <w:color w:val="auto"/>
                      <w:kern w:val="0"/>
                      <w:szCs w:val="21"/>
                      <w:highlight w:val="none"/>
                    </w:rPr>
                    <w:t>/t</w:t>
                  </w:r>
                </w:p>
              </w:tc>
              <w:tc>
                <w:tcPr>
                  <w:tcW w:w="1003" w:type="pct"/>
                  <w:tcBorders>
                    <w:top w:val="single" w:color="auto" w:sz="12" w:space="0"/>
                    <w:left w:val="nil"/>
                    <w:bottom w:val="single" w:color="auto" w:sz="6" w:space="0"/>
                    <w:right w:val="single" w:color="auto" w:sz="6" w:space="0"/>
                  </w:tcBorders>
                  <w:noWrap w:val="0"/>
                  <w:vAlign w:val="center"/>
                </w:tcPr>
                <w:p w14:paraId="3AABA7FF">
                  <w:pPr>
                    <w:jc w:val="center"/>
                    <w:rPr>
                      <w:b/>
                      <w:color w:val="auto"/>
                      <w:kern w:val="0"/>
                      <w:szCs w:val="21"/>
                      <w:highlight w:val="none"/>
                    </w:rPr>
                  </w:pPr>
                  <w:r>
                    <w:rPr>
                      <w:b/>
                      <w:color w:val="auto"/>
                      <w:kern w:val="0"/>
                      <w:szCs w:val="21"/>
                      <w:highlight w:val="none"/>
                    </w:rPr>
                    <w:t>临界量</w:t>
                  </w:r>
                  <w:r>
                    <w:rPr>
                      <w:b/>
                      <w:i/>
                      <w:color w:val="auto"/>
                      <w:kern w:val="0"/>
                      <w:szCs w:val="21"/>
                      <w:highlight w:val="none"/>
                    </w:rPr>
                    <w:t>Qn</w:t>
                  </w:r>
                  <w:r>
                    <w:rPr>
                      <w:b/>
                      <w:color w:val="auto"/>
                      <w:kern w:val="0"/>
                      <w:szCs w:val="21"/>
                      <w:highlight w:val="none"/>
                    </w:rPr>
                    <w:t>/t</w:t>
                  </w:r>
                </w:p>
              </w:tc>
              <w:tc>
                <w:tcPr>
                  <w:tcW w:w="1273" w:type="pct"/>
                  <w:tcBorders>
                    <w:top w:val="single" w:color="auto" w:sz="12" w:space="0"/>
                    <w:left w:val="nil"/>
                    <w:bottom w:val="single" w:color="auto" w:sz="6" w:space="0"/>
                    <w:right w:val="nil"/>
                  </w:tcBorders>
                  <w:noWrap w:val="0"/>
                  <w:vAlign w:val="center"/>
                </w:tcPr>
                <w:p w14:paraId="41C51A78">
                  <w:pPr>
                    <w:jc w:val="center"/>
                    <w:rPr>
                      <w:b/>
                      <w:color w:val="auto"/>
                      <w:kern w:val="0"/>
                      <w:szCs w:val="21"/>
                      <w:highlight w:val="none"/>
                    </w:rPr>
                  </w:pPr>
                  <w:r>
                    <w:rPr>
                      <w:b/>
                      <w:color w:val="auto"/>
                      <w:kern w:val="0"/>
                      <w:szCs w:val="21"/>
                      <w:highlight w:val="none"/>
                    </w:rPr>
                    <w:t>该种危险物质</w:t>
                  </w:r>
                  <w:r>
                    <w:rPr>
                      <w:b/>
                      <w:i/>
                      <w:color w:val="auto"/>
                      <w:kern w:val="0"/>
                      <w:szCs w:val="21"/>
                      <w:highlight w:val="none"/>
                    </w:rPr>
                    <w:t>Q</w:t>
                  </w:r>
                  <w:r>
                    <w:rPr>
                      <w:b/>
                      <w:color w:val="auto"/>
                      <w:kern w:val="0"/>
                      <w:szCs w:val="21"/>
                      <w:highlight w:val="none"/>
                    </w:rPr>
                    <w:t>值</w:t>
                  </w:r>
                </w:p>
              </w:tc>
            </w:tr>
            <w:tr w14:paraId="3A0B65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2" w:hRule="atLeast"/>
                <w:jc w:val="center"/>
              </w:trPr>
              <w:tc>
                <w:tcPr>
                  <w:tcW w:w="1383" w:type="pct"/>
                  <w:tcBorders>
                    <w:top w:val="single" w:color="auto" w:sz="6" w:space="0"/>
                    <w:left w:val="nil"/>
                    <w:bottom w:val="single" w:color="auto" w:sz="6" w:space="0"/>
                    <w:right w:val="single" w:color="auto" w:sz="6" w:space="0"/>
                  </w:tcBorders>
                  <w:noWrap w:val="0"/>
                  <w:vAlign w:val="center"/>
                </w:tcPr>
                <w:p w14:paraId="56E35E0B">
                  <w:pPr>
                    <w:jc w:val="center"/>
                    <w:rPr>
                      <w:rFonts w:hint="eastAsia" w:eastAsia="宋体"/>
                      <w:color w:val="auto"/>
                      <w:kern w:val="0"/>
                      <w:szCs w:val="21"/>
                      <w:highlight w:val="none"/>
                      <w:lang w:eastAsia="zh-CN"/>
                    </w:rPr>
                  </w:pPr>
                  <w:r>
                    <w:rPr>
                      <w:rFonts w:hint="eastAsia"/>
                      <w:color w:val="auto"/>
                      <w:kern w:val="0"/>
                      <w:szCs w:val="21"/>
                      <w:highlight w:val="none"/>
                      <w:lang w:val="en-US" w:eastAsia="zh-CN"/>
                    </w:rPr>
                    <w:t>机油</w:t>
                  </w:r>
                </w:p>
              </w:tc>
              <w:tc>
                <w:tcPr>
                  <w:tcW w:w="1340" w:type="pct"/>
                  <w:tcBorders>
                    <w:top w:val="single" w:color="auto" w:sz="6" w:space="0"/>
                    <w:left w:val="nil"/>
                    <w:bottom w:val="single" w:color="auto" w:sz="6" w:space="0"/>
                    <w:right w:val="single" w:color="auto" w:sz="6" w:space="0"/>
                  </w:tcBorders>
                  <w:noWrap w:val="0"/>
                  <w:vAlign w:val="center"/>
                </w:tcPr>
                <w:p w14:paraId="206780B4">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500mL（约0.45kg）</w:t>
                  </w:r>
                </w:p>
              </w:tc>
              <w:tc>
                <w:tcPr>
                  <w:tcW w:w="1003" w:type="pct"/>
                  <w:tcBorders>
                    <w:top w:val="single" w:color="auto" w:sz="6" w:space="0"/>
                    <w:left w:val="nil"/>
                    <w:bottom w:val="single" w:color="auto" w:sz="6" w:space="0"/>
                    <w:right w:val="single" w:color="auto" w:sz="6" w:space="0"/>
                  </w:tcBorders>
                  <w:noWrap w:val="0"/>
                  <w:vAlign w:val="center"/>
                </w:tcPr>
                <w:p w14:paraId="0E3FDF0D">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2500</w:t>
                  </w:r>
                </w:p>
              </w:tc>
              <w:tc>
                <w:tcPr>
                  <w:tcW w:w="1273" w:type="pct"/>
                  <w:tcBorders>
                    <w:top w:val="single" w:color="auto" w:sz="6" w:space="0"/>
                    <w:left w:val="nil"/>
                    <w:bottom w:val="single" w:color="auto" w:sz="6" w:space="0"/>
                    <w:right w:val="nil"/>
                  </w:tcBorders>
                  <w:noWrap w:val="0"/>
                  <w:vAlign w:val="center"/>
                </w:tcPr>
                <w:p w14:paraId="18EB8164">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0.00018</w:t>
                  </w:r>
                </w:p>
              </w:tc>
            </w:tr>
            <w:tr w14:paraId="623EAC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3726" w:type="pct"/>
                  <w:gridSpan w:val="3"/>
                  <w:tcBorders>
                    <w:top w:val="single" w:color="auto" w:sz="6" w:space="0"/>
                    <w:left w:val="nil"/>
                    <w:bottom w:val="single" w:color="auto" w:sz="12" w:space="0"/>
                    <w:right w:val="single" w:color="auto" w:sz="6" w:space="0"/>
                  </w:tcBorders>
                  <w:noWrap w:val="0"/>
                  <w:vAlign w:val="center"/>
                </w:tcPr>
                <w:p w14:paraId="1C030314">
                  <w:pPr>
                    <w:jc w:val="center"/>
                    <w:rPr>
                      <w:color w:val="auto"/>
                      <w:kern w:val="0"/>
                      <w:szCs w:val="21"/>
                      <w:highlight w:val="none"/>
                    </w:rPr>
                  </w:pPr>
                  <w:r>
                    <w:rPr>
                      <w:color w:val="auto"/>
                      <w:kern w:val="0"/>
                      <w:szCs w:val="21"/>
                      <w:highlight w:val="none"/>
                    </w:rPr>
                    <w:t>总计</w:t>
                  </w:r>
                </w:p>
              </w:tc>
              <w:tc>
                <w:tcPr>
                  <w:tcW w:w="1273" w:type="pct"/>
                  <w:tcBorders>
                    <w:top w:val="single" w:color="auto" w:sz="6" w:space="0"/>
                    <w:left w:val="nil"/>
                    <w:bottom w:val="single" w:color="auto" w:sz="12" w:space="0"/>
                    <w:right w:val="nil"/>
                  </w:tcBorders>
                  <w:noWrap w:val="0"/>
                  <w:vAlign w:val="center"/>
                </w:tcPr>
                <w:p w14:paraId="7DFAACDA">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0.00018</w:t>
                  </w:r>
                </w:p>
              </w:tc>
            </w:tr>
          </w:tbl>
          <w:p w14:paraId="3A8C9EBB">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综上，本项目Q＜1，根据《建设项目环境风险评价技术导则》（HJ169-2018），本项目环境风险潜势为I。</w:t>
            </w:r>
          </w:p>
          <w:p w14:paraId="1FFC23C0">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本次评价主要针对项目所含危险物质、环境影响途径、环境危害后果及风险防范措施等方面给出定性说明。</w:t>
            </w:r>
          </w:p>
          <w:p w14:paraId="6041FC08">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3、环境风险识别</w:t>
            </w:r>
          </w:p>
          <w:p w14:paraId="34A76082">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（1）土壤、地下水污染</w:t>
            </w:r>
          </w:p>
          <w:p w14:paraId="386B4207">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本项目乳蜡、机油在储存过程中若操作不当发生泄漏，将导致土壤及地下水污染。</w:t>
            </w:r>
          </w:p>
          <w:p w14:paraId="28CF5FA8">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（2）火灾</w:t>
            </w:r>
          </w:p>
          <w:p w14:paraId="465CE7F3">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本项目机油若发生泄漏遇明火，易发生火灾，灭火过程中产生的CO、烟尘等次生污染物将对周边环境产生影响。</w:t>
            </w:r>
          </w:p>
          <w:p w14:paraId="472BE5D9">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（3）废气处理设施故障</w:t>
            </w:r>
          </w:p>
          <w:p w14:paraId="240BC4F6">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本项目运营期间会产生上料粉尘、有机废气，若废气处理设施发生故障，将导致颗粒物、非甲烷总烃直接排放，将对周边大气环境造成严重污染，从而对周边居民区产生影响。</w:t>
            </w:r>
          </w:p>
          <w:p w14:paraId="2BD445F0">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4、环境风险防范、减缓及应急措施</w:t>
            </w:r>
          </w:p>
          <w:p w14:paraId="3460FD5C">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A.土壤、地下水污染防治措施</w:t>
            </w:r>
          </w:p>
          <w:p w14:paraId="23991BAC">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针对项目可能发生的地下水、土壤污染，地下水、土壤污染防治措施按照“源头控制、分区防治、应急响应”相结合的原则，从污染物的产生、入渗、扩散、应急响应全方位进行控制。</w:t>
            </w:r>
          </w:p>
          <w:p w14:paraId="00C14893">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分区防渗控制措施：</w:t>
            </w:r>
          </w:p>
          <w:p w14:paraId="4B19C132">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①重点防渗区：危废贮存库地面采用混凝土硬化，地面与裙角采用防渗涂料进行防渗处理。危险废物分区堆放，并设置托盘。</w:t>
            </w:r>
          </w:p>
          <w:p w14:paraId="0597D872">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②一般防渗区：生产厂房等采取地面硬化处理。</w:t>
            </w:r>
          </w:p>
          <w:p w14:paraId="13B9937F">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因此，本项目采取上述污染防护措施后，将不会对地下水、土壤环境造成污染</w:t>
            </w:r>
            <w:r>
              <w:rPr>
                <w:rFonts w:hint="eastAsia"/>
                <w:color w:val="auto"/>
                <w:sz w:val="24"/>
                <w:szCs w:val="22"/>
                <w:highlight w:val="none"/>
                <w:lang w:val="en-US" w:eastAsia="zh-CN"/>
              </w:rPr>
              <w:t>。</w:t>
            </w:r>
          </w:p>
          <w:p w14:paraId="1AE9198A">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B.火灾、爆炸风险防范措施</w:t>
            </w:r>
          </w:p>
          <w:p w14:paraId="62248889">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针对机油泄漏可能引发的火灾爆炸风险，应在原辅料暂存区内增设灭火装置，如灭火器、防泄漏沙袋、灭火沙等应急物资，以确保在发生火灾后能够及时灭火。</w:t>
            </w:r>
          </w:p>
          <w:p w14:paraId="4091E72C">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C.废气处理设施故障防范措施</w:t>
            </w:r>
          </w:p>
          <w:p w14:paraId="0126C008">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①设置合理的巡查制度及废气处理设施运行规程，做好台账记录；</w:t>
            </w:r>
          </w:p>
          <w:p w14:paraId="2062C0E1">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②若巡查时发现废气处理设施运行不良（压差异常、异响、皮带松动等），应及时上报进行维修；</w:t>
            </w:r>
          </w:p>
          <w:p w14:paraId="2F3B616A">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③加强员工安全环保意识，规范操作流程，确保废气处理设施先于生产设备开启，后于生产设备关停。</w:t>
            </w:r>
          </w:p>
          <w:p w14:paraId="7CCF507E">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4、建立企业环境安全管理制度</w:t>
            </w:r>
          </w:p>
          <w:p w14:paraId="63C79B50">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（1）建立环境污染事故预防与应急体系及报告机制，制定突发环境污染事件应急预案并配备应急设备。</w:t>
            </w:r>
          </w:p>
          <w:p w14:paraId="2BAA29C1">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（2）根据国家、行业及主管部门的法规和规定，制定相应的环境安全管理办法和实施细则，并应悬挂公示。</w:t>
            </w:r>
          </w:p>
          <w:p w14:paraId="328D3E2B">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（3）设专职或兼职环保员，负责企业的环保工作。</w:t>
            </w:r>
          </w:p>
          <w:p w14:paraId="74B1BD29">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（4）制定环保教育培训和定期进行环境安全检查制度，加强设备、管道、阀门等密封检查与维护，及时排除环境安全隐患，防止跑、冒、滴、漏。</w:t>
            </w:r>
          </w:p>
          <w:p w14:paraId="1499DE91">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（5）加强安全生产教育，包括厂级、车间、班组三级安全教育、特殊工种安全教育、日常安全教育、装置开工前安全教育和外来人员安全教育等内容。</w:t>
            </w:r>
          </w:p>
          <w:p w14:paraId="614A0A8F">
            <w:pPr>
              <w:pStyle w:val="23"/>
              <w:ind w:firstLine="480"/>
              <w:rPr>
                <w:rFonts w:hint="eastAsia"/>
                <w:color w:val="auto"/>
                <w:sz w:val="24"/>
                <w:szCs w:val="22"/>
                <w:highlight w:val="none"/>
                <w:lang w:val="en-US" w:eastAsia="zh-CN"/>
              </w:rPr>
            </w:pPr>
            <w:r>
              <w:rPr>
                <w:rFonts w:hint="eastAsia"/>
                <w:color w:val="auto"/>
                <w:sz w:val="24"/>
                <w:szCs w:val="22"/>
                <w:highlight w:val="none"/>
                <w:lang w:val="en-US" w:eastAsia="zh-CN"/>
              </w:rPr>
              <w:t>（6）对于环保管理人员和有关操作人员建立“先培训、后上岗”“定期培训安全和环保法规、知识以及突发性事故应急处理技术”的制度。应急机构定期对机构内成员单位的有关人员进行应急技术培训和考核，并每年进行一次模拟演习，以提高应急队伍的实战能力，并积累经验。</w:t>
            </w:r>
          </w:p>
          <w:p w14:paraId="53699C32">
            <w:pPr>
              <w:pStyle w:val="23"/>
              <w:ind w:firstLine="482"/>
              <w:rPr>
                <w:b/>
                <w:bCs/>
                <w:color w:val="auto"/>
                <w:sz w:val="24"/>
                <w:highlight w:val="none"/>
                <w:lang w:bidi="ar"/>
              </w:rPr>
            </w:pPr>
            <w:r>
              <w:rPr>
                <w:rFonts w:hint="eastAsia"/>
                <w:b/>
                <w:bCs/>
                <w:color w:val="auto"/>
                <w:sz w:val="24"/>
                <w:highlight w:val="none"/>
                <w:lang w:val="en-US" w:eastAsia="zh-CN" w:bidi="ar"/>
              </w:rPr>
              <w:t>七</w:t>
            </w:r>
            <w:r>
              <w:rPr>
                <w:b/>
                <w:bCs/>
                <w:color w:val="auto"/>
                <w:sz w:val="24"/>
                <w:highlight w:val="none"/>
                <w:lang w:bidi="ar"/>
              </w:rPr>
              <w:t>、</w:t>
            </w:r>
            <w:r>
              <w:rPr>
                <w:rFonts w:hint="eastAsia"/>
                <w:b/>
                <w:bCs/>
                <w:color w:val="auto"/>
                <w:sz w:val="24"/>
                <w:highlight w:val="none"/>
                <w:lang w:bidi="ar"/>
              </w:rPr>
              <w:t>环保投资</w:t>
            </w:r>
          </w:p>
          <w:p w14:paraId="1CDEEBDB">
            <w:pPr>
              <w:spacing w:line="360" w:lineRule="auto"/>
              <w:ind w:firstLine="440" w:firstLineChars="200"/>
              <w:rPr>
                <w:color w:val="auto"/>
                <w:kern w:val="0"/>
                <w:sz w:val="24"/>
                <w:highlight w:val="none"/>
                <w:lang w:bidi="ar"/>
              </w:rPr>
            </w:pPr>
            <w:r>
              <w:rPr>
                <w:bCs/>
                <w:color w:val="auto"/>
                <w:spacing w:val="-10"/>
                <w:sz w:val="24"/>
                <w:highlight w:val="none"/>
              </w:rPr>
              <w:t>本项目</w:t>
            </w:r>
            <w:r>
              <w:rPr>
                <w:color w:val="auto"/>
                <w:kern w:val="0"/>
                <w:sz w:val="24"/>
                <w:highlight w:val="none"/>
                <w:lang w:bidi="ar"/>
              </w:rPr>
              <w:t>总投资</w:t>
            </w:r>
            <w:r>
              <w:rPr>
                <w:rFonts w:hint="eastAsia"/>
                <w:color w:val="auto"/>
                <w:kern w:val="0"/>
                <w:sz w:val="24"/>
                <w:highlight w:val="none"/>
                <w:lang w:val="en-US" w:eastAsia="zh-CN" w:bidi="ar"/>
              </w:rPr>
              <w:t>270</w:t>
            </w:r>
            <w:r>
              <w:rPr>
                <w:color w:val="auto"/>
                <w:kern w:val="0"/>
                <w:sz w:val="24"/>
                <w:highlight w:val="none"/>
                <w:lang w:bidi="ar"/>
              </w:rPr>
              <w:t>万元，其中环保</w:t>
            </w:r>
            <w:r>
              <w:rPr>
                <w:color w:val="auto"/>
                <w:sz w:val="24"/>
                <w:highlight w:val="none"/>
              </w:rPr>
              <w:t>投资概算</w:t>
            </w:r>
            <w:r>
              <w:rPr>
                <w:rFonts w:hint="eastAsia"/>
                <w:color w:val="auto"/>
                <w:kern w:val="0"/>
                <w:sz w:val="24"/>
                <w:highlight w:val="none"/>
                <w:lang w:val="en-US" w:eastAsia="zh-CN" w:bidi="ar"/>
              </w:rPr>
              <w:t>19.3</w:t>
            </w:r>
            <w:r>
              <w:rPr>
                <w:color w:val="auto"/>
                <w:kern w:val="0"/>
                <w:sz w:val="24"/>
                <w:highlight w:val="none"/>
                <w:lang w:bidi="ar"/>
              </w:rPr>
              <w:t>万元</w:t>
            </w:r>
            <w:r>
              <w:rPr>
                <w:color w:val="auto"/>
                <w:kern w:val="0"/>
                <w:sz w:val="24"/>
                <w:highlight w:val="none"/>
                <w:lang w:bidi="ar"/>
              </w:rPr>
              <w:t>，占总投资的</w:t>
            </w:r>
            <w:r>
              <w:rPr>
                <w:rFonts w:hint="eastAsia"/>
                <w:color w:val="auto"/>
                <w:kern w:val="0"/>
                <w:sz w:val="24"/>
                <w:highlight w:val="none"/>
                <w:lang w:val="en-US" w:eastAsia="zh-CN" w:bidi="ar"/>
              </w:rPr>
              <w:t>7.15</w:t>
            </w:r>
            <w:r>
              <w:rPr>
                <w:color w:val="auto"/>
                <w:kern w:val="0"/>
                <w:sz w:val="24"/>
                <w:highlight w:val="none"/>
                <w:lang w:bidi="ar"/>
              </w:rPr>
              <w:t>%</w:t>
            </w:r>
            <w:r>
              <w:rPr>
                <w:rFonts w:hint="eastAsia"/>
                <w:color w:val="auto"/>
                <w:kern w:val="0"/>
                <w:sz w:val="24"/>
                <w:highlight w:val="none"/>
                <w:lang w:eastAsia="zh-CN" w:bidi="ar"/>
              </w:rPr>
              <w:t>。</w:t>
            </w:r>
            <w:r>
              <w:rPr>
                <w:color w:val="auto"/>
                <w:kern w:val="0"/>
                <w:sz w:val="24"/>
                <w:highlight w:val="none"/>
                <w:lang w:bidi="ar"/>
              </w:rPr>
              <w:t>项目运营期环保</w:t>
            </w:r>
            <w:r>
              <w:rPr>
                <w:color w:val="auto"/>
                <w:sz w:val="24"/>
                <w:highlight w:val="none"/>
              </w:rPr>
              <w:t>投资概算</w:t>
            </w:r>
            <w:r>
              <w:rPr>
                <w:color w:val="auto"/>
                <w:kern w:val="0"/>
                <w:sz w:val="24"/>
                <w:highlight w:val="none"/>
                <w:lang w:bidi="ar"/>
              </w:rPr>
              <w:t>情况详见表</w:t>
            </w:r>
            <w:r>
              <w:rPr>
                <w:rFonts w:hint="eastAsia"/>
                <w:color w:val="auto"/>
                <w:kern w:val="0"/>
                <w:sz w:val="24"/>
                <w:highlight w:val="none"/>
                <w:lang w:val="en-US" w:eastAsia="zh-CN" w:bidi="ar"/>
              </w:rPr>
              <w:t>4-19</w:t>
            </w:r>
            <w:r>
              <w:rPr>
                <w:color w:val="auto"/>
                <w:kern w:val="0"/>
                <w:sz w:val="24"/>
                <w:highlight w:val="none"/>
                <w:lang w:bidi="ar"/>
              </w:rPr>
              <w:t>。</w:t>
            </w:r>
          </w:p>
          <w:p w14:paraId="187FED9A">
            <w:pPr>
              <w:jc w:val="center"/>
              <w:rPr>
                <w:b/>
                <w:color w:val="auto"/>
                <w:spacing w:val="-10"/>
                <w:sz w:val="32"/>
                <w:szCs w:val="32"/>
                <w:highlight w:val="none"/>
              </w:rPr>
            </w:pPr>
            <w:r>
              <w:rPr>
                <w:b/>
                <w:color w:val="auto"/>
                <w:spacing w:val="-10"/>
                <w:sz w:val="24"/>
                <w:highlight w:val="none"/>
              </w:rPr>
              <w:t>表4-</w:t>
            </w:r>
            <w:r>
              <w:rPr>
                <w:rFonts w:hint="eastAsia"/>
                <w:b/>
                <w:color w:val="auto"/>
                <w:spacing w:val="-10"/>
                <w:sz w:val="24"/>
                <w:highlight w:val="none"/>
              </w:rPr>
              <w:t>1</w:t>
            </w:r>
            <w:r>
              <w:rPr>
                <w:rFonts w:hint="eastAsia"/>
                <w:b/>
                <w:color w:val="auto"/>
                <w:spacing w:val="-10"/>
                <w:sz w:val="24"/>
                <w:highlight w:val="none"/>
                <w:lang w:val="en-US" w:eastAsia="zh-CN"/>
              </w:rPr>
              <w:t>9</w:t>
            </w:r>
            <w:r>
              <w:rPr>
                <w:b/>
                <w:color w:val="auto"/>
                <w:spacing w:val="-10"/>
                <w:sz w:val="24"/>
                <w:highlight w:val="none"/>
              </w:rPr>
              <w:t xml:space="preserve"> </w:t>
            </w:r>
            <w:r>
              <w:rPr>
                <w:rFonts w:hint="eastAsia"/>
                <w:b/>
                <w:color w:val="auto"/>
                <w:spacing w:val="-10"/>
                <w:sz w:val="24"/>
                <w:highlight w:val="none"/>
                <w:lang w:val="en-US" w:eastAsia="zh-CN"/>
              </w:rPr>
              <w:t xml:space="preserve"> </w:t>
            </w:r>
            <w:r>
              <w:rPr>
                <w:b/>
                <w:color w:val="auto"/>
                <w:spacing w:val="-10"/>
                <w:sz w:val="24"/>
                <w:highlight w:val="none"/>
              </w:rPr>
              <w:t>环保投资一览表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586"/>
              <w:gridCol w:w="3341"/>
              <w:gridCol w:w="932"/>
              <w:gridCol w:w="1649"/>
            </w:tblGrid>
            <w:tr w14:paraId="597D8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noWrap w:val="0"/>
                  <w:vAlign w:val="center"/>
                </w:tcPr>
                <w:p w14:paraId="25FA4E88">
                  <w:pPr>
                    <w:jc w:val="center"/>
                    <w:rPr>
                      <w:b/>
                      <w:bCs/>
                      <w:color w:val="auto"/>
                      <w:highlight w:val="none"/>
                    </w:rPr>
                  </w:pPr>
                  <w:r>
                    <w:rPr>
                      <w:b/>
                      <w:bCs/>
                      <w:color w:val="auto"/>
                      <w:highlight w:val="none"/>
                    </w:rPr>
                    <w:t>类型</w:t>
                  </w:r>
                </w:p>
              </w:tc>
              <w:tc>
                <w:tcPr>
                  <w:tcW w:w="902" w:type="pct"/>
                  <w:shd w:val="clear" w:color="auto" w:fill="auto"/>
                  <w:noWrap w:val="0"/>
                  <w:vAlign w:val="center"/>
                </w:tcPr>
                <w:p w14:paraId="08EE40FB">
                  <w:pPr>
                    <w:jc w:val="center"/>
                    <w:rPr>
                      <w:b/>
                      <w:bCs/>
                      <w:color w:val="auto"/>
                      <w:highlight w:val="none"/>
                    </w:rPr>
                  </w:pPr>
                  <w:r>
                    <w:rPr>
                      <w:b/>
                      <w:bCs/>
                      <w:color w:val="auto"/>
                      <w:highlight w:val="none"/>
                    </w:rPr>
                    <w:t>污染源</w:t>
                  </w:r>
                </w:p>
              </w:tc>
              <w:tc>
                <w:tcPr>
                  <w:tcW w:w="1900" w:type="pct"/>
                  <w:shd w:val="clear" w:color="auto" w:fill="auto"/>
                  <w:noWrap w:val="0"/>
                  <w:vAlign w:val="center"/>
                </w:tcPr>
                <w:p w14:paraId="53A04AF9">
                  <w:pPr>
                    <w:jc w:val="center"/>
                    <w:rPr>
                      <w:b/>
                      <w:bCs/>
                      <w:color w:val="auto"/>
                      <w:highlight w:val="none"/>
                    </w:rPr>
                  </w:pPr>
                  <w:r>
                    <w:rPr>
                      <w:b/>
                      <w:bCs/>
                      <w:color w:val="auto"/>
                      <w:highlight w:val="none"/>
                    </w:rPr>
                    <w:t>环保设施或措施</w:t>
                  </w:r>
                </w:p>
              </w:tc>
              <w:tc>
                <w:tcPr>
                  <w:tcW w:w="530" w:type="pct"/>
                  <w:shd w:val="clear" w:color="auto" w:fill="auto"/>
                  <w:noWrap w:val="0"/>
                  <w:vAlign w:val="center"/>
                </w:tcPr>
                <w:p w14:paraId="1F9D1BED">
                  <w:pPr>
                    <w:jc w:val="center"/>
                    <w:rPr>
                      <w:b/>
                      <w:bCs/>
                      <w:color w:val="auto"/>
                      <w:highlight w:val="none"/>
                    </w:rPr>
                  </w:pPr>
                  <w:r>
                    <w:rPr>
                      <w:b/>
                      <w:bCs/>
                      <w:color w:val="auto"/>
                      <w:highlight w:val="none"/>
                    </w:rPr>
                    <w:t>数量</w:t>
                  </w:r>
                </w:p>
              </w:tc>
              <w:tc>
                <w:tcPr>
                  <w:tcW w:w="938" w:type="pct"/>
                  <w:shd w:val="clear" w:color="auto" w:fill="auto"/>
                  <w:noWrap w:val="0"/>
                  <w:vAlign w:val="center"/>
                </w:tcPr>
                <w:p w14:paraId="28FF0F15">
                  <w:pPr>
                    <w:jc w:val="center"/>
                    <w:rPr>
                      <w:b/>
                      <w:bCs/>
                      <w:color w:val="auto"/>
                      <w:highlight w:val="none"/>
                    </w:rPr>
                  </w:pPr>
                  <w:r>
                    <w:rPr>
                      <w:b/>
                      <w:bCs/>
                      <w:color w:val="auto"/>
                      <w:highlight w:val="none"/>
                    </w:rPr>
                    <w:t>环保投资/万元</w:t>
                  </w:r>
                </w:p>
              </w:tc>
            </w:tr>
            <w:tr w14:paraId="249F6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Merge w:val="restart"/>
                  <w:shd w:val="clear" w:color="auto" w:fill="auto"/>
                  <w:noWrap w:val="0"/>
                  <w:vAlign w:val="center"/>
                </w:tcPr>
                <w:p w14:paraId="20675D50">
                  <w:pPr>
                    <w:jc w:val="center"/>
                    <w:rPr>
                      <w:color w:val="auto"/>
                      <w:highlight w:val="none"/>
                    </w:rPr>
                  </w:pPr>
                  <w:r>
                    <w:rPr>
                      <w:color w:val="auto"/>
                      <w:highlight w:val="none"/>
                    </w:rPr>
                    <w:t>废气</w:t>
                  </w:r>
                </w:p>
              </w:tc>
              <w:tc>
                <w:tcPr>
                  <w:tcW w:w="902" w:type="pct"/>
                  <w:shd w:val="clear" w:color="auto" w:fill="auto"/>
                  <w:noWrap w:val="0"/>
                  <w:vAlign w:val="center"/>
                </w:tcPr>
                <w:p w14:paraId="06508FD4">
                  <w:pPr>
                    <w:jc w:val="center"/>
                    <w:rPr>
                      <w:rFonts w:hint="default" w:eastAsia="宋体"/>
                      <w:color w:val="auto"/>
                      <w:highlight w:val="none"/>
                      <w:lang w:val="en-US" w:eastAsia="zh-CN"/>
                    </w:rPr>
                  </w:pPr>
                  <w:r>
                    <w:rPr>
                      <w:rFonts w:hint="eastAsia"/>
                      <w:color w:val="auto"/>
                      <w:highlight w:val="none"/>
                      <w:lang w:val="en-US" w:eastAsia="zh-CN"/>
                    </w:rPr>
                    <w:t>上料粉尘</w:t>
                  </w:r>
                </w:p>
              </w:tc>
              <w:tc>
                <w:tcPr>
                  <w:tcW w:w="1900" w:type="pct"/>
                  <w:shd w:val="clear" w:color="auto" w:fill="auto"/>
                  <w:noWrap w:val="0"/>
                  <w:vAlign w:val="center"/>
                </w:tcPr>
                <w:p w14:paraId="09F0286E">
                  <w:pPr>
                    <w:jc w:val="center"/>
                    <w:rPr>
                      <w:rFonts w:hint="default"/>
                      <w:color w:val="auto"/>
                      <w:highlight w:val="none"/>
                      <w:lang w:val="en-US"/>
                    </w:rPr>
                  </w:pPr>
                  <w:r>
                    <w:rPr>
                      <w:rFonts w:hint="default"/>
                      <w:color w:val="auto"/>
                      <w:highlight w:val="none"/>
                      <w:lang w:val="en-US"/>
                    </w:rPr>
                    <w:t>脉冲净化器</w:t>
                  </w:r>
                </w:p>
              </w:tc>
              <w:tc>
                <w:tcPr>
                  <w:tcW w:w="530" w:type="pct"/>
                  <w:shd w:val="clear" w:color="auto" w:fill="auto"/>
                  <w:noWrap w:val="0"/>
                  <w:vAlign w:val="center"/>
                </w:tcPr>
                <w:p w14:paraId="4F82A021">
                  <w:pPr>
                    <w:jc w:val="center"/>
                    <w:rPr>
                      <w:color w:val="auto"/>
                      <w:highlight w:val="none"/>
                    </w:rPr>
                  </w:pPr>
                  <w:r>
                    <w:rPr>
                      <w:color w:val="auto"/>
                      <w:highlight w:val="none"/>
                    </w:rPr>
                    <w:t>1套</w:t>
                  </w:r>
                </w:p>
              </w:tc>
              <w:tc>
                <w:tcPr>
                  <w:tcW w:w="938" w:type="pct"/>
                  <w:shd w:val="clear" w:color="auto" w:fill="auto"/>
                  <w:noWrap w:val="0"/>
                  <w:vAlign w:val="center"/>
                </w:tcPr>
                <w:p w14:paraId="2B66E243">
                  <w:pPr>
                    <w:jc w:val="center"/>
                    <w:rPr>
                      <w:rFonts w:hint="default" w:eastAsia="宋体"/>
                      <w:color w:val="auto"/>
                      <w:highlight w:val="none"/>
                      <w:lang w:val="en-US" w:eastAsia="zh-CN"/>
                    </w:rPr>
                  </w:pPr>
                  <w:r>
                    <w:rPr>
                      <w:rFonts w:hint="eastAsia"/>
                      <w:color w:val="auto"/>
                      <w:highlight w:val="none"/>
                      <w:lang w:val="en-US" w:eastAsia="zh-CN"/>
                    </w:rPr>
                    <w:t>2.5</w:t>
                  </w:r>
                </w:p>
              </w:tc>
            </w:tr>
            <w:tr w14:paraId="352E9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Merge w:val="continue"/>
                  <w:shd w:val="clear" w:color="auto" w:fill="auto"/>
                  <w:noWrap w:val="0"/>
                  <w:vAlign w:val="center"/>
                </w:tcPr>
                <w:p w14:paraId="5F70FE08">
                  <w:pPr>
                    <w:jc w:val="center"/>
                    <w:rPr>
                      <w:color w:val="auto"/>
                      <w:highlight w:val="none"/>
                    </w:rPr>
                  </w:pPr>
                </w:p>
              </w:tc>
              <w:tc>
                <w:tcPr>
                  <w:tcW w:w="902" w:type="pct"/>
                  <w:shd w:val="clear" w:color="auto" w:fill="auto"/>
                  <w:noWrap w:val="0"/>
                  <w:vAlign w:val="center"/>
                </w:tcPr>
                <w:p w14:paraId="1574D2EE">
                  <w:pPr>
                    <w:jc w:val="center"/>
                    <w:rPr>
                      <w:rFonts w:hint="default" w:eastAsia="宋体"/>
                      <w:color w:val="auto"/>
                      <w:highlight w:val="none"/>
                      <w:lang w:val="en-US" w:eastAsia="zh-CN"/>
                    </w:rPr>
                  </w:pPr>
                  <w:r>
                    <w:rPr>
                      <w:rFonts w:hint="eastAsia"/>
                      <w:color w:val="auto"/>
                      <w:highlight w:val="none"/>
                      <w:lang w:val="en-US" w:eastAsia="zh-CN"/>
                    </w:rPr>
                    <w:t>有机废气</w:t>
                  </w:r>
                </w:p>
              </w:tc>
              <w:tc>
                <w:tcPr>
                  <w:tcW w:w="1900" w:type="pct"/>
                  <w:shd w:val="clear" w:color="auto" w:fill="auto"/>
                  <w:noWrap w:val="0"/>
                  <w:vAlign w:val="center"/>
                </w:tcPr>
                <w:p w14:paraId="3DCA7220">
                  <w:pPr>
                    <w:jc w:val="center"/>
                    <w:rPr>
                      <w:color w:val="auto"/>
                      <w:highlight w:val="none"/>
                    </w:rPr>
                  </w:pPr>
                  <w:r>
                    <w:rPr>
                      <w:rFonts w:hint="eastAsia"/>
                      <w:color w:val="auto"/>
                      <w:highlight w:val="none"/>
                      <w:lang w:val="en-US" w:eastAsia="zh-CN"/>
                    </w:rPr>
                    <w:t>10个集气罩+二级</w:t>
                  </w:r>
                  <w:r>
                    <w:rPr>
                      <w:color w:val="auto"/>
                      <w:highlight w:val="none"/>
                    </w:rPr>
                    <w:t>活性炭吸附</w:t>
                  </w:r>
                  <w:r>
                    <w:rPr>
                      <w:rFonts w:hint="eastAsia"/>
                      <w:color w:val="auto"/>
                      <w:highlight w:val="none"/>
                      <w:lang w:val="en-US" w:eastAsia="zh-CN"/>
                    </w:rPr>
                    <w:t>装置</w:t>
                  </w:r>
                  <w:r>
                    <w:rPr>
                      <w:color w:val="auto"/>
                      <w:highlight w:val="none"/>
                    </w:rPr>
                    <w:t>+</w:t>
                  </w:r>
                  <w:r>
                    <w:rPr>
                      <w:rFonts w:hint="eastAsia"/>
                      <w:color w:val="auto"/>
                      <w:highlight w:val="none"/>
                      <w:lang w:val="en-US" w:eastAsia="zh-CN"/>
                    </w:rPr>
                    <w:t>1根18.5</w:t>
                  </w:r>
                  <w:r>
                    <w:rPr>
                      <w:color w:val="auto"/>
                      <w:highlight w:val="none"/>
                    </w:rPr>
                    <w:t>m排气筒（DA00</w:t>
                  </w:r>
                  <w:r>
                    <w:rPr>
                      <w:rFonts w:hint="eastAsia"/>
                      <w:color w:val="auto"/>
                      <w:highlight w:val="none"/>
                      <w:lang w:val="en-US" w:eastAsia="zh-CN"/>
                    </w:rPr>
                    <w:t>1</w:t>
                  </w:r>
                  <w:r>
                    <w:rPr>
                      <w:color w:val="auto"/>
                      <w:highlight w:val="none"/>
                    </w:rPr>
                    <w:t>）</w:t>
                  </w:r>
                </w:p>
              </w:tc>
              <w:tc>
                <w:tcPr>
                  <w:tcW w:w="530" w:type="pct"/>
                  <w:shd w:val="clear" w:color="auto" w:fill="auto"/>
                  <w:noWrap w:val="0"/>
                  <w:vAlign w:val="center"/>
                </w:tcPr>
                <w:p w14:paraId="4F178CE6">
                  <w:pPr>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1套</w:t>
                  </w:r>
                </w:p>
              </w:tc>
              <w:tc>
                <w:tcPr>
                  <w:tcW w:w="938" w:type="pct"/>
                  <w:shd w:val="clear" w:color="auto" w:fill="auto"/>
                  <w:noWrap w:val="0"/>
                  <w:vAlign w:val="center"/>
                </w:tcPr>
                <w:p w14:paraId="1AD45359">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rFonts w:hint="eastAsia"/>
                      <w:color w:val="auto"/>
                      <w:highlight w:val="none"/>
                      <w:lang w:val="en-US" w:eastAsia="zh-CN"/>
                    </w:rPr>
                    <w:t>3</w:t>
                  </w:r>
                </w:p>
              </w:tc>
            </w:tr>
            <w:tr w14:paraId="0B7CE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noWrap w:val="0"/>
                  <w:vAlign w:val="center"/>
                </w:tcPr>
                <w:p w14:paraId="00D24B5E">
                  <w:pPr>
                    <w:jc w:val="center"/>
                    <w:rPr>
                      <w:color w:val="auto"/>
                      <w:highlight w:val="none"/>
                    </w:rPr>
                  </w:pPr>
                  <w:r>
                    <w:rPr>
                      <w:color w:val="auto"/>
                      <w:highlight w:val="none"/>
                    </w:rPr>
                    <w:t>废水</w:t>
                  </w:r>
                </w:p>
              </w:tc>
              <w:tc>
                <w:tcPr>
                  <w:tcW w:w="902" w:type="pct"/>
                  <w:shd w:val="clear" w:color="auto" w:fill="auto"/>
                  <w:noWrap w:val="0"/>
                  <w:vAlign w:val="center"/>
                </w:tcPr>
                <w:p w14:paraId="31A7E241">
                  <w:pPr>
                    <w:jc w:val="center"/>
                    <w:rPr>
                      <w:color w:val="auto"/>
                      <w:highlight w:val="none"/>
                    </w:rPr>
                  </w:pPr>
                  <w:r>
                    <w:rPr>
                      <w:color w:val="auto"/>
                      <w:highlight w:val="none"/>
                    </w:rPr>
                    <w:t>生活污水</w:t>
                  </w:r>
                </w:p>
              </w:tc>
              <w:tc>
                <w:tcPr>
                  <w:tcW w:w="1900" w:type="pct"/>
                  <w:shd w:val="clear" w:color="auto" w:fill="auto"/>
                  <w:noWrap w:val="0"/>
                  <w:vAlign w:val="center"/>
                </w:tcPr>
                <w:p w14:paraId="758A8897">
                  <w:pPr>
                    <w:jc w:val="center"/>
                    <w:rPr>
                      <w:color w:val="auto"/>
                      <w:highlight w:val="none"/>
                    </w:rPr>
                  </w:pPr>
                  <w:r>
                    <w:rPr>
                      <w:color w:val="auto"/>
                      <w:highlight w:val="none"/>
                    </w:rPr>
                    <w:t>依托</w:t>
                  </w:r>
                  <w:r>
                    <w:rPr>
                      <w:rFonts w:hint="eastAsia"/>
                      <w:color w:val="auto"/>
                      <w:highlight w:val="none"/>
                      <w:lang w:val="en-US" w:eastAsia="zh-CN"/>
                    </w:rPr>
                    <w:t>所</w:t>
                  </w:r>
                  <w:r>
                    <w:rPr>
                      <w:rFonts w:hint="eastAsia"/>
                      <w:color w:val="auto"/>
                      <w:highlight w:val="none"/>
                    </w:rPr>
                    <w:t>租赁厂房配套</w:t>
                  </w:r>
                  <w:r>
                    <w:rPr>
                      <w:color w:val="auto"/>
                      <w:highlight w:val="none"/>
                    </w:rPr>
                    <w:t>化粪池</w:t>
                  </w:r>
                </w:p>
              </w:tc>
              <w:tc>
                <w:tcPr>
                  <w:tcW w:w="530" w:type="pct"/>
                  <w:shd w:val="clear" w:color="auto" w:fill="auto"/>
                  <w:noWrap w:val="0"/>
                  <w:vAlign w:val="center"/>
                </w:tcPr>
                <w:p w14:paraId="66AD5D38">
                  <w:pPr>
                    <w:jc w:val="center"/>
                    <w:rPr>
                      <w:color w:val="auto"/>
                      <w:highlight w:val="none"/>
                    </w:rPr>
                  </w:pPr>
                  <w:r>
                    <w:rPr>
                      <w:color w:val="auto"/>
                      <w:highlight w:val="none"/>
                    </w:rPr>
                    <w:t>/</w:t>
                  </w:r>
                </w:p>
              </w:tc>
              <w:tc>
                <w:tcPr>
                  <w:tcW w:w="938" w:type="pct"/>
                  <w:shd w:val="clear" w:color="auto" w:fill="auto"/>
                  <w:noWrap w:val="0"/>
                  <w:vAlign w:val="center"/>
                </w:tcPr>
                <w:p w14:paraId="3AC6BBEB">
                  <w:pPr>
                    <w:jc w:val="center"/>
                    <w:rPr>
                      <w:color w:val="auto"/>
                      <w:highlight w:val="none"/>
                    </w:rPr>
                  </w:pPr>
                  <w:r>
                    <w:rPr>
                      <w:color w:val="auto"/>
                      <w:highlight w:val="none"/>
                    </w:rPr>
                    <w:t>/</w:t>
                  </w:r>
                </w:p>
              </w:tc>
            </w:tr>
            <w:tr w14:paraId="007AF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noWrap w:val="0"/>
                  <w:vAlign w:val="center"/>
                </w:tcPr>
                <w:p w14:paraId="4DEFADC0">
                  <w:pPr>
                    <w:jc w:val="center"/>
                    <w:rPr>
                      <w:color w:val="auto"/>
                      <w:highlight w:val="none"/>
                    </w:rPr>
                  </w:pPr>
                  <w:r>
                    <w:rPr>
                      <w:color w:val="auto"/>
                      <w:highlight w:val="none"/>
                    </w:rPr>
                    <w:t>噪声</w:t>
                  </w:r>
                </w:p>
              </w:tc>
              <w:tc>
                <w:tcPr>
                  <w:tcW w:w="2802" w:type="pct"/>
                  <w:gridSpan w:val="2"/>
                  <w:shd w:val="clear" w:color="auto" w:fill="auto"/>
                  <w:noWrap w:val="0"/>
                  <w:vAlign w:val="center"/>
                </w:tcPr>
                <w:p w14:paraId="745F80AB">
                  <w:pPr>
                    <w:jc w:val="center"/>
                    <w:rPr>
                      <w:color w:val="auto"/>
                      <w:highlight w:val="none"/>
                    </w:rPr>
                  </w:pPr>
                  <w:r>
                    <w:rPr>
                      <w:color w:val="auto"/>
                      <w:highlight w:val="none"/>
                    </w:rPr>
                    <w:t>低噪声设备，基础减振</w:t>
                  </w:r>
                  <w:r>
                    <w:rPr>
                      <w:rFonts w:hint="eastAsia"/>
                      <w:color w:val="auto"/>
                      <w:highlight w:val="none"/>
                      <w:lang w:eastAsia="zh-CN"/>
                    </w:rPr>
                    <w:t>、消声</w:t>
                  </w:r>
                  <w:r>
                    <w:rPr>
                      <w:color w:val="auto"/>
                      <w:highlight w:val="none"/>
                    </w:rPr>
                    <w:t>，厂房隔声</w:t>
                  </w:r>
                </w:p>
              </w:tc>
              <w:tc>
                <w:tcPr>
                  <w:tcW w:w="530" w:type="pct"/>
                  <w:shd w:val="clear" w:color="auto" w:fill="auto"/>
                  <w:noWrap w:val="0"/>
                  <w:vAlign w:val="center"/>
                </w:tcPr>
                <w:p w14:paraId="2757A5A5">
                  <w:pPr>
                    <w:jc w:val="center"/>
                    <w:rPr>
                      <w:color w:val="auto"/>
                      <w:highlight w:val="none"/>
                    </w:rPr>
                  </w:pPr>
                  <w:r>
                    <w:rPr>
                      <w:rFonts w:hint="eastAsia"/>
                      <w:color w:val="auto"/>
                      <w:highlight w:val="none"/>
                    </w:rPr>
                    <w:t>/</w:t>
                  </w:r>
                </w:p>
              </w:tc>
              <w:tc>
                <w:tcPr>
                  <w:tcW w:w="938" w:type="pct"/>
                  <w:shd w:val="clear" w:color="auto" w:fill="auto"/>
                  <w:noWrap w:val="0"/>
                  <w:vAlign w:val="center"/>
                </w:tcPr>
                <w:p w14:paraId="26EBDE2A">
                  <w:pPr>
                    <w:jc w:val="center"/>
                    <w:rPr>
                      <w:rFonts w:hint="default" w:eastAsia="宋体"/>
                      <w:color w:val="auto"/>
                      <w:highlight w:val="none"/>
                      <w:lang w:val="en-US" w:eastAsia="zh-CN"/>
                    </w:rPr>
                  </w:pPr>
                  <w:r>
                    <w:rPr>
                      <w:rFonts w:hint="eastAsia"/>
                      <w:color w:val="auto"/>
                      <w:highlight w:val="none"/>
                    </w:rPr>
                    <w:t>1</w:t>
                  </w:r>
                  <w:r>
                    <w:rPr>
                      <w:rFonts w:hint="eastAsia"/>
                      <w:color w:val="auto"/>
                      <w:highlight w:val="none"/>
                      <w:lang w:val="en-US" w:eastAsia="zh-CN"/>
                    </w:rPr>
                    <w:t>.2</w:t>
                  </w:r>
                </w:p>
              </w:tc>
            </w:tr>
            <w:tr w14:paraId="27204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Merge w:val="restart"/>
                  <w:shd w:val="clear" w:color="auto" w:fill="auto"/>
                  <w:noWrap w:val="0"/>
                  <w:vAlign w:val="center"/>
                </w:tcPr>
                <w:p w14:paraId="0DB6DB32">
                  <w:pPr>
                    <w:jc w:val="center"/>
                    <w:rPr>
                      <w:color w:val="auto"/>
                      <w:highlight w:val="none"/>
                    </w:rPr>
                  </w:pPr>
                  <w:r>
                    <w:rPr>
                      <w:color w:val="auto"/>
                      <w:highlight w:val="none"/>
                    </w:rPr>
                    <w:t>固体废物</w:t>
                  </w:r>
                </w:p>
              </w:tc>
              <w:tc>
                <w:tcPr>
                  <w:tcW w:w="902" w:type="pct"/>
                  <w:shd w:val="clear" w:color="auto" w:fill="auto"/>
                  <w:noWrap w:val="0"/>
                  <w:vAlign w:val="center"/>
                </w:tcPr>
                <w:p w14:paraId="50346582">
                  <w:pPr>
                    <w:jc w:val="center"/>
                    <w:rPr>
                      <w:color w:val="auto"/>
                      <w:highlight w:val="none"/>
                    </w:rPr>
                  </w:pPr>
                  <w:r>
                    <w:rPr>
                      <w:color w:val="auto"/>
                      <w:highlight w:val="none"/>
                    </w:rPr>
                    <w:t>生活垃圾</w:t>
                  </w:r>
                </w:p>
              </w:tc>
              <w:tc>
                <w:tcPr>
                  <w:tcW w:w="1900" w:type="pct"/>
                  <w:shd w:val="clear" w:color="auto" w:fill="auto"/>
                  <w:noWrap w:val="0"/>
                  <w:vAlign w:val="center"/>
                </w:tcPr>
                <w:p w14:paraId="51D1CB53">
                  <w:pPr>
                    <w:jc w:val="center"/>
                    <w:rPr>
                      <w:color w:val="auto"/>
                      <w:highlight w:val="none"/>
                    </w:rPr>
                  </w:pPr>
                  <w:r>
                    <w:rPr>
                      <w:rFonts w:hint="eastAsia"/>
                      <w:color w:val="auto"/>
                      <w:highlight w:val="none"/>
                    </w:rPr>
                    <w:t>分类收集，由市政环卫部门定期清运</w:t>
                  </w:r>
                </w:p>
              </w:tc>
              <w:tc>
                <w:tcPr>
                  <w:tcW w:w="530" w:type="pct"/>
                  <w:shd w:val="clear" w:color="auto" w:fill="auto"/>
                  <w:noWrap w:val="0"/>
                  <w:vAlign w:val="center"/>
                </w:tcPr>
                <w:p w14:paraId="7116F197">
                  <w:pPr>
                    <w:jc w:val="center"/>
                    <w:rPr>
                      <w:rFonts w:hint="eastAsia" w:eastAsia="宋体"/>
                      <w:color w:val="auto"/>
                      <w:highlight w:val="none"/>
                      <w:lang w:val="en-US" w:eastAsia="zh-CN"/>
                    </w:rPr>
                  </w:pPr>
                  <w:r>
                    <w:rPr>
                      <w:rFonts w:hint="eastAsia"/>
                      <w:color w:val="auto"/>
                      <w:highlight w:val="none"/>
                      <w:lang w:val="en-US" w:eastAsia="zh-CN"/>
                    </w:rPr>
                    <w:t>/</w:t>
                  </w:r>
                </w:p>
              </w:tc>
              <w:tc>
                <w:tcPr>
                  <w:tcW w:w="938" w:type="pct"/>
                  <w:shd w:val="clear" w:color="auto" w:fill="auto"/>
                  <w:noWrap w:val="0"/>
                  <w:vAlign w:val="center"/>
                </w:tcPr>
                <w:p w14:paraId="5C470DC4">
                  <w:pPr>
                    <w:jc w:val="center"/>
                    <w:rPr>
                      <w:rFonts w:hint="eastAsia" w:eastAsia="宋体"/>
                      <w:color w:val="auto"/>
                      <w:highlight w:val="none"/>
                      <w:lang w:val="en-US" w:eastAsia="zh-CN"/>
                    </w:rPr>
                  </w:pPr>
                  <w:r>
                    <w:rPr>
                      <w:color w:val="auto"/>
                      <w:highlight w:val="none"/>
                    </w:rPr>
                    <w:t>0.</w:t>
                  </w:r>
                  <w:r>
                    <w:rPr>
                      <w:rFonts w:hint="eastAsia"/>
                      <w:color w:val="auto"/>
                      <w:highlight w:val="none"/>
                      <w:lang w:val="en-US" w:eastAsia="zh-CN"/>
                    </w:rPr>
                    <w:t>1</w:t>
                  </w:r>
                </w:p>
              </w:tc>
            </w:tr>
            <w:tr w14:paraId="54916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Merge w:val="continue"/>
                  <w:shd w:val="clear" w:color="auto" w:fill="auto"/>
                  <w:noWrap w:val="0"/>
                  <w:vAlign w:val="center"/>
                </w:tcPr>
                <w:p w14:paraId="5A81A9DB">
                  <w:pPr>
                    <w:jc w:val="center"/>
                    <w:rPr>
                      <w:color w:val="auto"/>
                      <w:highlight w:val="none"/>
                    </w:rPr>
                  </w:pPr>
                </w:p>
              </w:tc>
              <w:tc>
                <w:tcPr>
                  <w:tcW w:w="902" w:type="pct"/>
                  <w:shd w:val="clear" w:color="auto" w:fill="auto"/>
                  <w:noWrap w:val="0"/>
                  <w:vAlign w:val="center"/>
                </w:tcPr>
                <w:p w14:paraId="0344502C">
                  <w:pPr>
                    <w:jc w:val="center"/>
                    <w:rPr>
                      <w:color w:val="auto"/>
                      <w:highlight w:val="none"/>
                    </w:rPr>
                  </w:pPr>
                  <w:r>
                    <w:rPr>
                      <w:color w:val="auto"/>
                      <w:highlight w:val="none"/>
                    </w:rPr>
                    <w:t>一般工业</w:t>
                  </w:r>
                </w:p>
                <w:p w14:paraId="60C40447">
                  <w:pPr>
                    <w:jc w:val="center"/>
                    <w:rPr>
                      <w:color w:val="auto"/>
                      <w:highlight w:val="none"/>
                    </w:rPr>
                  </w:pPr>
                  <w:r>
                    <w:rPr>
                      <w:color w:val="auto"/>
                      <w:highlight w:val="none"/>
                    </w:rPr>
                    <w:t>固体废物</w:t>
                  </w:r>
                </w:p>
              </w:tc>
              <w:tc>
                <w:tcPr>
                  <w:tcW w:w="1900" w:type="pct"/>
                  <w:shd w:val="clear" w:color="auto" w:fill="auto"/>
                  <w:noWrap w:val="0"/>
                  <w:vAlign w:val="center"/>
                </w:tcPr>
                <w:p w14:paraId="47FBD65B">
                  <w:pPr>
                    <w:jc w:val="center"/>
                    <w:rPr>
                      <w:rFonts w:hint="eastAsia" w:eastAsia="宋体"/>
                      <w:color w:val="auto"/>
                      <w:highlight w:val="none"/>
                      <w:lang w:eastAsia="zh-CN"/>
                    </w:rPr>
                  </w:pPr>
                  <w:r>
                    <w:rPr>
                      <w:color w:val="auto"/>
                      <w:highlight w:val="none"/>
                    </w:rPr>
                    <w:t>一般固体废物暂存区</w:t>
                  </w:r>
                  <w:r>
                    <w:rPr>
                      <w:rFonts w:hint="eastAsia"/>
                      <w:color w:val="auto"/>
                      <w:highlight w:val="none"/>
                      <w:lang w:eastAsia="zh-CN"/>
                    </w:rPr>
                    <w:t>（位于库房北部，面积10m</w:t>
                  </w:r>
                  <w:r>
                    <w:rPr>
                      <w:rFonts w:hint="eastAsia"/>
                      <w:color w:val="auto"/>
                      <w:highlight w:val="none"/>
                      <w:vertAlign w:val="superscript"/>
                      <w:lang w:eastAsia="zh-CN"/>
                    </w:rPr>
                    <w:t>2</w:t>
                  </w:r>
                  <w:r>
                    <w:rPr>
                      <w:rFonts w:hint="eastAsia"/>
                      <w:color w:val="auto"/>
                      <w:highlight w:val="none"/>
                      <w:lang w:eastAsia="zh-CN"/>
                    </w:rPr>
                    <w:t>）</w:t>
                  </w:r>
                </w:p>
              </w:tc>
              <w:tc>
                <w:tcPr>
                  <w:tcW w:w="530" w:type="pct"/>
                  <w:shd w:val="clear" w:color="auto" w:fill="auto"/>
                  <w:noWrap w:val="0"/>
                  <w:vAlign w:val="center"/>
                </w:tcPr>
                <w:p w14:paraId="08E9A37C">
                  <w:pPr>
                    <w:jc w:val="center"/>
                    <w:rPr>
                      <w:rFonts w:hint="eastAsia" w:eastAsia="宋体"/>
                      <w:color w:val="auto"/>
                      <w:highlight w:val="none"/>
                      <w:lang w:eastAsia="zh-CN"/>
                    </w:rPr>
                  </w:pPr>
                  <w:r>
                    <w:rPr>
                      <w:rFonts w:hint="eastAsia"/>
                      <w:color w:val="auto"/>
                      <w:highlight w:val="none"/>
                      <w:lang w:val="en-US" w:eastAsia="zh-CN"/>
                    </w:rPr>
                    <w:t>/</w:t>
                  </w:r>
                </w:p>
              </w:tc>
              <w:tc>
                <w:tcPr>
                  <w:tcW w:w="938" w:type="pct"/>
                  <w:shd w:val="clear" w:color="auto" w:fill="auto"/>
                  <w:noWrap w:val="0"/>
                  <w:vAlign w:val="center"/>
                </w:tcPr>
                <w:p w14:paraId="3CFEE284">
                  <w:pPr>
                    <w:jc w:val="center"/>
                    <w:rPr>
                      <w:rFonts w:hint="default" w:eastAsia="宋体"/>
                      <w:color w:val="auto"/>
                      <w:highlight w:val="none"/>
                      <w:lang w:val="en-US" w:eastAsia="zh-CN"/>
                    </w:rPr>
                  </w:pPr>
                  <w:r>
                    <w:rPr>
                      <w:rFonts w:hint="eastAsia"/>
                      <w:color w:val="auto"/>
                      <w:highlight w:val="none"/>
                      <w:lang w:val="en-US" w:eastAsia="zh-CN"/>
                    </w:rPr>
                    <w:t>1.0</w:t>
                  </w:r>
                </w:p>
              </w:tc>
            </w:tr>
            <w:tr w14:paraId="58377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vMerge w:val="continue"/>
                  <w:shd w:val="clear" w:color="auto" w:fill="auto"/>
                  <w:noWrap w:val="0"/>
                  <w:vAlign w:val="center"/>
                </w:tcPr>
                <w:p w14:paraId="77E540DC">
                  <w:pPr>
                    <w:jc w:val="center"/>
                    <w:rPr>
                      <w:color w:val="auto"/>
                      <w:highlight w:val="none"/>
                    </w:rPr>
                  </w:pPr>
                </w:p>
              </w:tc>
              <w:tc>
                <w:tcPr>
                  <w:tcW w:w="902" w:type="pct"/>
                  <w:shd w:val="clear" w:color="auto" w:fill="auto"/>
                  <w:noWrap w:val="0"/>
                  <w:vAlign w:val="center"/>
                </w:tcPr>
                <w:p w14:paraId="68A7EF5A">
                  <w:pPr>
                    <w:jc w:val="center"/>
                    <w:rPr>
                      <w:color w:val="auto"/>
                      <w:highlight w:val="none"/>
                    </w:rPr>
                  </w:pPr>
                  <w:r>
                    <w:rPr>
                      <w:color w:val="auto"/>
                      <w:highlight w:val="none"/>
                    </w:rPr>
                    <w:t>危险废物</w:t>
                  </w:r>
                </w:p>
              </w:tc>
              <w:tc>
                <w:tcPr>
                  <w:tcW w:w="1900" w:type="pct"/>
                  <w:shd w:val="clear" w:color="auto" w:fill="auto"/>
                  <w:noWrap w:val="0"/>
                  <w:vAlign w:val="center"/>
                </w:tcPr>
                <w:p w14:paraId="3B9D800D">
                  <w:pPr>
                    <w:jc w:val="center"/>
                    <w:rPr>
                      <w:color w:val="auto"/>
                      <w:highlight w:val="none"/>
                    </w:rPr>
                  </w:pPr>
                  <w:r>
                    <w:rPr>
                      <w:rFonts w:hint="eastAsia"/>
                      <w:color w:val="auto"/>
                      <w:highlight w:val="none"/>
                      <w:lang w:val="en-US" w:eastAsia="zh-CN"/>
                    </w:rPr>
                    <w:t>依托厂区现有</w:t>
                  </w:r>
                  <w:r>
                    <w:rPr>
                      <w:color w:val="auto"/>
                      <w:highlight w:val="none"/>
                    </w:rPr>
                    <w:t>危险废物贮存</w:t>
                  </w:r>
                  <w:r>
                    <w:rPr>
                      <w:rFonts w:hint="eastAsia"/>
                      <w:color w:val="auto"/>
                      <w:highlight w:val="none"/>
                      <w:lang w:val="en-US" w:eastAsia="zh-CN"/>
                    </w:rPr>
                    <w:t>点</w:t>
                  </w:r>
                  <w:r>
                    <w:rPr>
                      <w:color w:val="auto"/>
                      <w:highlight w:val="none"/>
                    </w:rPr>
                    <w:t>（</w:t>
                  </w:r>
                  <w:r>
                    <w:rPr>
                      <w:rFonts w:hint="eastAsia"/>
                      <w:color w:val="auto"/>
                      <w:highlight w:val="none"/>
                    </w:rPr>
                    <w:t>依托厂区现有，依托面积</w:t>
                  </w:r>
                  <w:r>
                    <w:rPr>
                      <w:rFonts w:hint="eastAsia"/>
                      <w:color w:val="auto"/>
                      <w:highlight w:val="none"/>
                      <w:lang w:val="en-US" w:eastAsia="zh-CN"/>
                    </w:rPr>
                    <w:t>5</w:t>
                  </w:r>
                  <w:r>
                    <w:rPr>
                      <w:rFonts w:hint="eastAsia"/>
                      <w:color w:val="auto"/>
                      <w:highlight w:val="none"/>
                    </w:rPr>
                    <w:t>m</w:t>
                  </w:r>
                  <w:r>
                    <w:rPr>
                      <w:rFonts w:hint="eastAsia"/>
                      <w:color w:val="auto"/>
                      <w:highlight w:val="none"/>
                      <w:vertAlign w:val="superscript"/>
                    </w:rPr>
                    <w:t>2</w:t>
                  </w:r>
                  <w:r>
                    <w:rPr>
                      <w:color w:val="auto"/>
                      <w:highlight w:val="none"/>
                    </w:rPr>
                    <w:t>）</w:t>
                  </w:r>
                </w:p>
              </w:tc>
              <w:tc>
                <w:tcPr>
                  <w:tcW w:w="530" w:type="pct"/>
                  <w:shd w:val="clear" w:color="auto" w:fill="auto"/>
                  <w:noWrap w:val="0"/>
                  <w:vAlign w:val="center"/>
                </w:tcPr>
                <w:p w14:paraId="4FC4E906">
                  <w:pPr>
                    <w:jc w:val="center"/>
                    <w:rPr>
                      <w:rFonts w:hint="eastAsia" w:eastAsia="宋体"/>
                      <w:color w:val="auto"/>
                      <w:highlight w:val="none"/>
                      <w:lang w:eastAsia="zh-CN"/>
                    </w:rPr>
                  </w:pPr>
                  <w:r>
                    <w:rPr>
                      <w:rFonts w:hint="eastAsia"/>
                      <w:color w:val="auto"/>
                      <w:highlight w:val="none"/>
                      <w:lang w:val="en-US" w:eastAsia="zh-CN"/>
                    </w:rPr>
                    <w:t>/</w:t>
                  </w:r>
                </w:p>
              </w:tc>
              <w:tc>
                <w:tcPr>
                  <w:tcW w:w="938" w:type="pct"/>
                  <w:shd w:val="clear" w:color="auto" w:fill="auto"/>
                  <w:noWrap w:val="0"/>
                  <w:vAlign w:val="center"/>
                </w:tcPr>
                <w:p w14:paraId="0E3028E1">
                  <w:pPr>
                    <w:jc w:val="center"/>
                    <w:rPr>
                      <w:rFonts w:hint="default" w:eastAsia="宋体"/>
                      <w:color w:val="auto"/>
                      <w:highlight w:val="none"/>
                      <w:lang w:val="en-US" w:eastAsia="zh-CN"/>
                    </w:rPr>
                  </w:pPr>
                  <w:r>
                    <w:rPr>
                      <w:rFonts w:hint="eastAsia"/>
                      <w:color w:val="auto"/>
                      <w:highlight w:val="none"/>
                      <w:lang w:val="en-US" w:eastAsia="zh-CN"/>
                    </w:rPr>
                    <w:t>/</w:t>
                  </w:r>
                </w:p>
              </w:tc>
            </w:tr>
            <w:tr w14:paraId="0288B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pct"/>
                  <w:shd w:val="clear" w:color="auto" w:fill="auto"/>
                  <w:noWrap w:val="0"/>
                  <w:vAlign w:val="center"/>
                </w:tcPr>
                <w:p w14:paraId="7C1E0DEF">
                  <w:pPr>
                    <w:jc w:val="center"/>
                    <w:rPr>
                      <w:color w:val="auto"/>
                      <w:highlight w:val="none"/>
                    </w:rPr>
                  </w:pPr>
                  <w:r>
                    <w:rPr>
                      <w:rFonts w:hint="eastAsia"/>
                      <w:color w:val="auto"/>
                      <w:highlight w:val="none"/>
                    </w:rPr>
                    <w:t>环保管理</w:t>
                  </w:r>
                </w:p>
              </w:tc>
              <w:tc>
                <w:tcPr>
                  <w:tcW w:w="2802" w:type="pct"/>
                  <w:gridSpan w:val="2"/>
                  <w:shd w:val="clear" w:color="auto" w:fill="auto"/>
                  <w:noWrap w:val="0"/>
                  <w:vAlign w:val="center"/>
                </w:tcPr>
                <w:p w14:paraId="3BC68A13">
                  <w:pPr>
                    <w:jc w:val="center"/>
                    <w:rPr>
                      <w:color w:val="auto"/>
                      <w:highlight w:val="none"/>
                    </w:rPr>
                  </w:pPr>
                  <w:r>
                    <w:rPr>
                      <w:rFonts w:hint="eastAsia"/>
                      <w:color w:val="auto"/>
                      <w:highlight w:val="none"/>
                    </w:rPr>
                    <w:t>环境管理和监测费用</w:t>
                  </w:r>
                </w:p>
              </w:tc>
              <w:tc>
                <w:tcPr>
                  <w:tcW w:w="530" w:type="pct"/>
                  <w:shd w:val="clear" w:color="auto" w:fill="auto"/>
                  <w:noWrap w:val="0"/>
                  <w:vAlign w:val="center"/>
                </w:tcPr>
                <w:p w14:paraId="59675274">
                  <w:pPr>
                    <w:jc w:val="center"/>
                    <w:rPr>
                      <w:rFonts w:hint="eastAsia" w:eastAsia="宋体"/>
                      <w:color w:val="auto"/>
                      <w:highlight w:val="none"/>
                      <w:lang w:val="en-US" w:eastAsia="zh-CN"/>
                    </w:rPr>
                  </w:pPr>
                  <w:r>
                    <w:rPr>
                      <w:rFonts w:hint="eastAsia"/>
                      <w:color w:val="auto"/>
                      <w:highlight w:val="none"/>
                      <w:lang w:val="en-US" w:eastAsia="zh-CN"/>
                    </w:rPr>
                    <w:t>/</w:t>
                  </w:r>
                </w:p>
              </w:tc>
              <w:tc>
                <w:tcPr>
                  <w:tcW w:w="938" w:type="pct"/>
                  <w:shd w:val="clear" w:color="auto" w:fill="auto"/>
                  <w:noWrap w:val="0"/>
                  <w:vAlign w:val="center"/>
                </w:tcPr>
                <w:p w14:paraId="08FF95D4">
                  <w:pPr>
                    <w:jc w:val="center"/>
                    <w:rPr>
                      <w:color w:val="auto"/>
                      <w:highlight w:val="none"/>
                    </w:rPr>
                  </w:pPr>
                  <w:r>
                    <w:rPr>
                      <w:rFonts w:hint="eastAsia"/>
                      <w:color w:val="auto"/>
                      <w:highlight w:val="none"/>
                    </w:rPr>
                    <w:t>1.5</w:t>
                  </w:r>
                </w:p>
              </w:tc>
            </w:tr>
            <w:tr w14:paraId="21A09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1" w:type="pct"/>
                  <w:gridSpan w:val="4"/>
                  <w:shd w:val="clear" w:color="auto" w:fill="auto"/>
                  <w:noWrap w:val="0"/>
                  <w:vAlign w:val="center"/>
                </w:tcPr>
                <w:p w14:paraId="5445236F">
                  <w:pPr>
                    <w:jc w:val="center"/>
                    <w:rPr>
                      <w:b/>
                      <w:bCs/>
                      <w:color w:val="auto"/>
                      <w:highlight w:val="none"/>
                    </w:rPr>
                  </w:pPr>
                  <w:r>
                    <w:rPr>
                      <w:b/>
                      <w:bCs/>
                      <w:color w:val="auto"/>
                      <w:highlight w:val="none"/>
                    </w:rPr>
                    <w:t>合计</w:t>
                  </w:r>
                </w:p>
              </w:tc>
              <w:tc>
                <w:tcPr>
                  <w:tcW w:w="938" w:type="pct"/>
                  <w:shd w:val="clear" w:color="auto" w:fill="auto"/>
                  <w:noWrap w:val="0"/>
                  <w:vAlign w:val="center"/>
                </w:tcPr>
                <w:p w14:paraId="0C84199F">
                  <w:pPr>
                    <w:jc w:val="center"/>
                    <w:rPr>
                      <w:rFonts w:hint="default" w:eastAsia="宋体"/>
                      <w:b/>
                      <w:bCs/>
                      <w:color w:val="auto"/>
                      <w:highlight w:val="none"/>
                      <w:lang w:val="en-US" w:eastAsia="zh-CN"/>
                    </w:rPr>
                  </w:pPr>
                  <w:r>
                    <w:rPr>
                      <w:rFonts w:hint="eastAsia"/>
                      <w:b/>
                      <w:bCs/>
                      <w:color w:val="auto"/>
                      <w:highlight w:val="none"/>
                      <w:lang w:val="en-US" w:eastAsia="zh-CN"/>
                    </w:rPr>
                    <w:t>19.3</w:t>
                  </w:r>
                </w:p>
              </w:tc>
            </w:tr>
          </w:tbl>
          <w:p w14:paraId="7560369F">
            <w:pPr>
              <w:pStyle w:val="11"/>
              <w:rPr>
                <w:color w:val="auto"/>
                <w:sz w:val="24"/>
                <w:szCs w:val="32"/>
                <w:highlight w:val="none"/>
              </w:rPr>
            </w:pPr>
          </w:p>
          <w:p w14:paraId="6C05CCC1">
            <w:pPr>
              <w:pStyle w:val="11"/>
              <w:rPr>
                <w:color w:val="auto"/>
                <w:sz w:val="24"/>
                <w:szCs w:val="32"/>
                <w:highlight w:val="none"/>
              </w:rPr>
            </w:pPr>
          </w:p>
          <w:p w14:paraId="45FE5314">
            <w:pPr>
              <w:pStyle w:val="11"/>
              <w:rPr>
                <w:color w:val="auto"/>
                <w:sz w:val="24"/>
                <w:szCs w:val="32"/>
                <w:highlight w:val="none"/>
              </w:rPr>
            </w:pPr>
          </w:p>
          <w:p w14:paraId="27DA51FD">
            <w:pPr>
              <w:pStyle w:val="11"/>
              <w:rPr>
                <w:color w:val="auto"/>
                <w:sz w:val="24"/>
                <w:szCs w:val="32"/>
                <w:highlight w:val="none"/>
              </w:rPr>
            </w:pPr>
          </w:p>
          <w:p w14:paraId="6756E398">
            <w:pPr>
              <w:pStyle w:val="11"/>
              <w:rPr>
                <w:color w:val="auto"/>
                <w:sz w:val="24"/>
                <w:szCs w:val="32"/>
                <w:highlight w:val="none"/>
              </w:rPr>
            </w:pPr>
          </w:p>
          <w:p w14:paraId="50D8AC0F">
            <w:pPr>
              <w:pStyle w:val="11"/>
              <w:rPr>
                <w:color w:val="auto"/>
                <w:sz w:val="24"/>
                <w:szCs w:val="32"/>
                <w:highlight w:val="none"/>
              </w:rPr>
            </w:pPr>
          </w:p>
          <w:p w14:paraId="70CD4CDF">
            <w:pPr>
              <w:pStyle w:val="11"/>
              <w:rPr>
                <w:color w:val="auto"/>
                <w:sz w:val="24"/>
                <w:szCs w:val="32"/>
                <w:highlight w:val="none"/>
              </w:rPr>
            </w:pPr>
          </w:p>
          <w:p w14:paraId="36207B6A">
            <w:pPr>
              <w:pStyle w:val="11"/>
              <w:rPr>
                <w:color w:val="auto"/>
                <w:sz w:val="24"/>
                <w:szCs w:val="32"/>
                <w:highlight w:val="none"/>
              </w:rPr>
            </w:pPr>
          </w:p>
          <w:p w14:paraId="466B6541">
            <w:pPr>
              <w:pStyle w:val="11"/>
              <w:rPr>
                <w:color w:val="auto"/>
                <w:sz w:val="24"/>
                <w:szCs w:val="32"/>
                <w:highlight w:val="none"/>
              </w:rPr>
            </w:pPr>
          </w:p>
          <w:p w14:paraId="4EB5D161">
            <w:pPr>
              <w:pStyle w:val="11"/>
              <w:rPr>
                <w:color w:val="auto"/>
                <w:sz w:val="24"/>
                <w:szCs w:val="32"/>
                <w:highlight w:val="none"/>
              </w:rPr>
            </w:pPr>
          </w:p>
          <w:p w14:paraId="46439521">
            <w:pPr>
              <w:pStyle w:val="11"/>
              <w:rPr>
                <w:color w:val="auto"/>
                <w:sz w:val="24"/>
                <w:szCs w:val="32"/>
                <w:highlight w:val="none"/>
              </w:rPr>
            </w:pPr>
          </w:p>
          <w:p w14:paraId="25AC8E76">
            <w:pPr>
              <w:pStyle w:val="11"/>
              <w:rPr>
                <w:color w:val="auto"/>
                <w:sz w:val="24"/>
                <w:szCs w:val="32"/>
                <w:highlight w:val="none"/>
              </w:rPr>
            </w:pPr>
          </w:p>
          <w:p w14:paraId="16A0C44E">
            <w:pPr>
              <w:pStyle w:val="11"/>
              <w:rPr>
                <w:color w:val="auto"/>
                <w:sz w:val="24"/>
                <w:szCs w:val="32"/>
                <w:highlight w:val="none"/>
              </w:rPr>
            </w:pPr>
          </w:p>
          <w:p w14:paraId="353181B3">
            <w:pPr>
              <w:pStyle w:val="11"/>
              <w:rPr>
                <w:color w:val="auto"/>
                <w:sz w:val="24"/>
                <w:szCs w:val="32"/>
                <w:highlight w:val="none"/>
              </w:rPr>
            </w:pPr>
          </w:p>
          <w:p w14:paraId="7F0F262E">
            <w:pPr>
              <w:pStyle w:val="11"/>
              <w:rPr>
                <w:color w:val="auto"/>
                <w:sz w:val="24"/>
                <w:szCs w:val="32"/>
                <w:highlight w:val="none"/>
              </w:rPr>
            </w:pPr>
          </w:p>
          <w:p w14:paraId="1D534AE8">
            <w:pPr>
              <w:pStyle w:val="11"/>
              <w:rPr>
                <w:color w:val="auto"/>
                <w:sz w:val="24"/>
                <w:szCs w:val="32"/>
                <w:highlight w:val="none"/>
              </w:rPr>
            </w:pPr>
          </w:p>
        </w:tc>
      </w:tr>
    </w:tbl>
    <w:p w14:paraId="1550B902">
      <w:pPr>
        <w:pStyle w:val="7"/>
        <w:ind w:firstLine="562"/>
        <w:rPr>
          <w:rFonts w:hint="eastAsia" w:ascii="宋体" w:cs="宋体"/>
          <w:b/>
          <w:color w:val="auto"/>
          <w:sz w:val="28"/>
          <w:szCs w:val="28"/>
          <w:highlight w:val="none"/>
        </w:rPr>
        <w:sectPr>
          <w:pgSz w:w="11907" w:h="16840"/>
          <w:pgMar w:top="1701" w:right="1531" w:bottom="2127" w:left="1531" w:header="851" w:footer="851" w:gutter="0"/>
          <w:cols w:space="720" w:num="1"/>
          <w:docGrid w:linePitch="312" w:charSpace="0"/>
        </w:sectPr>
      </w:pPr>
    </w:p>
    <w:p w14:paraId="4A353E80">
      <w:pPr>
        <w:pStyle w:val="21"/>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1" w:name="_Hlk54167917"/>
      <w:r>
        <w:rPr>
          <w:rFonts w:hint="eastAsia" w:ascii="黑体" w:hAnsi="黑体" w:eastAsia="黑体"/>
          <w:snapToGrid w:val="0"/>
          <w:color w:val="auto"/>
          <w:sz w:val="30"/>
          <w:szCs w:val="30"/>
          <w:highlight w:val="none"/>
        </w:rPr>
        <w:t>环境保护措施监督检查清单</w:t>
      </w:r>
      <w:bookmarkEnd w:id="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491"/>
        <w:gridCol w:w="1500"/>
        <w:gridCol w:w="2095"/>
        <w:gridCol w:w="2207"/>
      </w:tblGrid>
      <w:tr w14:paraId="01063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7" w:type="dxa"/>
            <w:tcBorders>
              <w:tl2br w:val="single" w:color="auto" w:sz="4" w:space="0"/>
            </w:tcBorders>
            <w:noWrap w:val="0"/>
            <w:vAlign w:val="center"/>
          </w:tcPr>
          <w:p w14:paraId="10838870">
            <w:pPr>
              <w:ind w:firstLine="840"/>
              <w:rPr>
                <w:b/>
                <w:bCs/>
                <w:color w:val="auto"/>
                <w:szCs w:val="21"/>
                <w:highlight w:val="none"/>
              </w:rPr>
            </w:pPr>
            <w:r>
              <w:rPr>
                <w:b/>
                <w:bCs/>
                <w:color w:val="auto"/>
                <w:szCs w:val="21"/>
                <w:highlight w:val="none"/>
              </w:rPr>
              <w:t>内容</w:t>
            </w:r>
          </w:p>
          <w:p w14:paraId="2DC241A3">
            <w:pPr>
              <w:rPr>
                <w:b/>
                <w:bCs/>
                <w:color w:val="auto"/>
                <w:szCs w:val="21"/>
                <w:highlight w:val="none"/>
              </w:rPr>
            </w:pPr>
            <w:r>
              <w:rPr>
                <w:b/>
                <w:bCs/>
                <w:color w:val="auto"/>
                <w:szCs w:val="21"/>
                <w:highlight w:val="none"/>
              </w:rPr>
              <w:t>要素</w:t>
            </w:r>
          </w:p>
        </w:tc>
        <w:tc>
          <w:tcPr>
            <w:tcW w:w="1491" w:type="dxa"/>
            <w:noWrap w:val="0"/>
            <w:vAlign w:val="center"/>
          </w:tcPr>
          <w:p w14:paraId="61A62E40">
            <w:pPr>
              <w:jc w:val="center"/>
              <w:rPr>
                <w:b/>
                <w:bCs/>
                <w:color w:val="auto"/>
                <w:szCs w:val="21"/>
                <w:highlight w:val="none"/>
              </w:rPr>
            </w:pPr>
            <w:r>
              <w:rPr>
                <w:b/>
                <w:bCs/>
                <w:color w:val="auto"/>
                <w:szCs w:val="21"/>
                <w:highlight w:val="none"/>
              </w:rPr>
              <w:t>排放口（编号、</w:t>
            </w:r>
          </w:p>
          <w:p w14:paraId="01D7F362">
            <w:pPr>
              <w:jc w:val="center"/>
              <w:rPr>
                <w:b/>
                <w:bCs/>
                <w:color w:val="auto"/>
                <w:szCs w:val="21"/>
                <w:highlight w:val="none"/>
              </w:rPr>
            </w:pPr>
            <w:r>
              <w:rPr>
                <w:b/>
                <w:bCs/>
                <w:color w:val="auto"/>
                <w:szCs w:val="21"/>
                <w:highlight w:val="none"/>
              </w:rPr>
              <w:t>名称）/污染源</w:t>
            </w:r>
          </w:p>
        </w:tc>
        <w:tc>
          <w:tcPr>
            <w:tcW w:w="1500" w:type="dxa"/>
            <w:noWrap w:val="0"/>
            <w:vAlign w:val="center"/>
          </w:tcPr>
          <w:p w14:paraId="6742ED76">
            <w:pPr>
              <w:jc w:val="center"/>
              <w:rPr>
                <w:b/>
                <w:bCs/>
                <w:color w:val="auto"/>
                <w:szCs w:val="21"/>
                <w:highlight w:val="none"/>
              </w:rPr>
            </w:pPr>
            <w:r>
              <w:rPr>
                <w:b/>
                <w:bCs/>
                <w:color w:val="auto"/>
                <w:szCs w:val="21"/>
                <w:highlight w:val="none"/>
              </w:rPr>
              <w:t>污染物项目</w:t>
            </w:r>
          </w:p>
        </w:tc>
        <w:tc>
          <w:tcPr>
            <w:tcW w:w="2095" w:type="dxa"/>
            <w:noWrap w:val="0"/>
            <w:vAlign w:val="center"/>
          </w:tcPr>
          <w:p w14:paraId="0E9AB65E">
            <w:pPr>
              <w:jc w:val="center"/>
              <w:rPr>
                <w:b/>
                <w:bCs/>
                <w:color w:val="auto"/>
                <w:szCs w:val="21"/>
                <w:highlight w:val="none"/>
              </w:rPr>
            </w:pPr>
            <w:r>
              <w:rPr>
                <w:b/>
                <w:bCs/>
                <w:color w:val="auto"/>
                <w:szCs w:val="21"/>
                <w:highlight w:val="none"/>
              </w:rPr>
              <w:t>环境保护措施</w:t>
            </w:r>
          </w:p>
        </w:tc>
        <w:tc>
          <w:tcPr>
            <w:tcW w:w="2207" w:type="dxa"/>
            <w:noWrap w:val="0"/>
            <w:vAlign w:val="center"/>
          </w:tcPr>
          <w:p w14:paraId="5EE55871">
            <w:pPr>
              <w:jc w:val="center"/>
              <w:rPr>
                <w:b/>
                <w:bCs/>
                <w:color w:val="auto"/>
                <w:szCs w:val="21"/>
                <w:highlight w:val="none"/>
              </w:rPr>
            </w:pPr>
            <w:r>
              <w:rPr>
                <w:b/>
                <w:bCs/>
                <w:color w:val="auto"/>
                <w:szCs w:val="21"/>
                <w:highlight w:val="none"/>
              </w:rPr>
              <w:t>执行标准</w:t>
            </w:r>
          </w:p>
        </w:tc>
      </w:tr>
      <w:tr w14:paraId="57B96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507" w:type="dxa"/>
            <w:vMerge w:val="restart"/>
            <w:noWrap w:val="0"/>
            <w:vAlign w:val="center"/>
          </w:tcPr>
          <w:p w14:paraId="75C3C87B">
            <w:pPr>
              <w:jc w:val="center"/>
              <w:rPr>
                <w:color w:val="auto"/>
                <w:szCs w:val="21"/>
                <w:highlight w:val="none"/>
              </w:rPr>
            </w:pPr>
            <w:r>
              <w:rPr>
                <w:color w:val="auto"/>
                <w:szCs w:val="21"/>
                <w:highlight w:val="none"/>
              </w:rPr>
              <w:t>大气环境</w:t>
            </w:r>
          </w:p>
        </w:tc>
        <w:tc>
          <w:tcPr>
            <w:tcW w:w="1491" w:type="dxa"/>
            <w:noWrap w:val="0"/>
            <w:vAlign w:val="center"/>
          </w:tcPr>
          <w:p w14:paraId="14351CA7">
            <w:pPr>
              <w:jc w:val="center"/>
              <w:rPr>
                <w:rFonts w:hint="default" w:eastAsia="宋体"/>
                <w:color w:val="auto"/>
                <w:szCs w:val="21"/>
                <w:highlight w:val="none"/>
                <w:lang w:val="en-US" w:eastAsia="zh-CN"/>
              </w:rPr>
            </w:pPr>
            <w:r>
              <w:rPr>
                <w:rFonts w:hint="eastAsia"/>
                <w:color w:val="auto"/>
                <w:szCs w:val="21"/>
                <w:highlight w:val="none"/>
                <w:lang w:val="en-US" w:eastAsia="zh-CN"/>
              </w:rPr>
              <w:t>上料粉尘</w:t>
            </w:r>
          </w:p>
        </w:tc>
        <w:tc>
          <w:tcPr>
            <w:tcW w:w="1500" w:type="dxa"/>
            <w:noWrap w:val="0"/>
            <w:vAlign w:val="center"/>
          </w:tcPr>
          <w:p w14:paraId="67063638">
            <w:pPr>
              <w:jc w:val="center"/>
              <w:rPr>
                <w:rFonts w:hint="eastAsia" w:eastAsia="宋体"/>
                <w:color w:val="auto"/>
                <w:szCs w:val="21"/>
                <w:highlight w:val="none"/>
                <w:lang w:val="en-US" w:eastAsia="zh-CN"/>
              </w:rPr>
            </w:pPr>
            <w:r>
              <w:rPr>
                <w:rFonts w:hint="eastAsia"/>
                <w:color w:val="auto"/>
                <w:szCs w:val="21"/>
                <w:highlight w:val="none"/>
                <w:lang w:val="en-US" w:eastAsia="zh-CN"/>
              </w:rPr>
              <w:t>颗粒物</w:t>
            </w:r>
          </w:p>
        </w:tc>
        <w:tc>
          <w:tcPr>
            <w:tcW w:w="2095" w:type="dxa"/>
            <w:noWrap w:val="0"/>
            <w:vAlign w:val="center"/>
          </w:tcPr>
          <w:p w14:paraId="3EA1D449">
            <w:pPr>
              <w:jc w:val="center"/>
              <w:rPr>
                <w:color w:val="auto"/>
                <w:szCs w:val="21"/>
                <w:highlight w:val="none"/>
              </w:rPr>
            </w:pPr>
            <w:r>
              <w:rPr>
                <w:rFonts w:hint="eastAsia"/>
                <w:color w:val="auto"/>
                <w:szCs w:val="21"/>
                <w:highlight w:val="none"/>
              </w:rPr>
              <w:t>上料粉尘经脉冲净化器配套喇叭口收集进入脉冲净化器处理后车间无组织排放</w:t>
            </w:r>
          </w:p>
        </w:tc>
        <w:tc>
          <w:tcPr>
            <w:tcW w:w="2207" w:type="dxa"/>
            <w:noWrap w:val="0"/>
            <w:vAlign w:val="center"/>
          </w:tcPr>
          <w:p w14:paraId="3D03C1EA">
            <w:pPr>
              <w:jc w:val="center"/>
              <w:rPr>
                <w:color w:val="auto"/>
                <w:szCs w:val="21"/>
                <w:highlight w:val="none"/>
              </w:rPr>
            </w:pPr>
            <w:r>
              <w:rPr>
                <w:rFonts w:hint="eastAsia"/>
                <w:bCs/>
                <w:color w:val="auto"/>
                <w:szCs w:val="21"/>
                <w:highlight w:val="none"/>
                <w:lang w:eastAsia="zh-CN"/>
              </w:rPr>
              <w:t>《</w:t>
            </w:r>
            <w:r>
              <w:rPr>
                <w:rFonts w:hint="eastAsia"/>
                <w:bCs/>
                <w:color w:val="auto"/>
                <w:szCs w:val="21"/>
                <w:highlight w:val="none"/>
              </w:rPr>
              <w:t>大气污染物综合排放标准》（GB16297-1996）</w:t>
            </w:r>
          </w:p>
        </w:tc>
      </w:tr>
      <w:tr w14:paraId="2D37DC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07" w:type="dxa"/>
            <w:vMerge w:val="continue"/>
            <w:noWrap w:val="0"/>
            <w:vAlign w:val="center"/>
          </w:tcPr>
          <w:p w14:paraId="1F3992F3">
            <w:pPr>
              <w:jc w:val="center"/>
              <w:rPr>
                <w:color w:val="auto"/>
                <w:szCs w:val="21"/>
                <w:highlight w:val="none"/>
              </w:rPr>
            </w:pPr>
          </w:p>
        </w:tc>
        <w:tc>
          <w:tcPr>
            <w:tcW w:w="1491" w:type="dxa"/>
            <w:noWrap w:val="0"/>
            <w:vAlign w:val="center"/>
          </w:tcPr>
          <w:p w14:paraId="63B1D5B0">
            <w:pPr>
              <w:jc w:val="center"/>
              <w:rPr>
                <w:color w:val="auto"/>
                <w:szCs w:val="21"/>
                <w:highlight w:val="none"/>
              </w:rPr>
            </w:pPr>
            <w:r>
              <w:rPr>
                <w:color w:val="auto"/>
                <w:szCs w:val="21"/>
                <w:highlight w:val="none"/>
              </w:rPr>
              <w:t>有机废气排放口（DA00</w:t>
            </w:r>
            <w:r>
              <w:rPr>
                <w:rFonts w:hint="eastAsia"/>
                <w:color w:val="auto"/>
                <w:szCs w:val="21"/>
                <w:highlight w:val="none"/>
                <w:lang w:val="en-US" w:eastAsia="zh-CN"/>
              </w:rPr>
              <w:t>1</w:t>
            </w:r>
            <w:r>
              <w:rPr>
                <w:color w:val="auto"/>
                <w:szCs w:val="21"/>
                <w:highlight w:val="none"/>
              </w:rPr>
              <w:t>）</w:t>
            </w:r>
          </w:p>
        </w:tc>
        <w:tc>
          <w:tcPr>
            <w:tcW w:w="1500" w:type="dxa"/>
            <w:noWrap w:val="0"/>
            <w:vAlign w:val="center"/>
          </w:tcPr>
          <w:p w14:paraId="15C84043">
            <w:pPr>
              <w:jc w:val="center"/>
              <w:rPr>
                <w:rFonts w:hint="default" w:eastAsia="宋体"/>
                <w:color w:val="auto"/>
                <w:szCs w:val="21"/>
                <w:highlight w:val="none"/>
                <w:lang w:val="en-US" w:eastAsia="zh-CN"/>
              </w:rPr>
            </w:pPr>
            <w:r>
              <w:rPr>
                <w:color w:val="auto"/>
                <w:szCs w:val="21"/>
                <w:highlight w:val="none"/>
              </w:rPr>
              <w:t>非甲烷总烃</w:t>
            </w:r>
          </w:p>
        </w:tc>
        <w:tc>
          <w:tcPr>
            <w:tcW w:w="2095" w:type="dxa"/>
            <w:noWrap w:val="0"/>
            <w:vAlign w:val="center"/>
          </w:tcPr>
          <w:p w14:paraId="118A0E27">
            <w:pPr>
              <w:jc w:val="center"/>
              <w:rPr>
                <w:rFonts w:hint="eastAsia"/>
                <w:color w:val="auto"/>
                <w:szCs w:val="21"/>
                <w:highlight w:val="none"/>
              </w:rPr>
            </w:pPr>
            <w:r>
              <w:rPr>
                <w:rFonts w:hint="eastAsia"/>
                <w:color w:val="auto"/>
                <w:szCs w:val="21"/>
                <w:highlight w:val="none"/>
              </w:rPr>
              <w:t>有机废气由</w:t>
            </w:r>
            <w:r>
              <w:rPr>
                <w:rFonts w:hint="eastAsia"/>
                <w:color w:val="auto"/>
                <w:szCs w:val="21"/>
                <w:highlight w:val="none"/>
                <w:lang w:val="en-US" w:eastAsia="zh-CN"/>
              </w:rPr>
              <w:t>10个</w:t>
            </w:r>
            <w:r>
              <w:rPr>
                <w:rFonts w:hint="eastAsia"/>
                <w:color w:val="auto"/>
                <w:szCs w:val="21"/>
                <w:highlight w:val="none"/>
              </w:rPr>
              <w:t>集气罩收集进入</w:t>
            </w:r>
            <w:r>
              <w:rPr>
                <w:rFonts w:hint="eastAsia"/>
                <w:color w:val="auto"/>
                <w:szCs w:val="21"/>
                <w:highlight w:val="none"/>
                <w:lang w:val="en-US" w:eastAsia="zh-CN"/>
              </w:rPr>
              <w:t>二级</w:t>
            </w:r>
            <w:r>
              <w:rPr>
                <w:rFonts w:hint="eastAsia"/>
                <w:color w:val="auto"/>
                <w:szCs w:val="21"/>
                <w:highlight w:val="none"/>
              </w:rPr>
              <w:t>活性炭装置处理后通过</w:t>
            </w:r>
            <w:r>
              <w:rPr>
                <w:rFonts w:hint="eastAsia"/>
                <w:color w:val="auto"/>
                <w:szCs w:val="21"/>
                <w:highlight w:val="none"/>
                <w:lang w:val="en-US" w:eastAsia="zh-CN"/>
              </w:rPr>
              <w:t>1根</w:t>
            </w:r>
            <w:r>
              <w:rPr>
                <w:rFonts w:hint="eastAsia"/>
                <w:color w:val="auto"/>
                <w:szCs w:val="21"/>
                <w:highlight w:val="none"/>
                <w:lang w:val="en-US" w:eastAsia="zh-CN"/>
              </w:rPr>
              <w:t>18.5</w:t>
            </w:r>
            <w:r>
              <w:rPr>
                <w:rFonts w:hint="eastAsia"/>
                <w:color w:val="auto"/>
                <w:szCs w:val="21"/>
                <w:highlight w:val="none"/>
              </w:rPr>
              <w:t>m高排气筒（DA001）达标排放</w:t>
            </w:r>
          </w:p>
        </w:tc>
        <w:tc>
          <w:tcPr>
            <w:tcW w:w="2207" w:type="dxa"/>
            <w:noWrap w:val="0"/>
            <w:vAlign w:val="center"/>
          </w:tcPr>
          <w:p w14:paraId="3AA51571">
            <w:pPr>
              <w:jc w:val="center"/>
              <w:rPr>
                <w:rFonts w:hint="default" w:eastAsia="宋体"/>
                <w:bCs/>
                <w:color w:val="auto"/>
                <w:szCs w:val="21"/>
                <w:highlight w:val="none"/>
                <w:lang w:val="en-US" w:eastAsia="zh-CN"/>
              </w:rPr>
            </w:pPr>
            <w:r>
              <w:rPr>
                <w:rFonts w:hint="eastAsia"/>
                <w:bCs/>
                <w:color w:val="auto"/>
                <w:szCs w:val="21"/>
                <w:highlight w:val="none"/>
                <w:lang w:eastAsia="zh-CN"/>
              </w:rPr>
              <w:t>《</w:t>
            </w:r>
            <w:r>
              <w:rPr>
                <w:rFonts w:hint="eastAsia"/>
                <w:bCs/>
                <w:color w:val="auto"/>
                <w:szCs w:val="21"/>
                <w:highlight w:val="none"/>
              </w:rPr>
              <w:t>大气污染物综合排放标准》（GB16297-1996）</w:t>
            </w:r>
            <w:r>
              <w:rPr>
                <w:rFonts w:hint="eastAsia"/>
                <w:bCs/>
                <w:color w:val="auto"/>
                <w:szCs w:val="21"/>
                <w:highlight w:val="none"/>
                <w:lang w:val="en-US" w:eastAsia="zh-CN"/>
              </w:rPr>
              <w:t>二级标准</w:t>
            </w:r>
          </w:p>
        </w:tc>
      </w:tr>
      <w:tr w14:paraId="7AEC8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7" w:type="dxa"/>
            <w:vMerge w:val="continue"/>
            <w:noWrap w:val="0"/>
            <w:vAlign w:val="center"/>
          </w:tcPr>
          <w:p w14:paraId="6E18D277">
            <w:pPr>
              <w:jc w:val="center"/>
              <w:rPr>
                <w:color w:val="auto"/>
                <w:szCs w:val="21"/>
                <w:highlight w:val="none"/>
              </w:rPr>
            </w:pPr>
          </w:p>
        </w:tc>
        <w:tc>
          <w:tcPr>
            <w:tcW w:w="1491" w:type="dxa"/>
            <w:noWrap w:val="0"/>
            <w:vAlign w:val="center"/>
          </w:tcPr>
          <w:p w14:paraId="4B5E9E88">
            <w:pPr>
              <w:jc w:val="center"/>
              <w:rPr>
                <w:color w:val="auto"/>
                <w:szCs w:val="21"/>
                <w:highlight w:val="none"/>
              </w:rPr>
            </w:pPr>
            <w:r>
              <w:rPr>
                <w:rFonts w:hint="eastAsia"/>
                <w:color w:val="auto"/>
                <w:szCs w:val="21"/>
                <w:highlight w:val="none"/>
              </w:rPr>
              <w:t>厂房外</w:t>
            </w:r>
          </w:p>
        </w:tc>
        <w:tc>
          <w:tcPr>
            <w:tcW w:w="1500" w:type="dxa"/>
            <w:noWrap w:val="0"/>
            <w:vAlign w:val="center"/>
          </w:tcPr>
          <w:p w14:paraId="5E445116">
            <w:pPr>
              <w:jc w:val="center"/>
              <w:rPr>
                <w:color w:val="auto"/>
                <w:szCs w:val="21"/>
                <w:highlight w:val="none"/>
              </w:rPr>
            </w:pPr>
            <w:r>
              <w:rPr>
                <w:color w:val="auto"/>
                <w:szCs w:val="21"/>
                <w:highlight w:val="none"/>
              </w:rPr>
              <w:t>非甲烷总烃</w:t>
            </w:r>
          </w:p>
        </w:tc>
        <w:tc>
          <w:tcPr>
            <w:tcW w:w="2095" w:type="dxa"/>
            <w:noWrap w:val="0"/>
            <w:vAlign w:val="center"/>
          </w:tcPr>
          <w:p w14:paraId="7F86B5C8">
            <w:pPr>
              <w:jc w:val="center"/>
              <w:rPr>
                <w:color w:val="auto"/>
                <w:szCs w:val="21"/>
                <w:highlight w:val="none"/>
              </w:rPr>
            </w:pPr>
            <w:r>
              <w:rPr>
                <w:color w:val="auto"/>
                <w:szCs w:val="21"/>
                <w:highlight w:val="none"/>
              </w:rPr>
              <w:t>加强通风</w:t>
            </w:r>
          </w:p>
        </w:tc>
        <w:tc>
          <w:tcPr>
            <w:tcW w:w="2207" w:type="dxa"/>
            <w:noWrap w:val="0"/>
            <w:vAlign w:val="center"/>
          </w:tcPr>
          <w:p w14:paraId="3F507684">
            <w:pPr>
              <w:jc w:val="center"/>
              <w:rPr>
                <w:color w:val="auto"/>
                <w:szCs w:val="21"/>
                <w:highlight w:val="none"/>
              </w:rPr>
            </w:pPr>
            <w:r>
              <w:rPr>
                <w:bCs/>
                <w:color w:val="auto"/>
                <w:szCs w:val="21"/>
                <w:highlight w:val="none"/>
              </w:rPr>
              <w:t>《挥发性有机物无组织控制标准》（GB37822-2019）附录A</w:t>
            </w:r>
          </w:p>
        </w:tc>
      </w:tr>
      <w:tr w14:paraId="393C3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7" w:type="dxa"/>
            <w:vMerge w:val="continue"/>
            <w:noWrap w:val="0"/>
            <w:vAlign w:val="center"/>
          </w:tcPr>
          <w:p w14:paraId="64A95E71">
            <w:pPr>
              <w:jc w:val="center"/>
              <w:rPr>
                <w:color w:val="auto"/>
                <w:szCs w:val="21"/>
                <w:highlight w:val="none"/>
              </w:rPr>
            </w:pPr>
          </w:p>
        </w:tc>
        <w:tc>
          <w:tcPr>
            <w:tcW w:w="1491" w:type="dxa"/>
            <w:vMerge w:val="restart"/>
            <w:noWrap w:val="0"/>
            <w:vAlign w:val="center"/>
          </w:tcPr>
          <w:p w14:paraId="60DBE7FB">
            <w:pPr>
              <w:jc w:val="center"/>
              <w:rPr>
                <w:color w:val="auto"/>
                <w:szCs w:val="21"/>
                <w:highlight w:val="none"/>
              </w:rPr>
            </w:pPr>
            <w:r>
              <w:rPr>
                <w:color w:val="auto"/>
                <w:szCs w:val="21"/>
                <w:highlight w:val="none"/>
              </w:rPr>
              <w:t>厂界</w:t>
            </w:r>
          </w:p>
        </w:tc>
        <w:tc>
          <w:tcPr>
            <w:tcW w:w="1500" w:type="dxa"/>
            <w:noWrap w:val="0"/>
            <w:vAlign w:val="center"/>
          </w:tcPr>
          <w:p w14:paraId="1485D83C">
            <w:pPr>
              <w:jc w:val="center"/>
              <w:rPr>
                <w:color w:val="auto"/>
                <w:szCs w:val="21"/>
                <w:highlight w:val="none"/>
              </w:rPr>
            </w:pPr>
            <w:r>
              <w:rPr>
                <w:rFonts w:hint="eastAsia"/>
                <w:color w:val="auto"/>
                <w:szCs w:val="21"/>
                <w:highlight w:val="none"/>
                <w:lang w:val="en-US" w:eastAsia="zh-CN"/>
              </w:rPr>
              <w:t>颗粒物</w:t>
            </w:r>
          </w:p>
        </w:tc>
        <w:tc>
          <w:tcPr>
            <w:tcW w:w="2095" w:type="dxa"/>
            <w:noWrap w:val="0"/>
            <w:vAlign w:val="center"/>
          </w:tcPr>
          <w:p w14:paraId="3F456A4A">
            <w:pPr>
              <w:jc w:val="center"/>
              <w:rPr>
                <w:color w:val="auto"/>
                <w:szCs w:val="21"/>
                <w:highlight w:val="none"/>
              </w:rPr>
            </w:pPr>
            <w:r>
              <w:rPr>
                <w:color w:val="auto"/>
                <w:szCs w:val="21"/>
                <w:highlight w:val="none"/>
              </w:rPr>
              <w:t>/</w:t>
            </w:r>
          </w:p>
        </w:tc>
        <w:tc>
          <w:tcPr>
            <w:tcW w:w="2207" w:type="dxa"/>
            <w:noWrap w:val="0"/>
            <w:vAlign w:val="center"/>
          </w:tcPr>
          <w:p w14:paraId="0669AC64">
            <w:pPr>
              <w:jc w:val="center"/>
              <w:rPr>
                <w:color w:val="auto"/>
                <w:szCs w:val="21"/>
                <w:highlight w:val="none"/>
              </w:rPr>
            </w:pPr>
            <w:r>
              <w:rPr>
                <w:rFonts w:hint="eastAsia"/>
                <w:bCs/>
                <w:color w:val="auto"/>
                <w:szCs w:val="21"/>
                <w:highlight w:val="none"/>
                <w:lang w:eastAsia="zh-CN"/>
              </w:rPr>
              <w:t>《</w:t>
            </w:r>
            <w:r>
              <w:rPr>
                <w:rFonts w:hint="eastAsia"/>
                <w:bCs/>
                <w:color w:val="auto"/>
                <w:szCs w:val="21"/>
                <w:highlight w:val="none"/>
              </w:rPr>
              <w:t>大气污染物综合排放标准》（GB16297-1996）</w:t>
            </w:r>
          </w:p>
        </w:tc>
      </w:tr>
      <w:tr w14:paraId="49E95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7" w:type="dxa"/>
            <w:vMerge w:val="continue"/>
            <w:noWrap w:val="0"/>
            <w:vAlign w:val="center"/>
          </w:tcPr>
          <w:p w14:paraId="7399A28F">
            <w:pPr>
              <w:jc w:val="center"/>
              <w:rPr>
                <w:color w:val="auto"/>
                <w:szCs w:val="21"/>
                <w:highlight w:val="none"/>
              </w:rPr>
            </w:pPr>
          </w:p>
        </w:tc>
        <w:tc>
          <w:tcPr>
            <w:tcW w:w="1491" w:type="dxa"/>
            <w:vMerge w:val="continue"/>
            <w:noWrap w:val="0"/>
            <w:vAlign w:val="center"/>
          </w:tcPr>
          <w:p w14:paraId="3BE96223">
            <w:pPr>
              <w:jc w:val="center"/>
              <w:rPr>
                <w:color w:val="auto"/>
                <w:szCs w:val="21"/>
                <w:highlight w:val="none"/>
              </w:rPr>
            </w:pPr>
          </w:p>
        </w:tc>
        <w:tc>
          <w:tcPr>
            <w:tcW w:w="1500" w:type="dxa"/>
            <w:noWrap w:val="0"/>
            <w:vAlign w:val="center"/>
          </w:tcPr>
          <w:p w14:paraId="3DFD6612">
            <w:pPr>
              <w:jc w:val="center"/>
              <w:rPr>
                <w:color w:val="auto"/>
                <w:szCs w:val="21"/>
                <w:highlight w:val="none"/>
              </w:rPr>
            </w:pPr>
            <w:r>
              <w:rPr>
                <w:color w:val="auto"/>
                <w:szCs w:val="21"/>
                <w:highlight w:val="none"/>
              </w:rPr>
              <w:t>非甲烷总烃</w:t>
            </w:r>
          </w:p>
        </w:tc>
        <w:tc>
          <w:tcPr>
            <w:tcW w:w="2095" w:type="dxa"/>
            <w:noWrap w:val="0"/>
            <w:vAlign w:val="center"/>
          </w:tcPr>
          <w:p w14:paraId="4AA36DFE">
            <w:pPr>
              <w:jc w:val="center"/>
              <w:rPr>
                <w:color w:val="auto"/>
                <w:szCs w:val="21"/>
                <w:highlight w:val="none"/>
              </w:rPr>
            </w:pPr>
            <w:r>
              <w:rPr>
                <w:rFonts w:hint="eastAsia"/>
                <w:color w:val="auto"/>
                <w:szCs w:val="21"/>
                <w:highlight w:val="none"/>
              </w:rPr>
              <w:t>/</w:t>
            </w:r>
          </w:p>
        </w:tc>
        <w:tc>
          <w:tcPr>
            <w:tcW w:w="2207" w:type="dxa"/>
            <w:noWrap w:val="0"/>
            <w:vAlign w:val="center"/>
          </w:tcPr>
          <w:p w14:paraId="7631A466">
            <w:pPr>
              <w:jc w:val="center"/>
              <w:rPr>
                <w:color w:val="auto"/>
                <w:szCs w:val="21"/>
                <w:highlight w:val="none"/>
              </w:rPr>
            </w:pPr>
            <w:r>
              <w:rPr>
                <w:rFonts w:hint="eastAsia"/>
                <w:bCs/>
                <w:color w:val="auto"/>
                <w:szCs w:val="21"/>
                <w:highlight w:val="none"/>
                <w:lang w:eastAsia="zh-CN"/>
              </w:rPr>
              <w:t>《</w:t>
            </w:r>
            <w:r>
              <w:rPr>
                <w:rFonts w:hint="eastAsia"/>
                <w:bCs/>
                <w:color w:val="auto"/>
                <w:szCs w:val="21"/>
                <w:highlight w:val="none"/>
              </w:rPr>
              <w:t>大气污染物综合排放标准》（GB16297-1996）</w:t>
            </w:r>
          </w:p>
        </w:tc>
      </w:tr>
      <w:tr w14:paraId="083FF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7" w:type="dxa"/>
            <w:noWrap w:val="0"/>
            <w:vAlign w:val="center"/>
          </w:tcPr>
          <w:p w14:paraId="4DAD765F">
            <w:pPr>
              <w:jc w:val="center"/>
              <w:rPr>
                <w:color w:val="auto"/>
                <w:szCs w:val="21"/>
                <w:highlight w:val="none"/>
              </w:rPr>
            </w:pPr>
            <w:r>
              <w:rPr>
                <w:color w:val="auto"/>
                <w:szCs w:val="21"/>
                <w:highlight w:val="none"/>
              </w:rPr>
              <w:t>地表水环境</w:t>
            </w:r>
          </w:p>
        </w:tc>
        <w:tc>
          <w:tcPr>
            <w:tcW w:w="1491" w:type="dxa"/>
            <w:noWrap w:val="0"/>
            <w:vAlign w:val="center"/>
          </w:tcPr>
          <w:p w14:paraId="7035E333">
            <w:pPr>
              <w:jc w:val="center"/>
              <w:rPr>
                <w:color w:val="auto"/>
                <w:szCs w:val="21"/>
                <w:highlight w:val="none"/>
              </w:rPr>
            </w:pPr>
            <w:r>
              <w:rPr>
                <w:rFonts w:hint="eastAsia"/>
                <w:color w:val="auto"/>
                <w:szCs w:val="21"/>
                <w:highlight w:val="none"/>
              </w:rPr>
              <w:t>厂区总排口</w:t>
            </w:r>
          </w:p>
        </w:tc>
        <w:tc>
          <w:tcPr>
            <w:tcW w:w="1500" w:type="dxa"/>
            <w:noWrap w:val="0"/>
            <w:vAlign w:val="center"/>
          </w:tcPr>
          <w:p w14:paraId="40FD091F">
            <w:pPr>
              <w:jc w:val="center"/>
              <w:rPr>
                <w:color w:val="auto"/>
                <w:szCs w:val="21"/>
                <w:highlight w:val="none"/>
              </w:rPr>
            </w:pPr>
            <w:r>
              <w:rPr>
                <w:color w:val="auto"/>
                <w:szCs w:val="21"/>
                <w:highlight w:val="none"/>
              </w:rPr>
              <w:t>COD、SS、BOD</w:t>
            </w:r>
            <w:r>
              <w:rPr>
                <w:color w:val="auto"/>
                <w:szCs w:val="21"/>
                <w:highlight w:val="none"/>
                <w:vertAlign w:val="subscript"/>
              </w:rPr>
              <w:t>5</w:t>
            </w:r>
            <w:r>
              <w:rPr>
                <w:color w:val="auto"/>
                <w:szCs w:val="21"/>
                <w:highlight w:val="none"/>
              </w:rPr>
              <w:t>、氨氮、TP、总氮</w:t>
            </w:r>
          </w:p>
        </w:tc>
        <w:tc>
          <w:tcPr>
            <w:tcW w:w="2095" w:type="dxa"/>
            <w:noWrap w:val="0"/>
            <w:vAlign w:val="center"/>
          </w:tcPr>
          <w:p w14:paraId="61D592A0">
            <w:pPr>
              <w:jc w:val="center"/>
              <w:rPr>
                <w:rFonts w:hint="eastAsia" w:eastAsia="宋体"/>
                <w:color w:val="auto"/>
                <w:szCs w:val="21"/>
                <w:highlight w:val="none"/>
                <w:lang w:eastAsia="zh-CN"/>
              </w:rPr>
            </w:pPr>
            <w:r>
              <w:rPr>
                <w:color w:val="auto"/>
                <w:szCs w:val="21"/>
                <w:highlight w:val="none"/>
              </w:rPr>
              <w:t>化粪池</w:t>
            </w:r>
            <w:r>
              <w:rPr>
                <w:rFonts w:hint="eastAsia"/>
                <w:color w:val="auto"/>
                <w:szCs w:val="21"/>
                <w:highlight w:val="none"/>
                <w:lang w:eastAsia="zh-CN"/>
              </w:rPr>
              <w:t>（</w:t>
            </w:r>
            <w:r>
              <w:rPr>
                <w:rFonts w:hint="eastAsia"/>
                <w:color w:val="auto"/>
                <w:szCs w:val="21"/>
                <w:highlight w:val="none"/>
                <w:lang w:val="en-US" w:eastAsia="zh-CN"/>
              </w:rPr>
              <w:t>依托现有</w:t>
            </w:r>
            <w:r>
              <w:rPr>
                <w:rFonts w:hint="eastAsia"/>
                <w:color w:val="auto"/>
                <w:szCs w:val="21"/>
                <w:highlight w:val="none"/>
                <w:lang w:eastAsia="zh-CN"/>
              </w:rPr>
              <w:t>）</w:t>
            </w:r>
          </w:p>
        </w:tc>
        <w:tc>
          <w:tcPr>
            <w:tcW w:w="2207" w:type="dxa"/>
            <w:noWrap w:val="0"/>
            <w:vAlign w:val="center"/>
          </w:tcPr>
          <w:p w14:paraId="7C40EDC0">
            <w:pPr>
              <w:jc w:val="center"/>
              <w:rPr>
                <w:color w:val="auto"/>
                <w:szCs w:val="21"/>
                <w:highlight w:val="none"/>
              </w:rPr>
            </w:pPr>
            <w:r>
              <w:rPr>
                <w:color w:val="auto"/>
                <w:szCs w:val="21"/>
                <w:highlight w:val="none"/>
              </w:rPr>
              <w:t>《污水综合排放标准》（GB8978-1996）三级标准及《污水排入城镇下水道水质标准》（GB/T 31962-2015）表1中</w:t>
            </w:r>
            <w:r>
              <w:rPr>
                <w:rFonts w:hint="eastAsia"/>
                <w:color w:val="auto"/>
                <w:szCs w:val="21"/>
                <w:highlight w:val="none"/>
                <w:lang w:val="en-US" w:eastAsia="zh-CN"/>
              </w:rPr>
              <w:t>A</w:t>
            </w:r>
            <w:r>
              <w:rPr>
                <w:color w:val="auto"/>
                <w:szCs w:val="21"/>
                <w:highlight w:val="none"/>
              </w:rPr>
              <w:t>级标准</w:t>
            </w:r>
          </w:p>
        </w:tc>
      </w:tr>
      <w:tr w14:paraId="312ED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507" w:type="dxa"/>
            <w:noWrap w:val="0"/>
            <w:vAlign w:val="center"/>
          </w:tcPr>
          <w:p w14:paraId="414D2892">
            <w:pPr>
              <w:jc w:val="center"/>
              <w:rPr>
                <w:color w:val="auto"/>
                <w:szCs w:val="21"/>
                <w:highlight w:val="none"/>
              </w:rPr>
            </w:pPr>
            <w:r>
              <w:rPr>
                <w:color w:val="auto"/>
                <w:szCs w:val="21"/>
                <w:highlight w:val="none"/>
              </w:rPr>
              <w:t>声环境</w:t>
            </w:r>
          </w:p>
        </w:tc>
        <w:tc>
          <w:tcPr>
            <w:tcW w:w="1491" w:type="dxa"/>
            <w:noWrap w:val="0"/>
            <w:vAlign w:val="center"/>
          </w:tcPr>
          <w:p w14:paraId="0B8DCE1B">
            <w:pPr>
              <w:jc w:val="center"/>
              <w:rPr>
                <w:color w:val="auto"/>
                <w:szCs w:val="21"/>
                <w:highlight w:val="none"/>
              </w:rPr>
            </w:pPr>
            <w:r>
              <w:rPr>
                <w:color w:val="auto"/>
                <w:szCs w:val="21"/>
                <w:highlight w:val="none"/>
              </w:rPr>
              <w:t>设备噪声</w:t>
            </w:r>
          </w:p>
        </w:tc>
        <w:tc>
          <w:tcPr>
            <w:tcW w:w="1500" w:type="dxa"/>
            <w:noWrap w:val="0"/>
            <w:vAlign w:val="center"/>
          </w:tcPr>
          <w:p w14:paraId="582BD84A">
            <w:pPr>
              <w:jc w:val="center"/>
              <w:rPr>
                <w:color w:val="auto"/>
                <w:szCs w:val="21"/>
                <w:highlight w:val="none"/>
              </w:rPr>
            </w:pPr>
            <w:r>
              <w:rPr>
                <w:color w:val="auto"/>
                <w:szCs w:val="21"/>
                <w:highlight w:val="none"/>
              </w:rPr>
              <w:t>等效连续A声级</w:t>
            </w:r>
          </w:p>
        </w:tc>
        <w:tc>
          <w:tcPr>
            <w:tcW w:w="2095" w:type="dxa"/>
            <w:noWrap w:val="0"/>
            <w:vAlign w:val="center"/>
          </w:tcPr>
          <w:p w14:paraId="0B1BCA96">
            <w:pPr>
              <w:jc w:val="center"/>
              <w:rPr>
                <w:color w:val="auto"/>
                <w:szCs w:val="21"/>
                <w:highlight w:val="none"/>
              </w:rPr>
            </w:pPr>
            <w:r>
              <w:rPr>
                <w:rFonts w:hint="eastAsia"/>
                <w:color w:val="auto"/>
                <w:szCs w:val="21"/>
                <w:highlight w:val="none"/>
              </w:rPr>
              <w:t>选用低噪声设备，建筑物隔声屏蔽及合理布局；</w:t>
            </w:r>
            <w:r>
              <w:rPr>
                <w:rFonts w:hint="eastAsia"/>
                <w:color w:val="auto"/>
                <w:szCs w:val="21"/>
                <w:highlight w:val="none"/>
                <w:lang w:val="en-US" w:eastAsia="zh-CN"/>
              </w:rPr>
              <w:t>本项目设备</w:t>
            </w:r>
            <w:r>
              <w:rPr>
                <w:rFonts w:hint="eastAsia"/>
                <w:color w:val="auto"/>
                <w:szCs w:val="21"/>
                <w:highlight w:val="none"/>
              </w:rPr>
              <w:t>均位于厂房内，采用基础减振降噪措施，有机废气处理装置配套风机加设隔声罩；空压机位于厂房内，采用基础减振加消声器降噪措施</w:t>
            </w:r>
          </w:p>
        </w:tc>
        <w:tc>
          <w:tcPr>
            <w:tcW w:w="2207" w:type="dxa"/>
            <w:noWrap w:val="0"/>
            <w:vAlign w:val="center"/>
          </w:tcPr>
          <w:p w14:paraId="3A3D38AB">
            <w:pPr>
              <w:jc w:val="center"/>
              <w:rPr>
                <w:rFonts w:hint="eastAsia"/>
                <w:color w:val="auto"/>
                <w:szCs w:val="21"/>
                <w:highlight w:val="none"/>
              </w:rPr>
            </w:pPr>
            <w:r>
              <w:rPr>
                <w:rFonts w:hint="eastAsia"/>
                <w:color w:val="auto"/>
                <w:szCs w:val="21"/>
                <w:highlight w:val="none"/>
              </w:rPr>
              <w:t>厂界执行</w:t>
            </w:r>
            <w:r>
              <w:rPr>
                <w:color w:val="auto"/>
                <w:szCs w:val="21"/>
                <w:highlight w:val="none"/>
              </w:rPr>
              <w:t>《工业企业厂界环境噪声排放标准》（GB12348-2008）</w:t>
            </w:r>
            <w:r>
              <w:rPr>
                <w:rFonts w:hint="eastAsia"/>
                <w:color w:val="auto"/>
                <w:szCs w:val="21"/>
                <w:highlight w:val="none"/>
                <w:lang w:val="en-US" w:eastAsia="zh-CN"/>
              </w:rPr>
              <w:t>3</w:t>
            </w:r>
            <w:r>
              <w:rPr>
                <w:color w:val="auto"/>
                <w:szCs w:val="21"/>
                <w:highlight w:val="none"/>
              </w:rPr>
              <w:t>类标准</w:t>
            </w:r>
          </w:p>
        </w:tc>
      </w:tr>
      <w:tr w14:paraId="69DDC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507" w:type="dxa"/>
            <w:noWrap w:val="0"/>
            <w:vAlign w:val="center"/>
          </w:tcPr>
          <w:p w14:paraId="5D822A59">
            <w:pPr>
              <w:jc w:val="center"/>
              <w:rPr>
                <w:color w:val="auto"/>
                <w:szCs w:val="21"/>
                <w:highlight w:val="none"/>
              </w:rPr>
            </w:pPr>
            <w:r>
              <w:rPr>
                <w:color w:val="auto"/>
                <w:szCs w:val="21"/>
                <w:highlight w:val="none"/>
              </w:rPr>
              <w:t>电磁辐射</w:t>
            </w:r>
          </w:p>
        </w:tc>
        <w:tc>
          <w:tcPr>
            <w:tcW w:w="7293" w:type="dxa"/>
            <w:gridSpan w:val="4"/>
            <w:noWrap w:val="0"/>
            <w:vAlign w:val="center"/>
          </w:tcPr>
          <w:p w14:paraId="1F643781">
            <w:pPr>
              <w:jc w:val="center"/>
              <w:rPr>
                <w:color w:val="auto"/>
                <w:szCs w:val="21"/>
                <w:highlight w:val="none"/>
              </w:rPr>
            </w:pPr>
            <w:r>
              <w:rPr>
                <w:color w:val="auto"/>
                <w:szCs w:val="21"/>
                <w:highlight w:val="none"/>
              </w:rPr>
              <w:t>/</w:t>
            </w:r>
          </w:p>
        </w:tc>
      </w:tr>
      <w:tr w14:paraId="2A853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restart"/>
            <w:noWrap w:val="0"/>
            <w:vAlign w:val="center"/>
          </w:tcPr>
          <w:p w14:paraId="57D60BE7">
            <w:pPr>
              <w:jc w:val="center"/>
              <w:rPr>
                <w:color w:val="auto"/>
                <w:szCs w:val="21"/>
                <w:highlight w:val="none"/>
              </w:rPr>
            </w:pPr>
            <w:r>
              <w:rPr>
                <w:color w:val="auto"/>
                <w:szCs w:val="21"/>
                <w:highlight w:val="none"/>
              </w:rPr>
              <w:t>固体废物</w:t>
            </w:r>
          </w:p>
        </w:tc>
        <w:tc>
          <w:tcPr>
            <w:tcW w:w="1491" w:type="dxa"/>
            <w:noWrap w:val="0"/>
            <w:vAlign w:val="center"/>
          </w:tcPr>
          <w:p w14:paraId="5AD34683">
            <w:pPr>
              <w:jc w:val="center"/>
              <w:rPr>
                <w:rFonts w:hint="default" w:eastAsia="宋体"/>
                <w:color w:val="auto"/>
                <w:szCs w:val="21"/>
                <w:highlight w:val="none"/>
                <w:lang w:val="en-US" w:eastAsia="zh-CN"/>
              </w:rPr>
            </w:pPr>
            <w:r>
              <w:rPr>
                <w:rFonts w:hint="eastAsia"/>
                <w:color w:val="auto"/>
                <w:szCs w:val="21"/>
                <w:highlight w:val="none"/>
                <w:lang w:val="en-US" w:eastAsia="zh-CN"/>
              </w:rPr>
              <w:t>生活垃圾</w:t>
            </w:r>
          </w:p>
        </w:tc>
        <w:tc>
          <w:tcPr>
            <w:tcW w:w="5802" w:type="dxa"/>
            <w:gridSpan w:val="3"/>
            <w:noWrap w:val="0"/>
            <w:vAlign w:val="center"/>
          </w:tcPr>
          <w:p w14:paraId="1D247718">
            <w:pPr>
              <w:jc w:val="both"/>
              <w:rPr>
                <w:rFonts w:hint="eastAsia" w:eastAsia="宋体"/>
                <w:color w:val="auto"/>
                <w:szCs w:val="21"/>
                <w:highlight w:val="none"/>
                <w:lang w:eastAsia="zh-CN"/>
              </w:rPr>
            </w:pPr>
            <w:r>
              <w:rPr>
                <w:rFonts w:hint="eastAsia"/>
                <w:color w:val="auto"/>
                <w:szCs w:val="21"/>
                <w:highlight w:val="none"/>
              </w:rPr>
              <w:t>采用分类垃圾桶对生活垃圾进行分类收集，日产日清，由市政环卫部门定期清运</w:t>
            </w:r>
            <w:r>
              <w:rPr>
                <w:rFonts w:hint="eastAsia"/>
                <w:color w:val="auto"/>
                <w:szCs w:val="21"/>
                <w:highlight w:val="none"/>
                <w:lang w:eastAsia="zh-CN"/>
              </w:rPr>
              <w:t>。</w:t>
            </w:r>
          </w:p>
        </w:tc>
      </w:tr>
      <w:tr w14:paraId="12210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4A6F415A">
            <w:pPr>
              <w:rPr>
                <w:color w:val="auto"/>
                <w:highlight w:val="none"/>
              </w:rPr>
            </w:pPr>
          </w:p>
        </w:tc>
        <w:tc>
          <w:tcPr>
            <w:tcW w:w="1491" w:type="dxa"/>
            <w:vMerge w:val="restart"/>
            <w:shd w:val="clear" w:color="auto" w:fill="auto"/>
            <w:noWrap w:val="0"/>
            <w:vAlign w:val="center"/>
          </w:tcPr>
          <w:p w14:paraId="3549D205">
            <w:pPr>
              <w:jc w:val="center"/>
              <w:rPr>
                <w:color w:val="auto"/>
                <w:highlight w:val="none"/>
              </w:rPr>
            </w:pPr>
            <w:r>
              <w:rPr>
                <w:color w:val="auto"/>
                <w:highlight w:val="none"/>
              </w:rPr>
              <w:t>一般工业</w:t>
            </w:r>
          </w:p>
          <w:p w14:paraId="6AF8CBF9">
            <w:pPr>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固体废物</w:t>
            </w:r>
          </w:p>
        </w:tc>
        <w:tc>
          <w:tcPr>
            <w:tcW w:w="1500" w:type="dxa"/>
            <w:noWrap w:val="0"/>
            <w:vAlign w:val="center"/>
          </w:tcPr>
          <w:p w14:paraId="2A6245D4">
            <w:pPr>
              <w:jc w:val="center"/>
              <w:rPr>
                <w:color w:val="auto"/>
                <w:highlight w:val="none"/>
              </w:rPr>
            </w:pPr>
            <w:r>
              <w:rPr>
                <w:rFonts w:hint="eastAsia"/>
                <w:color w:val="auto"/>
                <w:szCs w:val="21"/>
                <w:highlight w:val="none"/>
              </w:rPr>
              <w:t>除尘灰</w:t>
            </w:r>
          </w:p>
        </w:tc>
        <w:tc>
          <w:tcPr>
            <w:tcW w:w="4302" w:type="dxa"/>
            <w:gridSpan w:val="2"/>
            <w:noWrap w:val="0"/>
            <w:vAlign w:val="center"/>
          </w:tcPr>
          <w:p w14:paraId="4D6FC0E3">
            <w:pPr>
              <w:jc w:val="both"/>
              <w:rPr>
                <w:color w:val="auto"/>
                <w:szCs w:val="21"/>
                <w:highlight w:val="none"/>
              </w:rPr>
            </w:pPr>
            <w:r>
              <w:rPr>
                <w:rFonts w:hint="eastAsia"/>
                <w:color w:val="auto"/>
                <w:szCs w:val="21"/>
                <w:highlight w:val="none"/>
              </w:rPr>
              <w:t>定期回收综合利用</w:t>
            </w:r>
          </w:p>
        </w:tc>
      </w:tr>
      <w:tr w14:paraId="57C98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3108060D">
            <w:pPr>
              <w:rPr>
                <w:color w:val="auto"/>
                <w:highlight w:val="none"/>
              </w:rPr>
            </w:pPr>
          </w:p>
        </w:tc>
        <w:tc>
          <w:tcPr>
            <w:tcW w:w="1491" w:type="dxa"/>
            <w:vMerge w:val="continue"/>
            <w:shd w:val="clear" w:color="auto" w:fill="auto"/>
            <w:noWrap w:val="0"/>
            <w:vAlign w:val="center"/>
          </w:tcPr>
          <w:p w14:paraId="611FF86F">
            <w:pPr>
              <w:jc w:val="center"/>
              <w:rPr>
                <w:color w:val="auto"/>
                <w:highlight w:val="none"/>
              </w:rPr>
            </w:pPr>
          </w:p>
        </w:tc>
        <w:tc>
          <w:tcPr>
            <w:tcW w:w="1500" w:type="dxa"/>
            <w:noWrap w:val="0"/>
            <w:vAlign w:val="center"/>
          </w:tcPr>
          <w:p w14:paraId="79198103">
            <w:pPr>
              <w:jc w:val="center"/>
              <w:rPr>
                <w:color w:val="auto"/>
                <w:highlight w:val="none"/>
              </w:rPr>
            </w:pPr>
            <w:r>
              <w:rPr>
                <w:rFonts w:hint="eastAsia"/>
                <w:color w:val="auto"/>
                <w:szCs w:val="21"/>
                <w:highlight w:val="none"/>
              </w:rPr>
              <w:t>废模具</w:t>
            </w:r>
          </w:p>
        </w:tc>
        <w:tc>
          <w:tcPr>
            <w:tcW w:w="4302" w:type="dxa"/>
            <w:gridSpan w:val="2"/>
            <w:noWrap w:val="0"/>
            <w:vAlign w:val="center"/>
          </w:tcPr>
          <w:p w14:paraId="5C8F1319">
            <w:pPr>
              <w:jc w:val="both"/>
              <w:rPr>
                <w:color w:val="auto"/>
                <w:szCs w:val="21"/>
                <w:highlight w:val="none"/>
              </w:rPr>
            </w:pPr>
            <w:r>
              <w:rPr>
                <w:rFonts w:hint="eastAsia"/>
                <w:color w:val="auto"/>
                <w:szCs w:val="21"/>
                <w:highlight w:val="none"/>
              </w:rPr>
              <w:t>厂家定期回收</w:t>
            </w:r>
          </w:p>
        </w:tc>
      </w:tr>
      <w:tr w14:paraId="74F54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1E0417C6">
            <w:pPr>
              <w:rPr>
                <w:color w:val="auto"/>
                <w:highlight w:val="none"/>
              </w:rPr>
            </w:pPr>
          </w:p>
        </w:tc>
        <w:tc>
          <w:tcPr>
            <w:tcW w:w="1491" w:type="dxa"/>
            <w:vMerge w:val="continue"/>
            <w:shd w:val="clear" w:color="auto" w:fill="auto"/>
            <w:noWrap w:val="0"/>
            <w:vAlign w:val="center"/>
          </w:tcPr>
          <w:p w14:paraId="7C0E0DF2">
            <w:pPr>
              <w:jc w:val="center"/>
              <w:rPr>
                <w:color w:val="auto"/>
                <w:highlight w:val="none"/>
              </w:rPr>
            </w:pPr>
          </w:p>
        </w:tc>
        <w:tc>
          <w:tcPr>
            <w:tcW w:w="1500" w:type="dxa"/>
            <w:noWrap w:val="0"/>
            <w:vAlign w:val="center"/>
          </w:tcPr>
          <w:p w14:paraId="6666F59B">
            <w:pPr>
              <w:jc w:val="center"/>
              <w:rPr>
                <w:color w:val="auto"/>
                <w:highlight w:val="none"/>
              </w:rPr>
            </w:pPr>
            <w:r>
              <w:rPr>
                <w:rFonts w:hint="eastAsia"/>
                <w:color w:val="auto"/>
                <w:szCs w:val="21"/>
                <w:highlight w:val="none"/>
              </w:rPr>
              <w:t>废边角料</w:t>
            </w:r>
          </w:p>
        </w:tc>
        <w:tc>
          <w:tcPr>
            <w:tcW w:w="4302" w:type="dxa"/>
            <w:gridSpan w:val="2"/>
            <w:noWrap w:val="0"/>
            <w:vAlign w:val="center"/>
          </w:tcPr>
          <w:p w14:paraId="3D790B20">
            <w:pPr>
              <w:jc w:val="both"/>
              <w:rPr>
                <w:color w:val="auto"/>
                <w:szCs w:val="21"/>
                <w:highlight w:val="none"/>
              </w:rPr>
            </w:pPr>
            <w:r>
              <w:rPr>
                <w:rFonts w:hint="eastAsia"/>
                <w:color w:val="auto"/>
                <w:szCs w:val="21"/>
                <w:highlight w:val="none"/>
              </w:rPr>
              <w:t>定期外售综合利用</w:t>
            </w:r>
          </w:p>
        </w:tc>
      </w:tr>
      <w:tr w14:paraId="24AB6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03F838E3">
            <w:pPr>
              <w:rPr>
                <w:color w:val="auto"/>
                <w:highlight w:val="none"/>
              </w:rPr>
            </w:pPr>
          </w:p>
        </w:tc>
        <w:tc>
          <w:tcPr>
            <w:tcW w:w="1491" w:type="dxa"/>
            <w:vMerge w:val="continue"/>
            <w:shd w:val="clear" w:color="auto" w:fill="auto"/>
            <w:noWrap w:val="0"/>
            <w:vAlign w:val="center"/>
          </w:tcPr>
          <w:p w14:paraId="3D88AE61">
            <w:pPr>
              <w:jc w:val="center"/>
              <w:rPr>
                <w:color w:val="auto"/>
                <w:highlight w:val="none"/>
              </w:rPr>
            </w:pPr>
          </w:p>
        </w:tc>
        <w:tc>
          <w:tcPr>
            <w:tcW w:w="1500" w:type="dxa"/>
            <w:noWrap w:val="0"/>
            <w:vAlign w:val="center"/>
          </w:tcPr>
          <w:p w14:paraId="6E090E25">
            <w:pPr>
              <w:jc w:val="center"/>
              <w:rPr>
                <w:color w:val="auto"/>
                <w:highlight w:val="none"/>
              </w:rPr>
            </w:pPr>
            <w:r>
              <w:rPr>
                <w:rFonts w:hint="eastAsia"/>
                <w:color w:val="auto"/>
                <w:szCs w:val="21"/>
                <w:highlight w:val="none"/>
              </w:rPr>
              <w:t>废包装材料</w:t>
            </w:r>
          </w:p>
        </w:tc>
        <w:tc>
          <w:tcPr>
            <w:tcW w:w="4302" w:type="dxa"/>
            <w:gridSpan w:val="2"/>
            <w:noWrap w:val="0"/>
            <w:vAlign w:val="center"/>
          </w:tcPr>
          <w:p w14:paraId="76E29229">
            <w:pPr>
              <w:jc w:val="both"/>
              <w:rPr>
                <w:color w:val="auto"/>
                <w:szCs w:val="21"/>
                <w:highlight w:val="none"/>
              </w:rPr>
            </w:pPr>
            <w:r>
              <w:rPr>
                <w:rFonts w:hint="eastAsia"/>
                <w:color w:val="auto"/>
                <w:szCs w:val="21"/>
                <w:highlight w:val="none"/>
              </w:rPr>
              <w:t>定期外售综合利用</w:t>
            </w:r>
          </w:p>
        </w:tc>
      </w:tr>
      <w:tr w14:paraId="745BC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4FAB6074">
            <w:pPr>
              <w:rPr>
                <w:color w:val="auto"/>
                <w:highlight w:val="none"/>
              </w:rPr>
            </w:pPr>
          </w:p>
        </w:tc>
        <w:tc>
          <w:tcPr>
            <w:tcW w:w="1491" w:type="dxa"/>
            <w:vMerge w:val="continue"/>
            <w:shd w:val="clear" w:color="auto" w:fill="auto"/>
            <w:noWrap w:val="0"/>
            <w:vAlign w:val="center"/>
          </w:tcPr>
          <w:p w14:paraId="43F922E4">
            <w:pPr>
              <w:jc w:val="center"/>
              <w:rPr>
                <w:color w:val="auto"/>
                <w:highlight w:val="none"/>
              </w:rPr>
            </w:pPr>
          </w:p>
        </w:tc>
        <w:tc>
          <w:tcPr>
            <w:tcW w:w="1500" w:type="dxa"/>
            <w:noWrap w:val="0"/>
            <w:vAlign w:val="center"/>
          </w:tcPr>
          <w:p w14:paraId="2199C515">
            <w:pPr>
              <w:jc w:val="center"/>
              <w:rPr>
                <w:color w:val="auto"/>
                <w:highlight w:val="none"/>
              </w:rPr>
            </w:pPr>
            <w:r>
              <w:rPr>
                <w:rFonts w:hint="eastAsia"/>
                <w:color w:val="auto"/>
                <w:szCs w:val="21"/>
                <w:highlight w:val="none"/>
              </w:rPr>
              <w:t>废铝合金</w:t>
            </w:r>
          </w:p>
        </w:tc>
        <w:tc>
          <w:tcPr>
            <w:tcW w:w="4302" w:type="dxa"/>
            <w:gridSpan w:val="2"/>
            <w:noWrap w:val="0"/>
            <w:vAlign w:val="center"/>
          </w:tcPr>
          <w:p w14:paraId="1BFE029B">
            <w:pPr>
              <w:jc w:val="both"/>
              <w:rPr>
                <w:color w:val="auto"/>
                <w:szCs w:val="21"/>
                <w:highlight w:val="none"/>
              </w:rPr>
            </w:pPr>
            <w:r>
              <w:rPr>
                <w:rFonts w:hint="eastAsia"/>
                <w:color w:val="auto"/>
                <w:szCs w:val="21"/>
                <w:highlight w:val="none"/>
              </w:rPr>
              <w:t>定期外售综合利用</w:t>
            </w:r>
          </w:p>
        </w:tc>
      </w:tr>
      <w:tr w14:paraId="25CEE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6" w:hRule="atLeast"/>
          <w:jc w:val="center"/>
        </w:trPr>
        <w:tc>
          <w:tcPr>
            <w:tcW w:w="1507" w:type="dxa"/>
            <w:vMerge w:val="continue"/>
            <w:noWrap w:val="0"/>
            <w:vAlign w:val="center"/>
          </w:tcPr>
          <w:p w14:paraId="075DC7E6">
            <w:pPr>
              <w:rPr>
                <w:color w:val="auto"/>
                <w:szCs w:val="21"/>
                <w:highlight w:val="none"/>
              </w:rPr>
            </w:pPr>
          </w:p>
        </w:tc>
        <w:tc>
          <w:tcPr>
            <w:tcW w:w="1491" w:type="dxa"/>
            <w:vMerge w:val="restart"/>
            <w:shd w:val="clear" w:color="auto" w:fill="auto"/>
            <w:noWrap w:val="0"/>
            <w:vAlign w:val="center"/>
          </w:tcPr>
          <w:p w14:paraId="1976AD74">
            <w:pPr>
              <w:jc w:val="center"/>
              <w:rPr>
                <w:color w:val="auto"/>
                <w:szCs w:val="21"/>
                <w:highlight w:val="none"/>
              </w:rPr>
            </w:pPr>
            <w:r>
              <w:rPr>
                <w:color w:val="auto"/>
                <w:highlight w:val="none"/>
              </w:rPr>
              <w:t>危险废物</w:t>
            </w:r>
          </w:p>
        </w:tc>
        <w:tc>
          <w:tcPr>
            <w:tcW w:w="1500" w:type="dxa"/>
            <w:noWrap w:val="0"/>
            <w:vAlign w:val="center"/>
          </w:tcPr>
          <w:p w14:paraId="68D3134F">
            <w:pPr>
              <w:jc w:val="center"/>
              <w:rPr>
                <w:color w:val="auto"/>
                <w:szCs w:val="21"/>
                <w:highlight w:val="none"/>
              </w:rPr>
            </w:pPr>
            <w:r>
              <w:rPr>
                <w:rFonts w:hint="eastAsia"/>
                <w:color w:val="auto"/>
                <w:szCs w:val="21"/>
                <w:highlight w:val="none"/>
              </w:rPr>
              <w:t>废活性炭</w:t>
            </w:r>
          </w:p>
        </w:tc>
        <w:tc>
          <w:tcPr>
            <w:tcW w:w="4302" w:type="dxa"/>
            <w:gridSpan w:val="2"/>
            <w:vMerge w:val="restart"/>
            <w:noWrap w:val="0"/>
            <w:vAlign w:val="center"/>
          </w:tcPr>
          <w:p w14:paraId="3F1A6414">
            <w:pPr>
              <w:jc w:val="both"/>
              <w:rPr>
                <w:color w:val="auto"/>
                <w:szCs w:val="21"/>
                <w:highlight w:val="none"/>
              </w:rPr>
            </w:pPr>
            <w:r>
              <w:rPr>
                <w:rFonts w:hint="eastAsia"/>
                <w:color w:val="auto"/>
                <w:szCs w:val="21"/>
                <w:highlight w:val="none"/>
              </w:rPr>
              <w:t>定期交由有资质单位处置</w:t>
            </w:r>
          </w:p>
        </w:tc>
      </w:tr>
      <w:tr w14:paraId="1B064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63504994">
            <w:pPr>
              <w:rPr>
                <w:color w:val="auto"/>
                <w:szCs w:val="21"/>
                <w:highlight w:val="none"/>
              </w:rPr>
            </w:pPr>
          </w:p>
        </w:tc>
        <w:tc>
          <w:tcPr>
            <w:tcW w:w="1491" w:type="dxa"/>
            <w:vMerge w:val="continue"/>
            <w:shd w:val="clear" w:color="auto" w:fill="auto"/>
            <w:noWrap w:val="0"/>
            <w:vAlign w:val="center"/>
          </w:tcPr>
          <w:p w14:paraId="6A317CD9">
            <w:pPr>
              <w:jc w:val="center"/>
              <w:rPr>
                <w:color w:val="auto"/>
                <w:highlight w:val="none"/>
              </w:rPr>
            </w:pPr>
          </w:p>
        </w:tc>
        <w:tc>
          <w:tcPr>
            <w:tcW w:w="1500" w:type="dxa"/>
            <w:noWrap w:val="0"/>
            <w:vAlign w:val="center"/>
          </w:tcPr>
          <w:p w14:paraId="4B53EC9D">
            <w:pPr>
              <w:jc w:val="center"/>
              <w:rPr>
                <w:color w:val="auto"/>
                <w:szCs w:val="21"/>
                <w:highlight w:val="none"/>
              </w:rPr>
            </w:pPr>
            <w:r>
              <w:rPr>
                <w:rFonts w:hint="eastAsia"/>
                <w:color w:val="auto"/>
                <w:szCs w:val="21"/>
                <w:highlight w:val="none"/>
              </w:rPr>
              <w:t>废油桶</w:t>
            </w:r>
          </w:p>
        </w:tc>
        <w:tc>
          <w:tcPr>
            <w:tcW w:w="4302" w:type="dxa"/>
            <w:gridSpan w:val="2"/>
            <w:vMerge w:val="continue"/>
            <w:noWrap w:val="0"/>
            <w:vAlign w:val="center"/>
          </w:tcPr>
          <w:p w14:paraId="59A1D759">
            <w:pPr>
              <w:jc w:val="both"/>
              <w:rPr>
                <w:color w:val="auto"/>
                <w:szCs w:val="21"/>
                <w:highlight w:val="none"/>
              </w:rPr>
            </w:pPr>
          </w:p>
        </w:tc>
      </w:tr>
      <w:tr w14:paraId="0D499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07" w:type="dxa"/>
            <w:vMerge w:val="continue"/>
            <w:noWrap w:val="0"/>
            <w:vAlign w:val="center"/>
          </w:tcPr>
          <w:p w14:paraId="39CF53BE">
            <w:pPr>
              <w:rPr>
                <w:color w:val="auto"/>
                <w:szCs w:val="21"/>
                <w:highlight w:val="none"/>
              </w:rPr>
            </w:pPr>
          </w:p>
        </w:tc>
        <w:tc>
          <w:tcPr>
            <w:tcW w:w="1491" w:type="dxa"/>
            <w:vMerge w:val="continue"/>
            <w:noWrap w:val="0"/>
            <w:vAlign w:val="center"/>
          </w:tcPr>
          <w:p w14:paraId="04E934AC">
            <w:pPr>
              <w:jc w:val="center"/>
              <w:rPr>
                <w:color w:val="auto"/>
                <w:szCs w:val="21"/>
                <w:highlight w:val="none"/>
              </w:rPr>
            </w:pPr>
          </w:p>
        </w:tc>
        <w:tc>
          <w:tcPr>
            <w:tcW w:w="1500" w:type="dxa"/>
            <w:noWrap w:val="0"/>
            <w:vAlign w:val="center"/>
          </w:tcPr>
          <w:p w14:paraId="0FE35654">
            <w:pPr>
              <w:jc w:val="center"/>
              <w:rPr>
                <w:color w:val="auto"/>
                <w:szCs w:val="21"/>
                <w:highlight w:val="none"/>
              </w:rPr>
            </w:pPr>
            <w:r>
              <w:rPr>
                <w:rFonts w:hint="eastAsia"/>
                <w:color w:val="auto"/>
                <w:szCs w:val="21"/>
                <w:highlight w:val="none"/>
              </w:rPr>
              <w:t>废含油抹布</w:t>
            </w:r>
          </w:p>
        </w:tc>
        <w:tc>
          <w:tcPr>
            <w:tcW w:w="4302" w:type="dxa"/>
            <w:gridSpan w:val="2"/>
            <w:vMerge w:val="continue"/>
            <w:noWrap w:val="0"/>
            <w:vAlign w:val="center"/>
          </w:tcPr>
          <w:p w14:paraId="3BEEB522">
            <w:pPr>
              <w:jc w:val="both"/>
              <w:rPr>
                <w:color w:val="auto"/>
                <w:szCs w:val="21"/>
                <w:highlight w:val="none"/>
              </w:rPr>
            </w:pPr>
          </w:p>
        </w:tc>
      </w:tr>
      <w:tr w14:paraId="7E75F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7" w:type="dxa"/>
            <w:noWrap w:val="0"/>
            <w:vAlign w:val="center"/>
          </w:tcPr>
          <w:p w14:paraId="76692279">
            <w:pPr>
              <w:jc w:val="center"/>
              <w:rPr>
                <w:color w:val="auto"/>
                <w:szCs w:val="21"/>
                <w:highlight w:val="none"/>
              </w:rPr>
            </w:pPr>
            <w:r>
              <w:rPr>
                <w:color w:val="auto"/>
                <w:szCs w:val="21"/>
                <w:highlight w:val="none"/>
              </w:rPr>
              <w:t>土壤及地下水</w:t>
            </w:r>
          </w:p>
          <w:p w14:paraId="253E266C">
            <w:pPr>
              <w:jc w:val="center"/>
              <w:rPr>
                <w:color w:val="auto"/>
                <w:szCs w:val="21"/>
                <w:highlight w:val="none"/>
              </w:rPr>
            </w:pPr>
            <w:r>
              <w:rPr>
                <w:color w:val="auto"/>
                <w:szCs w:val="21"/>
                <w:highlight w:val="none"/>
              </w:rPr>
              <w:t>污染防治措施</w:t>
            </w:r>
          </w:p>
        </w:tc>
        <w:tc>
          <w:tcPr>
            <w:tcW w:w="7293" w:type="dxa"/>
            <w:gridSpan w:val="4"/>
            <w:noWrap w:val="0"/>
            <w:vAlign w:val="center"/>
          </w:tcPr>
          <w:p w14:paraId="14A40970">
            <w:pPr>
              <w:jc w:val="left"/>
              <w:rPr>
                <w:rFonts w:hint="eastAsia"/>
                <w:color w:val="auto"/>
                <w:szCs w:val="21"/>
                <w:highlight w:val="none"/>
                <w:lang w:val="en-US" w:eastAsia="zh-CN"/>
              </w:rPr>
            </w:pPr>
            <w:r>
              <w:rPr>
                <w:rFonts w:hint="eastAsia"/>
                <w:color w:val="auto"/>
                <w:szCs w:val="21"/>
                <w:highlight w:val="none"/>
                <w:lang w:val="en-US" w:eastAsia="zh-CN"/>
              </w:rPr>
              <w:t>1.源头控制：加强对原辅材料的管理，避免污染物跑、冒、滴、漏现象发生。</w:t>
            </w:r>
          </w:p>
          <w:p w14:paraId="1B7C5A3E">
            <w:pPr>
              <w:jc w:val="left"/>
              <w:rPr>
                <w:rFonts w:hint="eastAsia"/>
                <w:color w:val="auto"/>
                <w:szCs w:val="21"/>
                <w:highlight w:val="none"/>
                <w:lang w:val="en-US" w:eastAsia="zh-CN"/>
              </w:rPr>
            </w:pPr>
            <w:r>
              <w:rPr>
                <w:rFonts w:hint="eastAsia"/>
                <w:color w:val="auto"/>
                <w:szCs w:val="21"/>
                <w:highlight w:val="none"/>
                <w:lang w:val="en-US" w:eastAsia="zh-CN"/>
              </w:rPr>
              <w:t>2.分区防渗：原辅料暂存区位于库房内，企业应对其进行一般防渗或采取相关措施以达到一般防渗的效果，以防止液态原辅料泄漏导致土壤及地下水污染；其他生产区域进行简单防渗。</w:t>
            </w:r>
          </w:p>
          <w:p w14:paraId="0E7A7B84">
            <w:pPr>
              <w:jc w:val="left"/>
              <w:rPr>
                <w:rFonts w:hint="eastAsia" w:eastAsia="宋体"/>
                <w:color w:val="auto"/>
                <w:szCs w:val="21"/>
                <w:highlight w:val="none"/>
                <w:lang w:val="en-US" w:eastAsia="zh-CN"/>
              </w:rPr>
            </w:pPr>
            <w:r>
              <w:rPr>
                <w:rFonts w:hint="eastAsia"/>
                <w:color w:val="auto"/>
                <w:szCs w:val="21"/>
                <w:highlight w:val="none"/>
                <w:lang w:val="en-US" w:eastAsia="zh-CN"/>
              </w:rPr>
              <w:t>3.应急响应：发现物料泄漏，应立即将泄漏设施内的物料转移至其他包装完好的容器中；及时向生态环境部门报告，随时就应急处置工作接受监督检查。</w:t>
            </w:r>
          </w:p>
        </w:tc>
      </w:tr>
      <w:tr w14:paraId="16607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507" w:type="dxa"/>
            <w:noWrap w:val="0"/>
            <w:vAlign w:val="center"/>
          </w:tcPr>
          <w:p w14:paraId="58422D07">
            <w:pPr>
              <w:jc w:val="center"/>
              <w:rPr>
                <w:color w:val="auto"/>
                <w:szCs w:val="21"/>
                <w:highlight w:val="none"/>
              </w:rPr>
            </w:pPr>
            <w:r>
              <w:rPr>
                <w:color w:val="auto"/>
                <w:szCs w:val="21"/>
                <w:highlight w:val="none"/>
              </w:rPr>
              <w:t>生态保护措施</w:t>
            </w:r>
          </w:p>
        </w:tc>
        <w:tc>
          <w:tcPr>
            <w:tcW w:w="7293" w:type="dxa"/>
            <w:gridSpan w:val="4"/>
            <w:noWrap w:val="0"/>
            <w:vAlign w:val="center"/>
          </w:tcPr>
          <w:p w14:paraId="5184FAD3">
            <w:pPr>
              <w:jc w:val="center"/>
              <w:rPr>
                <w:color w:val="auto"/>
                <w:szCs w:val="21"/>
                <w:highlight w:val="none"/>
              </w:rPr>
            </w:pPr>
            <w:r>
              <w:rPr>
                <w:color w:val="auto"/>
                <w:szCs w:val="21"/>
                <w:highlight w:val="none"/>
              </w:rPr>
              <w:t>/</w:t>
            </w:r>
          </w:p>
        </w:tc>
      </w:tr>
      <w:tr w14:paraId="5A04F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7" w:type="dxa"/>
            <w:noWrap w:val="0"/>
            <w:vAlign w:val="center"/>
          </w:tcPr>
          <w:p w14:paraId="6BB553B0">
            <w:pPr>
              <w:jc w:val="center"/>
              <w:rPr>
                <w:color w:val="auto"/>
                <w:spacing w:val="-8"/>
                <w:szCs w:val="21"/>
                <w:highlight w:val="none"/>
              </w:rPr>
            </w:pPr>
            <w:r>
              <w:rPr>
                <w:color w:val="auto"/>
                <w:spacing w:val="-8"/>
                <w:szCs w:val="21"/>
                <w:highlight w:val="none"/>
              </w:rPr>
              <w:t>环境风险</w:t>
            </w:r>
          </w:p>
          <w:p w14:paraId="1E93FD47">
            <w:pPr>
              <w:jc w:val="center"/>
              <w:rPr>
                <w:color w:val="auto"/>
                <w:spacing w:val="-8"/>
                <w:szCs w:val="21"/>
                <w:highlight w:val="none"/>
              </w:rPr>
            </w:pPr>
            <w:r>
              <w:rPr>
                <w:color w:val="auto"/>
                <w:spacing w:val="-8"/>
                <w:szCs w:val="21"/>
                <w:highlight w:val="none"/>
              </w:rPr>
              <w:t>防范措施</w:t>
            </w:r>
          </w:p>
        </w:tc>
        <w:tc>
          <w:tcPr>
            <w:tcW w:w="7293" w:type="dxa"/>
            <w:gridSpan w:val="4"/>
            <w:noWrap w:val="0"/>
            <w:vAlign w:val="center"/>
          </w:tcPr>
          <w:p w14:paraId="17436B06">
            <w:pPr>
              <w:jc w:val="left"/>
              <w:rPr>
                <w:rFonts w:hint="eastAsia"/>
                <w:color w:val="auto"/>
                <w:szCs w:val="21"/>
                <w:highlight w:val="none"/>
                <w:lang w:val="en-US" w:eastAsia="zh-CN"/>
              </w:rPr>
            </w:pPr>
            <w:r>
              <w:rPr>
                <w:rFonts w:hint="eastAsia"/>
                <w:color w:val="auto"/>
                <w:szCs w:val="21"/>
                <w:highlight w:val="none"/>
                <w:lang w:val="en-US" w:eastAsia="zh-CN"/>
              </w:rPr>
              <w:t>1.地下水、土壤污染防治措施按照“源头控制、分区防治、应急响应”相结合的原则，从污染物的产生、入渗、扩散、应急响应全方位进行控制。</w:t>
            </w:r>
          </w:p>
          <w:p w14:paraId="46DAB32E">
            <w:pPr>
              <w:jc w:val="left"/>
              <w:rPr>
                <w:rFonts w:hint="eastAsia"/>
                <w:color w:val="auto"/>
                <w:szCs w:val="21"/>
                <w:highlight w:val="none"/>
                <w:lang w:val="en-US" w:eastAsia="zh-CN"/>
              </w:rPr>
            </w:pPr>
            <w:r>
              <w:rPr>
                <w:rFonts w:hint="eastAsia"/>
                <w:color w:val="auto"/>
                <w:szCs w:val="21"/>
                <w:highlight w:val="none"/>
                <w:lang w:val="en-US" w:eastAsia="zh-CN"/>
              </w:rPr>
              <w:t>2.分区防渗控制措施。</w:t>
            </w:r>
          </w:p>
          <w:p w14:paraId="4A997E54">
            <w:pPr>
              <w:jc w:val="left"/>
              <w:rPr>
                <w:rFonts w:hint="eastAsia"/>
                <w:color w:val="auto"/>
                <w:szCs w:val="21"/>
                <w:highlight w:val="none"/>
                <w:lang w:val="en-US" w:eastAsia="zh-CN"/>
              </w:rPr>
            </w:pPr>
            <w:r>
              <w:rPr>
                <w:rFonts w:hint="eastAsia"/>
                <w:color w:val="auto"/>
                <w:szCs w:val="21"/>
                <w:highlight w:val="none"/>
                <w:lang w:val="en-US" w:eastAsia="zh-CN"/>
              </w:rPr>
              <w:t>3.在原辅料暂存区内增设灭火装置。</w:t>
            </w:r>
          </w:p>
          <w:p w14:paraId="0733F57D">
            <w:pPr>
              <w:jc w:val="left"/>
              <w:rPr>
                <w:rFonts w:hint="eastAsia"/>
                <w:color w:val="auto"/>
                <w:szCs w:val="21"/>
                <w:highlight w:val="none"/>
                <w:lang w:val="en-US" w:eastAsia="zh-CN"/>
              </w:rPr>
            </w:pPr>
            <w:r>
              <w:rPr>
                <w:rFonts w:hint="eastAsia"/>
                <w:color w:val="auto"/>
                <w:szCs w:val="21"/>
                <w:highlight w:val="none"/>
                <w:lang w:val="en-US" w:eastAsia="zh-CN"/>
              </w:rPr>
              <w:t>4.废气处理设施故障防范措施：设置合理的巡查制度及废气处理设施运行规程，做好台账记录；②若发现废气处理设施运行不良及时上报进行维修；③加强员工安全环保意识。</w:t>
            </w:r>
          </w:p>
          <w:p w14:paraId="003A69A0">
            <w:pPr>
              <w:jc w:val="left"/>
              <w:rPr>
                <w:rFonts w:hint="eastAsia" w:eastAsia="宋体"/>
                <w:color w:val="auto"/>
                <w:szCs w:val="21"/>
                <w:highlight w:val="none"/>
                <w:lang w:val="en-US" w:eastAsia="zh-CN"/>
              </w:rPr>
            </w:pPr>
            <w:r>
              <w:rPr>
                <w:rFonts w:hint="eastAsia"/>
                <w:color w:val="auto"/>
                <w:szCs w:val="21"/>
                <w:highlight w:val="none"/>
                <w:lang w:val="en-US" w:eastAsia="zh-CN"/>
              </w:rPr>
              <w:t>5.建立企业环境安全管理制度：①建立环境污染事故预防与应急体系及报告机制。②制定相应的环境安全管理办法和实施细则，并应悬挂公示。③设专职或兼职环保员。④制定环保教育培训和定期进行环境安全检查制度。⑤加强安全生产教育。⑥建立“先培训、后上岗”“定期培训安全和环保法规、知识以及突发性事故应急处理技术”的制度。</w:t>
            </w:r>
          </w:p>
        </w:tc>
      </w:tr>
      <w:tr w14:paraId="686FE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7" w:type="dxa"/>
            <w:noWrap w:val="0"/>
            <w:vAlign w:val="center"/>
          </w:tcPr>
          <w:p w14:paraId="1E107ECD">
            <w:pPr>
              <w:jc w:val="center"/>
              <w:rPr>
                <w:color w:val="auto"/>
                <w:spacing w:val="-8"/>
                <w:szCs w:val="21"/>
                <w:highlight w:val="none"/>
              </w:rPr>
            </w:pPr>
            <w:r>
              <w:rPr>
                <w:color w:val="auto"/>
                <w:spacing w:val="-8"/>
                <w:szCs w:val="21"/>
                <w:highlight w:val="none"/>
              </w:rPr>
              <w:t>其他环境</w:t>
            </w:r>
          </w:p>
          <w:p w14:paraId="474FD2E9">
            <w:pPr>
              <w:jc w:val="center"/>
              <w:rPr>
                <w:color w:val="auto"/>
                <w:spacing w:val="-8"/>
                <w:szCs w:val="21"/>
                <w:highlight w:val="none"/>
              </w:rPr>
            </w:pPr>
            <w:r>
              <w:rPr>
                <w:color w:val="auto"/>
                <w:spacing w:val="-8"/>
                <w:szCs w:val="21"/>
                <w:highlight w:val="none"/>
              </w:rPr>
              <w:t>管理要求</w:t>
            </w:r>
          </w:p>
        </w:tc>
        <w:tc>
          <w:tcPr>
            <w:tcW w:w="7293" w:type="dxa"/>
            <w:gridSpan w:val="4"/>
            <w:noWrap w:val="0"/>
            <w:vAlign w:val="center"/>
          </w:tcPr>
          <w:p w14:paraId="03523D15">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1、环境管理</w:t>
            </w:r>
          </w:p>
          <w:p w14:paraId="71F13BD6">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①</w:t>
            </w:r>
            <w:r>
              <w:rPr>
                <w:color w:val="auto"/>
                <w:szCs w:val="21"/>
                <w:highlight w:val="none"/>
              </w:rPr>
              <w:t>项目废气处理措施定期进行检查，以保证处理效率，确保项目废气达标排放。</w:t>
            </w:r>
          </w:p>
          <w:p w14:paraId="3ED62EAD">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②“三同时”</w:t>
            </w:r>
            <w:r>
              <w:rPr>
                <w:color w:val="auto"/>
                <w:szCs w:val="21"/>
                <w:highlight w:val="none"/>
              </w:rPr>
              <w:t>验收</w:t>
            </w:r>
          </w:p>
          <w:p w14:paraId="6E176FE2">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根据《建设项目环境保护管理条例》及其修改决定（国务院令第682号），建设项目竣工后，建设单位应进行竣工验收，验收后本项目方可正式投产运行。</w:t>
            </w:r>
          </w:p>
          <w:p w14:paraId="13E92E35">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③</w:t>
            </w:r>
            <w:r>
              <w:rPr>
                <w:color w:val="auto"/>
                <w:szCs w:val="21"/>
                <w:highlight w:val="none"/>
              </w:rPr>
              <w:t>制定环境管理文件及实施细则</w:t>
            </w:r>
          </w:p>
          <w:p w14:paraId="0710B741">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根据国家、地方政府对企业环境管理的基本要求，结合项目的具体情况，制定环境管理文件和实施细则。</w:t>
            </w:r>
          </w:p>
          <w:p w14:paraId="6B716623">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④</w:t>
            </w:r>
            <w:r>
              <w:rPr>
                <w:color w:val="auto"/>
                <w:szCs w:val="21"/>
                <w:highlight w:val="none"/>
              </w:rPr>
              <w:t>信息公开</w:t>
            </w:r>
          </w:p>
          <w:p w14:paraId="5D291B85">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根据《建设项目环境保护事中事后监督管理办法（试行）》要求，建设单位应当主动向社会公开建设项目环境影响评价文件、污染防治设施建设运行情况、污染物排放情况等环境信息。</w:t>
            </w:r>
          </w:p>
          <w:p w14:paraId="1396B0A7">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2、排污口规范化</w:t>
            </w:r>
          </w:p>
          <w:p w14:paraId="4802DD91">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（1）排污口管理</w:t>
            </w:r>
          </w:p>
          <w:p w14:paraId="36CD3320">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①</w:t>
            </w:r>
            <w:r>
              <w:rPr>
                <w:color w:val="auto"/>
                <w:szCs w:val="21"/>
                <w:highlight w:val="none"/>
              </w:rPr>
              <w:t>排污口的位置必须合理确定，按环监〔1996〕470号要求进行规范化管理；</w:t>
            </w:r>
          </w:p>
          <w:p w14:paraId="31429301">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②</w:t>
            </w:r>
            <w:r>
              <w:rPr>
                <w:color w:val="auto"/>
                <w:szCs w:val="21"/>
                <w:highlight w:val="none"/>
              </w:rPr>
              <w:t>排污口采样点设置应按《污染源监测技术规范》要求，设置在污染物处理设施进、出口、总排口等处；</w:t>
            </w:r>
          </w:p>
          <w:p w14:paraId="3B4531D2">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rFonts w:hint="eastAsia"/>
                <w:color w:val="auto"/>
                <w:szCs w:val="21"/>
                <w:highlight w:val="none"/>
              </w:rPr>
              <w:t>③</w:t>
            </w:r>
            <w:r>
              <w:rPr>
                <w:color w:val="auto"/>
                <w:szCs w:val="21"/>
                <w:highlight w:val="none"/>
              </w:rPr>
              <w:t>废气排放口须符合规定的高度，便于采样、监测，设置直径不小于80mm的采样口。如无法满足要求的，其采样口与环境监测部门共同确认。</w:t>
            </w:r>
          </w:p>
          <w:p w14:paraId="393993BA">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（2）环境保护图形标志</w:t>
            </w:r>
          </w:p>
          <w:p w14:paraId="2EAF4C6A">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应按《环境保护图形标志-排放口》（GB15562.1-1995）的规定设置环境保护图形标志牌。</w:t>
            </w:r>
          </w:p>
          <w:p w14:paraId="5C8CA55D">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3、环境保护档案管理</w:t>
            </w:r>
          </w:p>
          <w:p w14:paraId="6DF35288">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公司</w:t>
            </w:r>
            <w:r>
              <w:rPr>
                <w:rFonts w:hint="eastAsia"/>
                <w:color w:val="auto"/>
                <w:szCs w:val="21"/>
                <w:highlight w:val="none"/>
              </w:rPr>
              <w:t>应安排专人</w:t>
            </w:r>
            <w:r>
              <w:rPr>
                <w:color w:val="auto"/>
                <w:szCs w:val="21"/>
                <w:highlight w:val="none"/>
              </w:rPr>
              <w:t>负责项目的环境保护档案管理工作，环保档案实行专人管理责任到人。企业的所有环保资料应分类整理、分类存档、科学管理，便于统计、查阅。在环境保护档案管理中，应建立如下文件档案：项目建设的有关环境保护的报告、设计方案及审查、审批文件；项目环保工程设施的设计、施工、安装的基础资料及验收资料；公司内部的环境保护管理制度、人员环保培训和考核记录；污染治理设施运行管理文件；环境监测记录技术文件；建立台账，如实记录生产原辅料的使用量、废弃量、去向，台账保存期限不得少于5年，危险废物相关管理台账保存期限不得少于10年；所有导致污染事件的分析报告和检测数据资料等。</w:t>
            </w:r>
          </w:p>
          <w:p w14:paraId="0099C82B">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color w:val="auto"/>
                <w:szCs w:val="21"/>
                <w:highlight w:val="none"/>
              </w:rPr>
            </w:pPr>
            <w:r>
              <w:rPr>
                <w:color w:val="auto"/>
                <w:szCs w:val="21"/>
                <w:highlight w:val="none"/>
              </w:rPr>
              <w:t>4、排污许可</w:t>
            </w:r>
          </w:p>
          <w:p w14:paraId="04E52B76">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color w:val="auto"/>
                <w:szCs w:val="21"/>
                <w:highlight w:val="none"/>
              </w:rPr>
            </w:pPr>
            <w:r>
              <w:rPr>
                <w:color w:val="auto"/>
                <w:szCs w:val="21"/>
                <w:highlight w:val="none"/>
              </w:rPr>
              <w:t>建设单位应根据《固定污染源排污许可分类管理名录》，进行排污许可登记。</w:t>
            </w:r>
          </w:p>
          <w:p w14:paraId="44C48FB4">
            <w:pPr>
              <w:keepNext w:val="0"/>
              <w:keepLines w:val="0"/>
              <w:pageBreakBefore w:val="0"/>
              <w:widowControl w:val="0"/>
              <w:kinsoku/>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lang w:val="en-US" w:eastAsia="zh-CN"/>
              </w:rPr>
              <w:t>5</w:t>
            </w:r>
            <w:r>
              <w:rPr>
                <w:rFonts w:hint="eastAsia"/>
                <w:color w:val="auto"/>
                <w:szCs w:val="21"/>
                <w:highlight w:val="none"/>
              </w:rPr>
              <w:t>、监测计划</w:t>
            </w:r>
          </w:p>
          <w:p w14:paraId="21AC14E4">
            <w:pPr>
              <w:jc w:val="center"/>
              <w:rPr>
                <w:rFonts w:hint="eastAsia"/>
                <w:b/>
                <w:bCs/>
                <w:color w:val="auto"/>
                <w:szCs w:val="21"/>
                <w:highlight w:val="none"/>
              </w:rPr>
            </w:pPr>
            <w:r>
              <w:rPr>
                <w:rFonts w:hint="eastAsia"/>
                <w:b/>
                <w:bCs/>
                <w:color w:val="auto"/>
                <w:szCs w:val="21"/>
                <w:highlight w:val="none"/>
                <w:lang w:val="en-US" w:eastAsia="zh-CN"/>
              </w:rPr>
              <w:t xml:space="preserve">表5-1  </w:t>
            </w:r>
            <w:r>
              <w:rPr>
                <w:rFonts w:hint="eastAsia"/>
                <w:b/>
                <w:bCs/>
                <w:color w:val="auto"/>
                <w:szCs w:val="21"/>
                <w:highlight w:val="none"/>
              </w:rPr>
              <w:t>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6"/>
              <w:gridCol w:w="1147"/>
              <w:gridCol w:w="1167"/>
              <w:gridCol w:w="1300"/>
              <w:gridCol w:w="997"/>
              <w:gridCol w:w="1836"/>
            </w:tblGrid>
            <w:tr w14:paraId="1E426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442" w:type="pct"/>
                  <w:noWrap w:val="0"/>
                  <w:vAlign w:val="center"/>
                </w:tcPr>
                <w:p w14:paraId="5581F04D">
                  <w:pPr>
                    <w:jc w:val="center"/>
                    <w:rPr>
                      <w:rFonts w:hint="eastAsia"/>
                      <w:b/>
                      <w:bCs/>
                      <w:color w:val="auto"/>
                      <w:szCs w:val="21"/>
                      <w:highlight w:val="none"/>
                    </w:rPr>
                  </w:pPr>
                  <w:r>
                    <w:rPr>
                      <w:rFonts w:hint="eastAsia"/>
                      <w:b/>
                      <w:bCs/>
                      <w:color w:val="auto"/>
                      <w:szCs w:val="21"/>
                      <w:highlight w:val="none"/>
                    </w:rPr>
                    <w:t>类别</w:t>
                  </w:r>
                </w:p>
              </w:tc>
              <w:tc>
                <w:tcPr>
                  <w:tcW w:w="810" w:type="pct"/>
                  <w:noWrap w:val="0"/>
                  <w:vAlign w:val="center"/>
                </w:tcPr>
                <w:p w14:paraId="5A760EEE">
                  <w:pPr>
                    <w:jc w:val="center"/>
                    <w:rPr>
                      <w:b/>
                      <w:bCs/>
                      <w:color w:val="auto"/>
                      <w:szCs w:val="21"/>
                      <w:highlight w:val="none"/>
                    </w:rPr>
                  </w:pPr>
                  <w:r>
                    <w:rPr>
                      <w:b/>
                      <w:bCs/>
                      <w:color w:val="auto"/>
                      <w:szCs w:val="21"/>
                      <w:highlight w:val="none"/>
                    </w:rPr>
                    <w:t>排放口编号/监测点位</w:t>
                  </w:r>
                </w:p>
              </w:tc>
              <w:tc>
                <w:tcPr>
                  <w:tcW w:w="824" w:type="pct"/>
                  <w:noWrap w:val="0"/>
                  <w:vAlign w:val="center"/>
                </w:tcPr>
                <w:p w14:paraId="0B3B2254">
                  <w:pPr>
                    <w:jc w:val="center"/>
                    <w:rPr>
                      <w:b/>
                      <w:bCs/>
                      <w:color w:val="auto"/>
                      <w:szCs w:val="21"/>
                      <w:highlight w:val="none"/>
                    </w:rPr>
                  </w:pPr>
                  <w:r>
                    <w:rPr>
                      <w:b/>
                      <w:bCs/>
                      <w:color w:val="auto"/>
                      <w:szCs w:val="21"/>
                      <w:highlight w:val="none"/>
                    </w:rPr>
                    <w:t>排放口名称/监测点位名称</w:t>
                  </w:r>
                </w:p>
              </w:tc>
              <w:tc>
                <w:tcPr>
                  <w:tcW w:w="918" w:type="pct"/>
                  <w:noWrap w:val="0"/>
                  <w:vAlign w:val="center"/>
                </w:tcPr>
                <w:p w14:paraId="056467AB">
                  <w:pPr>
                    <w:jc w:val="center"/>
                    <w:rPr>
                      <w:b/>
                      <w:bCs/>
                      <w:color w:val="auto"/>
                      <w:szCs w:val="21"/>
                      <w:highlight w:val="none"/>
                    </w:rPr>
                  </w:pPr>
                  <w:r>
                    <w:rPr>
                      <w:b/>
                      <w:bCs/>
                      <w:color w:val="auto"/>
                      <w:szCs w:val="21"/>
                      <w:highlight w:val="none"/>
                    </w:rPr>
                    <w:t>污染物</w:t>
                  </w:r>
                </w:p>
                <w:p w14:paraId="4702825C">
                  <w:pPr>
                    <w:jc w:val="center"/>
                    <w:rPr>
                      <w:b/>
                      <w:bCs/>
                      <w:color w:val="auto"/>
                      <w:szCs w:val="21"/>
                      <w:highlight w:val="none"/>
                    </w:rPr>
                  </w:pPr>
                  <w:r>
                    <w:rPr>
                      <w:b/>
                      <w:bCs/>
                      <w:color w:val="auto"/>
                      <w:szCs w:val="21"/>
                      <w:highlight w:val="none"/>
                    </w:rPr>
                    <w:t>名称</w:t>
                  </w:r>
                </w:p>
              </w:tc>
              <w:tc>
                <w:tcPr>
                  <w:tcW w:w="704" w:type="pct"/>
                  <w:noWrap w:val="0"/>
                  <w:vAlign w:val="center"/>
                </w:tcPr>
                <w:p w14:paraId="12363819">
                  <w:pPr>
                    <w:jc w:val="center"/>
                    <w:rPr>
                      <w:b/>
                      <w:bCs/>
                      <w:color w:val="auto"/>
                      <w:szCs w:val="21"/>
                      <w:highlight w:val="none"/>
                    </w:rPr>
                  </w:pPr>
                  <w:r>
                    <w:rPr>
                      <w:b/>
                      <w:bCs/>
                      <w:color w:val="auto"/>
                      <w:szCs w:val="21"/>
                      <w:highlight w:val="none"/>
                    </w:rPr>
                    <w:t>监测</w:t>
                  </w:r>
                </w:p>
                <w:p w14:paraId="7CDD9968">
                  <w:pPr>
                    <w:jc w:val="center"/>
                    <w:rPr>
                      <w:b/>
                      <w:bCs/>
                      <w:color w:val="auto"/>
                      <w:szCs w:val="21"/>
                      <w:highlight w:val="none"/>
                    </w:rPr>
                  </w:pPr>
                  <w:r>
                    <w:rPr>
                      <w:b/>
                      <w:bCs/>
                      <w:color w:val="auto"/>
                      <w:szCs w:val="21"/>
                      <w:highlight w:val="none"/>
                    </w:rPr>
                    <w:t>频次</w:t>
                  </w:r>
                </w:p>
              </w:tc>
              <w:tc>
                <w:tcPr>
                  <w:tcW w:w="1297" w:type="pct"/>
                  <w:noWrap w:val="0"/>
                  <w:vAlign w:val="center"/>
                </w:tcPr>
                <w:p w14:paraId="220F4B9A">
                  <w:pPr>
                    <w:jc w:val="center"/>
                    <w:rPr>
                      <w:b/>
                      <w:bCs/>
                      <w:color w:val="auto"/>
                      <w:szCs w:val="21"/>
                      <w:highlight w:val="none"/>
                    </w:rPr>
                  </w:pPr>
                  <w:r>
                    <w:rPr>
                      <w:b/>
                      <w:bCs/>
                      <w:color w:val="auto"/>
                      <w:szCs w:val="21"/>
                      <w:highlight w:val="none"/>
                    </w:rPr>
                    <w:t>排放标准</w:t>
                  </w:r>
                </w:p>
              </w:tc>
            </w:tr>
            <w:tr w14:paraId="72C69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9" w:hRule="atLeast"/>
                <w:tblHeader/>
                <w:jc w:val="center"/>
              </w:trPr>
              <w:tc>
                <w:tcPr>
                  <w:tcW w:w="442" w:type="pct"/>
                  <w:vMerge w:val="restart"/>
                  <w:noWrap w:val="0"/>
                  <w:vAlign w:val="center"/>
                </w:tcPr>
                <w:p w14:paraId="7BDD732E">
                  <w:pPr>
                    <w:jc w:val="center"/>
                    <w:rPr>
                      <w:rFonts w:hint="eastAsia"/>
                      <w:color w:val="auto"/>
                      <w:szCs w:val="21"/>
                      <w:highlight w:val="none"/>
                    </w:rPr>
                  </w:pPr>
                  <w:r>
                    <w:rPr>
                      <w:rFonts w:hint="eastAsia"/>
                      <w:color w:val="auto"/>
                      <w:szCs w:val="21"/>
                      <w:highlight w:val="none"/>
                    </w:rPr>
                    <w:t>废气</w:t>
                  </w:r>
                </w:p>
              </w:tc>
              <w:tc>
                <w:tcPr>
                  <w:tcW w:w="810" w:type="pct"/>
                  <w:shd w:val="clear" w:color="auto" w:fill="auto"/>
                  <w:noWrap w:val="0"/>
                  <w:vAlign w:val="center"/>
                </w:tcPr>
                <w:p w14:paraId="29B65FB5">
                  <w:pPr>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DA00</w:t>
                  </w:r>
                  <w:r>
                    <w:rPr>
                      <w:rFonts w:hint="eastAsia"/>
                      <w:color w:val="auto"/>
                      <w:szCs w:val="21"/>
                      <w:highlight w:val="none"/>
                      <w:lang w:val="en-US" w:eastAsia="zh-CN"/>
                    </w:rPr>
                    <w:t>1</w:t>
                  </w:r>
                </w:p>
              </w:tc>
              <w:tc>
                <w:tcPr>
                  <w:tcW w:w="824" w:type="pct"/>
                  <w:shd w:val="clear" w:color="auto" w:fill="auto"/>
                  <w:noWrap w:val="0"/>
                  <w:vAlign w:val="center"/>
                </w:tcPr>
                <w:p w14:paraId="64EB5DA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有机废气排放口</w:t>
                  </w:r>
                </w:p>
              </w:tc>
              <w:tc>
                <w:tcPr>
                  <w:tcW w:w="918" w:type="pct"/>
                  <w:shd w:val="clear" w:color="auto" w:fill="auto"/>
                  <w:noWrap w:val="0"/>
                  <w:vAlign w:val="center"/>
                </w:tcPr>
                <w:p w14:paraId="550AD124">
                  <w:pPr>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非甲烷总烃</w:t>
                  </w:r>
                </w:p>
              </w:tc>
              <w:tc>
                <w:tcPr>
                  <w:tcW w:w="704" w:type="pct"/>
                  <w:shd w:val="clear" w:color="auto" w:fill="auto"/>
                  <w:noWrap w:val="0"/>
                  <w:vAlign w:val="center"/>
                </w:tcPr>
                <w:p w14:paraId="1BA628A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1次/年</w:t>
                  </w:r>
                </w:p>
              </w:tc>
              <w:tc>
                <w:tcPr>
                  <w:tcW w:w="1297" w:type="pct"/>
                  <w:shd w:val="clear" w:color="auto" w:fill="auto"/>
                  <w:noWrap w:val="0"/>
                  <w:vAlign w:val="center"/>
                </w:tcPr>
                <w:p w14:paraId="2500BBA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《大气污染物综合排放标准》（GB16297-1996）</w:t>
                  </w:r>
                </w:p>
              </w:tc>
            </w:tr>
            <w:tr w14:paraId="475F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tblHeader/>
                <w:jc w:val="center"/>
              </w:trPr>
              <w:tc>
                <w:tcPr>
                  <w:tcW w:w="442" w:type="pct"/>
                  <w:vMerge w:val="continue"/>
                  <w:noWrap w:val="0"/>
                  <w:vAlign w:val="center"/>
                </w:tcPr>
                <w:p w14:paraId="526B4948">
                  <w:pPr>
                    <w:jc w:val="center"/>
                    <w:rPr>
                      <w:color w:val="auto"/>
                      <w:szCs w:val="21"/>
                      <w:highlight w:val="none"/>
                    </w:rPr>
                  </w:pPr>
                </w:p>
              </w:tc>
              <w:tc>
                <w:tcPr>
                  <w:tcW w:w="810" w:type="pct"/>
                  <w:vMerge w:val="restart"/>
                  <w:noWrap w:val="0"/>
                  <w:vAlign w:val="center"/>
                </w:tcPr>
                <w:p w14:paraId="0DB4C40C">
                  <w:pPr>
                    <w:jc w:val="center"/>
                    <w:rPr>
                      <w:color w:val="auto"/>
                      <w:szCs w:val="21"/>
                      <w:highlight w:val="none"/>
                    </w:rPr>
                  </w:pPr>
                  <w:r>
                    <w:rPr>
                      <w:color w:val="auto"/>
                      <w:szCs w:val="21"/>
                      <w:highlight w:val="none"/>
                    </w:rPr>
                    <w:t>厂界</w:t>
                  </w:r>
                </w:p>
              </w:tc>
              <w:tc>
                <w:tcPr>
                  <w:tcW w:w="824" w:type="pct"/>
                  <w:vMerge w:val="restart"/>
                  <w:noWrap w:val="0"/>
                  <w:vAlign w:val="center"/>
                </w:tcPr>
                <w:p w14:paraId="2863ECD6">
                  <w:pPr>
                    <w:jc w:val="center"/>
                    <w:rPr>
                      <w:color w:val="auto"/>
                      <w:szCs w:val="21"/>
                      <w:highlight w:val="none"/>
                    </w:rPr>
                  </w:pPr>
                  <w:r>
                    <w:rPr>
                      <w:color w:val="auto"/>
                      <w:szCs w:val="21"/>
                      <w:highlight w:val="none"/>
                    </w:rPr>
                    <w:t>上风向1个、下风向3个</w:t>
                  </w:r>
                </w:p>
              </w:tc>
              <w:tc>
                <w:tcPr>
                  <w:tcW w:w="918" w:type="pct"/>
                  <w:noWrap w:val="0"/>
                  <w:vAlign w:val="center"/>
                </w:tcPr>
                <w:p w14:paraId="223A180A">
                  <w:pPr>
                    <w:jc w:val="center"/>
                    <w:rPr>
                      <w:color w:val="auto"/>
                      <w:szCs w:val="21"/>
                      <w:highlight w:val="none"/>
                    </w:rPr>
                  </w:pPr>
                  <w:r>
                    <w:rPr>
                      <w:rFonts w:hint="eastAsia"/>
                      <w:color w:val="auto"/>
                      <w:highlight w:val="none"/>
                      <w:lang w:val="en-US" w:eastAsia="zh-CN"/>
                    </w:rPr>
                    <w:t>颗粒物</w:t>
                  </w:r>
                </w:p>
              </w:tc>
              <w:tc>
                <w:tcPr>
                  <w:tcW w:w="704" w:type="pct"/>
                  <w:vMerge w:val="restart"/>
                  <w:noWrap w:val="0"/>
                  <w:vAlign w:val="center"/>
                </w:tcPr>
                <w:p w14:paraId="030D269B">
                  <w:pPr>
                    <w:jc w:val="center"/>
                    <w:rPr>
                      <w:color w:val="auto"/>
                      <w:szCs w:val="21"/>
                      <w:highlight w:val="none"/>
                    </w:rPr>
                  </w:pPr>
                  <w:r>
                    <w:rPr>
                      <w:color w:val="auto"/>
                      <w:szCs w:val="21"/>
                      <w:highlight w:val="none"/>
                    </w:rPr>
                    <w:t>1次/年</w:t>
                  </w:r>
                </w:p>
              </w:tc>
              <w:tc>
                <w:tcPr>
                  <w:tcW w:w="1297" w:type="pct"/>
                  <w:vMerge w:val="restart"/>
                  <w:noWrap w:val="0"/>
                  <w:vAlign w:val="center"/>
                </w:tcPr>
                <w:p w14:paraId="6B761B22">
                  <w:pPr>
                    <w:jc w:val="center"/>
                    <w:rPr>
                      <w:color w:val="auto"/>
                      <w:sz w:val="21"/>
                      <w:szCs w:val="21"/>
                      <w:highlight w:val="none"/>
                    </w:rPr>
                  </w:pPr>
                  <w:r>
                    <w:rPr>
                      <w:rFonts w:hint="eastAsia"/>
                      <w:color w:val="auto"/>
                      <w:sz w:val="21"/>
                      <w:szCs w:val="21"/>
                      <w:highlight w:val="none"/>
                      <w:lang w:val="en-US" w:eastAsia="zh-CN"/>
                    </w:rPr>
                    <w:t>《大气污染物综合排放标准》（GB16297-1996）</w:t>
                  </w:r>
                </w:p>
              </w:tc>
            </w:tr>
            <w:tr w14:paraId="19B78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tblHeader/>
                <w:jc w:val="center"/>
              </w:trPr>
              <w:tc>
                <w:tcPr>
                  <w:tcW w:w="442" w:type="pct"/>
                  <w:vMerge w:val="continue"/>
                  <w:noWrap w:val="0"/>
                  <w:vAlign w:val="center"/>
                </w:tcPr>
                <w:p w14:paraId="6F42D986">
                  <w:pPr>
                    <w:jc w:val="center"/>
                    <w:rPr>
                      <w:color w:val="auto"/>
                      <w:highlight w:val="none"/>
                    </w:rPr>
                  </w:pPr>
                </w:p>
              </w:tc>
              <w:tc>
                <w:tcPr>
                  <w:tcW w:w="810" w:type="pct"/>
                  <w:vMerge w:val="continue"/>
                  <w:noWrap w:val="0"/>
                  <w:vAlign w:val="center"/>
                </w:tcPr>
                <w:p w14:paraId="771A128C">
                  <w:pPr>
                    <w:jc w:val="center"/>
                    <w:rPr>
                      <w:color w:val="auto"/>
                      <w:highlight w:val="none"/>
                    </w:rPr>
                  </w:pPr>
                </w:p>
              </w:tc>
              <w:tc>
                <w:tcPr>
                  <w:tcW w:w="824" w:type="pct"/>
                  <w:vMerge w:val="continue"/>
                  <w:noWrap w:val="0"/>
                  <w:vAlign w:val="center"/>
                </w:tcPr>
                <w:p w14:paraId="7B272545">
                  <w:pPr>
                    <w:jc w:val="center"/>
                    <w:rPr>
                      <w:color w:val="auto"/>
                      <w:highlight w:val="none"/>
                    </w:rPr>
                  </w:pPr>
                </w:p>
              </w:tc>
              <w:tc>
                <w:tcPr>
                  <w:tcW w:w="918" w:type="pct"/>
                  <w:noWrap w:val="0"/>
                  <w:vAlign w:val="center"/>
                </w:tcPr>
                <w:p w14:paraId="063C3CBD">
                  <w:pPr>
                    <w:jc w:val="center"/>
                    <w:rPr>
                      <w:rFonts w:hint="eastAsia" w:eastAsia="宋体"/>
                      <w:color w:val="auto"/>
                      <w:highlight w:val="none"/>
                      <w:lang w:eastAsia="zh-CN"/>
                    </w:rPr>
                  </w:pPr>
                  <w:r>
                    <w:rPr>
                      <w:color w:val="auto"/>
                      <w:szCs w:val="21"/>
                      <w:highlight w:val="none"/>
                    </w:rPr>
                    <w:t>非甲烷总烃</w:t>
                  </w:r>
                </w:p>
              </w:tc>
              <w:tc>
                <w:tcPr>
                  <w:tcW w:w="704" w:type="pct"/>
                  <w:vMerge w:val="continue"/>
                  <w:noWrap w:val="0"/>
                  <w:vAlign w:val="center"/>
                </w:tcPr>
                <w:p w14:paraId="581F3515">
                  <w:pPr>
                    <w:jc w:val="center"/>
                    <w:rPr>
                      <w:color w:val="auto"/>
                      <w:highlight w:val="none"/>
                    </w:rPr>
                  </w:pPr>
                </w:p>
              </w:tc>
              <w:tc>
                <w:tcPr>
                  <w:tcW w:w="1297" w:type="pct"/>
                  <w:vMerge w:val="continue"/>
                  <w:noWrap w:val="0"/>
                  <w:vAlign w:val="center"/>
                </w:tcPr>
                <w:p w14:paraId="48AF7688">
                  <w:pPr>
                    <w:jc w:val="center"/>
                    <w:rPr>
                      <w:color w:val="auto"/>
                      <w:szCs w:val="21"/>
                      <w:highlight w:val="none"/>
                    </w:rPr>
                  </w:pPr>
                </w:p>
              </w:tc>
            </w:tr>
            <w:tr w14:paraId="33046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442" w:type="pct"/>
                  <w:vMerge w:val="continue"/>
                  <w:noWrap w:val="0"/>
                  <w:vAlign w:val="center"/>
                </w:tcPr>
                <w:p w14:paraId="202C64AD">
                  <w:pPr>
                    <w:jc w:val="center"/>
                    <w:rPr>
                      <w:color w:val="auto"/>
                      <w:szCs w:val="21"/>
                      <w:highlight w:val="none"/>
                    </w:rPr>
                  </w:pPr>
                </w:p>
              </w:tc>
              <w:tc>
                <w:tcPr>
                  <w:tcW w:w="810" w:type="pct"/>
                  <w:noWrap w:val="0"/>
                  <w:vAlign w:val="center"/>
                </w:tcPr>
                <w:p w14:paraId="4BB73D3A">
                  <w:pPr>
                    <w:jc w:val="center"/>
                    <w:rPr>
                      <w:color w:val="auto"/>
                      <w:szCs w:val="21"/>
                      <w:highlight w:val="none"/>
                    </w:rPr>
                  </w:pPr>
                  <w:r>
                    <w:rPr>
                      <w:color w:val="auto"/>
                      <w:szCs w:val="21"/>
                      <w:highlight w:val="none"/>
                    </w:rPr>
                    <w:t>厂区内</w:t>
                  </w:r>
                </w:p>
              </w:tc>
              <w:tc>
                <w:tcPr>
                  <w:tcW w:w="824" w:type="pct"/>
                  <w:noWrap w:val="0"/>
                  <w:vAlign w:val="center"/>
                </w:tcPr>
                <w:p w14:paraId="7909F50C">
                  <w:pPr>
                    <w:jc w:val="center"/>
                    <w:rPr>
                      <w:color w:val="auto"/>
                      <w:szCs w:val="21"/>
                      <w:highlight w:val="none"/>
                    </w:rPr>
                  </w:pPr>
                  <w:r>
                    <w:rPr>
                      <w:rFonts w:hint="eastAsia"/>
                      <w:color w:val="auto"/>
                      <w:kern w:val="0"/>
                      <w:szCs w:val="21"/>
                      <w:highlight w:val="none"/>
                      <w:lang w:val="en-US" w:eastAsia="zh-CN"/>
                    </w:rPr>
                    <w:t>厂房外</w:t>
                  </w:r>
                </w:p>
              </w:tc>
              <w:tc>
                <w:tcPr>
                  <w:tcW w:w="918" w:type="pct"/>
                  <w:noWrap w:val="0"/>
                  <w:vAlign w:val="center"/>
                </w:tcPr>
                <w:p w14:paraId="46B55C86">
                  <w:pPr>
                    <w:jc w:val="center"/>
                    <w:rPr>
                      <w:color w:val="auto"/>
                      <w:szCs w:val="21"/>
                      <w:highlight w:val="none"/>
                    </w:rPr>
                  </w:pPr>
                  <w:r>
                    <w:rPr>
                      <w:color w:val="auto"/>
                      <w:szCs w:val="21"/>
                      <w:highlight w:val="none"/>
                    </w:rPr>
                    <w:t>非甲烷总烃</w:t>
                  </w:r>
                </w:p>
              </w:tc>
              <w:tc>
                <w:tcPr>
                  <w:tcW w:w="704" w:type="pct"/>
                  <w:noWrap w:val="0"/>
                  <w:vAlign w:val="center"/>
                </w:tcPr>
                <w:p w14:paraId="6E2D4908">
                  <w:pPr>
                    <w:jc w:val="center"/>
                    <w:rPr>
                      <w:color w:val="auto"/>
                      <w:szCs w:val="21"/>
                      <w:highlight w:val="none"/>
                    </w:rPr>
                  </w:pPr>
                  <w:r>
                    <w:rPr>
                      <w:color w:val="auto"/>
                      <w:szCs w:val="21"/>
                      <w:highlight w:val="none"/>
                    </w:rPr>
                    <w:t>1次/年</w:t>
                  </w:r>
                </w:p>
              </w:tc>
              <w:tc>
                <w:tcPr>
                  <w:tcW w:w="1297" w:type="pct"/>
                  <w:noWrap w:val="0"/>
                  <w:vAlign w:val="center"/>
                </w:tcPr>
                <w:p w14:paraId="322CEBEE">
                  <w:pPr>
                    <w:jc w:val="center"/>
                    <w:rPr>
                      <w:rFonts w:hint="eastAsia"/>
                      <w:color w:val="auto"/>
                      <w:szCs w:val="21"/>
                      <w:highlight w:val="none"/>
                    </w:rPr>
                  </w:pPr>
                  <w:r>
                    <w:rPr>
                      <w:color w:val="auto"/>
                      <w:szCs w:val="21"/>
                      <w:highlight w:val="none"/>
                    </w:rPr>
                    <w:t>《挥发性有机物无组织排放控制标准》（GB37822-2019）表A.1特别排放</w:t>
                  </w:r>
                  <w:r>
                    <w:rPr>
                      <w:rFonts w:hint="eastAsia"/>
                      <w:color w:val="auto"/>
                      <w:szCs w:val="21"/>
                      <w:highlight w:val="none"/>
                    </w:rPr>
                    <w:t>限值</w:t>
                  </w:r>
                </w:p>
              </w:tc>
            </w:tr>
            <w:tr w14:paraId="1D3B8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4" w:hRule="atLeast"/>
                <w:tblHeader/>
                <w:jc w:val="center"/>
              </w:trPr>
              <w:tc>
                <w:tcPr>
                  <w:tcW w:w="442" w:type="pct"/>
                  <w:noWrap w:val="0"/>
                  <w:vAlign w:val="center"/>
                </w:tcPr>
                <w:p w14:paraId="3859105C">
                  <w:pPr>
                    <w:jc w:val="center"/>
                    <w:rPr>
                      <w:rFonts w:hint="eastAsia"/>
                      <w:color w:val="auto"/>
                      <w:szCs w:val="21"/>
                      <w:highlight w:val="none"/>
                    </w:rPr>
                  </w:pPr>
                  <w:r>
                    <w:rPr>
                      <w:rFonts w:hint="eastAsia"/>
                      <w:color w:val="auto"/>
                      <w:szCs w:val="21"/>
                      <w:highlight w:val="none"/>
                    </w:rPr>
                    <w:t>噪声</w:t>
                  </w:r>
                </w:p>
              </w:tc>
              <w:tc>
                <w:tcPr>
                  <w:tcW w:w="810" w:type="pct"/>
                  <w:noWrap w:val="0"/>
                  <w:vAlign w:val="center"/>
                </w:tcPr>
                <w:p w14:paraId="477C5D82">
                  <w:pPr>
                    <w:jc w:val="center"/>
                    <w:rPr>
                      <w:color w:val="auto"/>
                      <w:szCs w:val="21"/>
                      <w:highlight w:val="none"/>
                    </w:rPr>
                  </w:pPr>
                  <w:r>
                    <w:rPr>
                      <w:color w:val="auto"/>
                      <w:szCs w:val="21"/>
                      <w:highlight w:val="none"/>
                    </w:rPr>
                    <w:t>厂界</w:t>
                  </w:r>
                </w:p>
                <w:p w14:paraId="2D15F444">
                  <w:pPr>
                    <w:jc w:val="center"/>
                    <w:rPr>
                      <w:color w:val="auto"/>
                      <w:szCs w:val="21"/>
                      <w:highlight w:val="none"/>
                    </w:rPr>
                  </w:pPr>
                  <w:r>
                    <w:rPr>
                      <w:color w:val="auto"/>
                      <w:szCs w:val="21"/>
                      <w:highlight w:val="none"/>
                    </w:rPr>
                    <w:t>噪声</w:t>
                  </w:r>
                </w:p>
              </w:tc>
              <w:tc>
                <w:tcPr>
                  <w:tcW w:w="824" w:type="pct"/>
                  <w:noWrap w:val="0"/>
                  <w:vAlign w:val="center"/>
                </w:tcPr>
                <w:p w14:paraId="35A43AF1">
                  <w:pPr>
                    <w:jc w:val="center"/>
                    <w:rPr>
                      <w:color w:val="auto"/>
                      <w:szCs w:val="21"/>
                      <w:highlight w:val="none"/>
                    </w:rPr>
                  </w:pPr>
                  <w:r>
                    <w:rPr>
                      <w:rFonts w:hint="eastAsia"/>
                      <w:color w:val="auto"/>
                      <w:szCs w:val="21"/>
                      <w:highlight w:val="none"/>
                    </w:rPr>
                    <w:t>厂界</w:t>
                  </w:r>
                </w:p>
              </w:tc>
              <w:tc>
                <w:tcPr>
                  <w:tcW w:w="918" w:type="pct"/>
                  <w:noWrap w:val="0"/>
                  <w:vAlign w:val="center"/>
                </w:tcPr>
                <w:p w14:paraId="07CAD862">
                  <w:pPr>
                    <w:jc w:val="center"/>
                    <w:rPr>
                      <w:color w:val="auto"/>
                      <w:szCs w:val="21"/>
                      <w:highlight w:val="none"/>
                    </w:rPr>
                  </w:pPr>
                  <w:r>
                    <w:rPr>
                      <w:rFonts w:hint="eastAsia"/>
                      <w:color w:val="auto"/>
                      <w:szCs w:val="21"/>
                      <w:highlight w:val="none"/>
                    </w:rPr>
                    <w:t>等效连续A声级</w:t>
                  </w:r>
                </w:p>
              </w:tc>
              <w:tc>
                <w:tcPr>
                  <w:tcW w:w="704" w:type="pct"/>
                  <w:noWrap w:val="0"/>
                  <w:vAlign w:val="center"/>
                </w:tcPr>
                <w:p w14:paraId="08CB20CD">
                  <w:pPr>
                    <w:jc w:val="center"/>
                    <w:rPr>
                      <w:color w:val="auto"/>
                      <w:szCs w:val="21"/>
                      <w:highlight w:val="none"/>
                    </w:rPr>
                  </w:pPr>
                  <w:r>
                    <w:rPr>
                      <w:color w:val="auto"/>
                      <w:szCs w:val="21"/>
                      <w:highlight w:val="none"/>
                    </w:rPr>
                    <w:t>1次/季</w:t>
                  </w:r>
                </w:p>
              </w:tc>
              <w:tc>
                <w:tcPr>
                  <w:tcW w:w="1297" w:type="pct"/>
                  <w:noWrap w:val="0"/>
                  <w:vAlign w:val="center"/>
                </w:tcPr>
                <w:p w14:paraId="11BE4BFC">
                  <w:pPr>
                    <w:wordWrap w:val="0"/>
                    <w:adjustRightInd/>
                    <w:snapToGrid/>
                    <w:jc w:val="center"/>
                    <w:rPr>
                      <w:color w:val="auto"/>
                      <w:szCs w:val="21"/>
                      <w:highlight w:val="none"/>
                    </w:rPr>
                  </w:pPr>
                  <w:r>
                    <w:rPr>
                      <w:color w:val="auto"/>
                      <w:szCs w:val="21"/>
                      <w:highlight w:val="none"/>
                    </w:rPr>
                    <w:t>《工业企业厂界环境噪声排放标准》（GB12348-2008）</w:t>
                  </w:r>
                </w:p>
                <w:p w14:paraId="2F746D44">
                  <w:pPr>
                    <w:wordWrap w:val="0"/>
                    <w:adjustRightInd/>
                    <w:snapToGrid/>
                    <w:jc w:val="center"/>
                    <w:rPr>
                      <w:color w:val="auto"/>
                      <w:szCs w:val="21"/>
                      <w:highlight w:val="none"/>
                    </w:rPr>
                  </w:pPr>
                  <w:r>
                    <w:rPr>
                      <w:rFonts w:hint="eastAsia"/>
                      <w:color w:val="auto"/>
                      <w:szCs w:val="21"/>
                      <w:highlight w:val="none"/>
                      <w:lang w:val="en-US" w:eastAsia="zh-CN"/>
                    </w:rPr>
                    <w:t>3</w:t>
                  </w:r>
                  <w:r>
                    <w:rPr>
                      <w:color w:val="auto"/>
                      <w:szCs w:val="21"/>
                      <w:highlight w:val="none"/>
                    </w:rPr>
                    <w:t>类标准</w:t>
                  </w:r>
                </w:p>
              </w:tc>
            </w:tr>
          </w:tbl>
          <w:p w14:paraId="494C3B9B">
            <w:pPr>
              <w:rPr>
                <w:color w:val="auto"/>
                <w:szCs w:val="21"/>
                <w:highlight w:val="none"/>
              </w:rPr>
            </w:pPr>
          </w:p>
          <w:p w14:paraId="545AD10D">
            <w:pPr>
              <w:rPr>
                <w:color w:val="auto"/>
                <w:szCs w:val="21"/>
                <w:highlight w:val="none"/>
              </w:rPr>
            </w:pPr>
          </w:p>
          <w:p w14:paraId="58124E9C">
            <w:pPr>
              <w:rPr>
                <w:color w:val="auto"/>
                <w:szCs w:val="21"/>
                <w:highlight w:val="none"/>
              </w:rPr>
            </w:pPr>
          </w:p>
          <w:p w14:paraId="1759ABFD">
            <w:pPr>
              <w:rPr>
                <w:color w:val="auto"/>
                <w:szCs w:val="21"/>
                <w:highlight w:val="none"/>
              </w:rPr>
            </w:pPr>
          </w:p>
          <w:p w14:paraId="6F632337">
            <w:pPr>
              <w:rPr>
                <w:color w:val="auto"/>
                <w:szCs w:val="21"/>
                <w:highlight w:val="none"/>
              </w:rPr>
            </w:pPr>
          </w:p>
          <w:p w14:paraId="43B69E2E">
            <w:pPr>
              <w:rPr>
                <w:color w:val="auto"/>
                <w:szCs w:val="21"/>
                <w:highlight w:val="none"/>
              </w:rPr>
            </w:pPr>
          </w:p>
          <w:p w14:paraId="61AB0422">
            <w:pPr>
              <w:rPr>
                <w:color w:val="auto"/>
                <w:szCs w:val="21"/>
                <w:highlight w:val="none"/>
              </w:rPr>
            </w:pPr>
          </w:p>
          <w:p w14:paraId="39E8F3F9">
            <w:pPr>
              <w:rPr>
                <w:color w:val="auto"/>
                <w:szCs w:val="21"/>
                <w:highlight w:val="none"/>
              </w:rPr>
            </w:pPr>
          </w:p>
          <w:p w14:paraId="7C77AC0B">
            <w:pPr>
              <w:rPr>
                <w:color w:val="auto"/>
                <w:szCs w:val="21"/>
                <w:highlight w:val="none"/>
              </w:rPr>
            </w:pPr>
          </w:p>
          <w:p w14:paraId="785F398A">
            <w:pPr>
              <w:rPr>
                <w:color w:val="auto"/>
                <w:szCs w:val="21"/>
                <w:highlight w:val="none"/>
              </w:rPr>
            </w:pPr>
          </w:p>
          <w:p w14:paraId="533A7683">
            <w:pPr>
              <w:rPr>
                <w:color w:val="auto"/>
                <w:szCs w:val="21"/>
                <w:highlight w:val="none"/>
              </w:rPr>
            </w:pPr>
          </w:p>
        </w:tc>
      </w:tr>
    </w:tbl>
    <w:p w14:paraId="5994EA94">
      <w:pPr>
        <w:pStyle w:val="21"/>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C1FA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781BE96C">
            <w:pPr>
              <w:spacing w:line="360" w:lineRule="auto"/>
              <w:ind w:firstLine="480" w:firstLineChars="200"/>
              <w:rPr>
                <w:rFonts w:ascii="宋体" w:cs="宋体"/>
                <w:color w:val="auto"/>
                <w:sz w:val="24"/>
                <w:highlight w:val="none"/>
              </w:rPr>
            </w:pPr>
            <w:r>
              <w:rPr>
                <w:color w:val="auto"/>
                <w:sz w:val="24"/>
                <w:highlight w:val="none"/>
              </w:rPr>
              <w:t>从环境保护</w:t>
            </w:r>
            <w:r>
              <w:rPr>
                <w:rFonts w:hint="eastAsia"/>
                <w:color w:val="auto"/>
                <w:sz w:val="24"/>
                <w:highlight w:val="none"/>
              </w:rPr>
              <w:t>角度</w:t>
            </w:r>
            <w:r>
              <w:rPr>
                <w:color w:val="auto"/>
                <w:sz w:val="24"/>
                <w:highlight w:val="none"/>
              </w:rPr>
              <w:t>分析，该建设项目环境影响可行。</w:t>
            </w:r>
          </w:p>
        </w:tc>
      </w:tr>
    </w:tbl>
    <w:p w14:paraId="5C6DCB72">
      <w:pPr>
        <w:rPr>
          <w:rFonts w:ascii="宋体"/>
          <w:color w:val="auto"/>
          <w:highlight w:val="none"/>
        </w:rPr>
        <w:sectPr>
          <w:pgSz w:w="11906" w:h="16838"/>
          <w:pgMar w:top="1701" w:right="1531" w:bottom="1701" w:left="1531" w:header="851" w:footer="851" w:gutter="0"/>
          <w:cols w:space="720" w:num="1"/>
          <w:docGrid w:linePitch="312" w:charSpace="0"/>
        </w:sectPr>
      </w:pPr>
    </w:p>
    <w:p w14:paraId="770113C1">
      <w:pPr>
        <w:pStyle w:val="21"/>
        <w:spacing w:before="0" w:beforeAutospacing="0" w:after="0" w:afterAutospacing="0"/>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48A51DC2">
      <w:pPr>
        <w:pStyle w:val="21"/>
        <w:spacing w:before="0" w:beforeAutospacing="0" w:after="0" w:afterAutospacing="0"/>
        <w:jc w:val="center"/>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518"/>
        <w:gridCol w:w="1087"/>
        <w:gridCol w:w="1488"/>
        <w:gridCol w:w="1600"/>
        <w:gridCol w:w="1712"/>
        <w:gridCol w:w="1775"/>
        <w:gridCol w:w="1603"/>
      </w:tblGrid>
      <w:tr w14:paraId="576A3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C7421BD">
            <w:pPr>
              <w:jc w:val="center"/>
              <w:rPr>
                <w:rFonts w:hint="eastAsia" w:ascii="黑体" w:hAnsi="黑体" w:eastAsia="黑体" w:cs="宋体"/>
                <w:b/>
                <w:bCs/>
                <w:snapToGrid w:val="0"/>
                <w:color w:val="auto"/>
                <w:spacing w:val="-6"/>
                <w:kern w:val="21"/>
                <w:szCs w:val="21"/>
                <w:highlight w:val="none"/>
              </w:rPr>
            </w:pPr>
            <w:r>
              <w:rPr>
                <w:rFonts w:hint="eastAsia" w:ascii="黑体" w:hAnsi="黑体" w:eastAsia="黑体" w:cs="宋体"/>
                <w:b/>
                <w:bCs/>
                <w:snapToGrid w:val="0"/>
                <w:color w:val="auto"/>
                <w:spacing w:val="-6"/>
                <w:kern w:val="21"/>
                <w:szCs w:val="21"/>
                <w:highlight w:val="none"/>
              </w:rPr>
              <w:t xml:space="preserve">      项目</w:t>
            </w:r>
          </w:p>
          <w:p w14:paraId="2C3F91FD">
            <w:pPr>
              <w:ind w:firstLine="199" w:firstLineChars="100"/>
              <w:jc w:val="left"/>
              <w:rPr>
                <w:rFonts w:hint="eastAsia" w:ascii="黑体" w:hAnsi="黑体" w:eastAsia="黑体" w:cs="宋体"/>
                <w:b/>
                <w:bCs/>
                <w:snapToGrid w:val="0"/>
                <w:color w:val="auto"/>
                <w:spacing w:val="-6"/>
                <w:kern w:val="21"/>
                <w:szCs w:val="21"/>
                <w:highlight w:val="none"/>
              </w:rPr>
            </w:pPr>
            <w:r>
              <w:rPr>
                <w:rFonts w:hint="eastAsia" w:ascii="黑体" w:hAnsi="黑体" w:eastAsia="黑体" w:cs="宋体"/>
                <w:b/>
                <w:bCs/>
                <w:snapToGrid w:val="0"/>
                <w:color w:val="auto"/>
                <w:spacing w:val="-6"/>
                <w:kern w:val="21"/>
                <w:szCs w:val="21"/>
                <w:highlight w:val="none"/>
              </w:rPr>
              <w:t>分类</w:t>
            </w:r>
          </w:p>
        </w:tc>
        <w:tc>
          <w:tcPr>
            <w:tcW w:w="1417" w:type="dxa"/>
            <w:noWrap w:val="0"/>
            <w:tcMar>
              <w:left w:w="28" w:type="dxa"/>
              <w:right w:w="28" w:type="dxa"/>
            </w:tcMar>
            <w:vAlign w:val="center"/>
          </w:tcPr>
          <w:p w14:paraId="23699242">
            <w:pPr>
              <w:jc w:val="center"/>
              <w:rPr>
                <w:rFonts w:hint="eastAsia" w:ascii="黑体" w:hAnsi="黑体" w:eastAsia="黑体" w:cs="宋体"/>
                <w:b/>
                <w:bCs/>
                <w:snapToGrid w:val="0"/>
                <w:color w:val="auto"/>
                <w:spacing w:val="-6"/>
                <w:kern w:val="21"/>
                <w:szCs w:val="21"/>
                <w:highlight w:val="none"/>
              </w:rPr>
            </w:pPr>
            <w:r>
              <w:rPr>
                <w:rFonts w:hint="eastAsia" w:ascii="黑体" w:hAnsi="黑体" w:eastAsia="黑体" w:cs="宋体"/>
                <w:b/>
                <w:bCs/>
                <w:snapToGrid w:val="0"/>
                <w:color w:val="auto"/>
                <w:spacing w:val="-6"/>
                <w:kern w:val="21"/>
                <w:szCs w:val="21"/>
                <w:highlight w:val="none"/>
              </w:rPr>
              <w:t>污染物名称</w:t>
            </w:r>
          </w:p>
        </w:tc>
        <w:tc>
          <w:tcPr>
            <w:tcW w:w="1518" w:type="dxa"/>
            <w:noWrap w:val="0"/>
            <w:tcMar>
              <w:left w:w="28" w:type="dxa"/>
              <w:right w:w="28" w:type="dxa"/>
            </w:tcMar>
            <w:vAlign w:val="center"/>
          </w:tcPr>
          <w:p w14:paraId="6610EF6F">
            <w:pPr>
              <w:jc w:val="center"/>
              <w:rPr>
                <w:rFonts w:hint="eastAsia"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现有工程</w:t>
            </w:r>
          </w:p>
          <w:p w14:paraId="030CEB09">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排放量（固</w:t>
            </w:r>
            <w:r>
              <w:rPr>
                <w:rFonts w:hint="eastAsia" w:ascii="黑体" w:hAnsi="黑体" w:eastAsia="黑体"/>
                <w:b/>
                <w:bCs/>
                <w:snapToGrid w:val="0"/>
                <w:color w:val="auto"/>
                <w:spacing w:val="-6"/>
                <w:kern w:val="21"/>
                <w:szCs w:val="21"/>
                <w:highlight w:val="none"/>
              </w:rPr>
              <w:t>体</w:t>
            </w:r>
            <w:r>
              <w:rPr>
                <w:rFonts w:ascii="黑体" w:hAnsi="黑体" w:eastAsia="黑体"/>
                <w:b/>
                <w:bCs/>
                <w:snapToGrid w:val="0"/>
                <w:color w:val="auto"/>
                <w:spacing w:val="-6"/>
                <w:kern w:val="21"/>
                <w:szCs w:val="21"/>
                <w:highlight w:val="none"/>
              </w:rPr>
              <w:t>废</w:t>
            </w:r>
            <w:r>
              <w:rPr>
                <w:rFonts w:hint="eastAsia" w:ascii="黑体" w:hAnsi="黑体" w:eastAsia="黑体"/>
                <w:b/>
                <w:bCs/>
                <w:snapToGrid w:val="0"/>
                <w:color w:val="auto"/>
                <w:spacing w:val="-6"/>
                <w:kern w:val="21"/>
                <w:szCs w:val="21"/>
                <w:highlight w:val="none"/>
              </w:rPr>
              <w:t>物</w:t>
            </w:r>
            <w:r>
              <w:rPr>
                <w:rFonts w:ascii="黑体" w:hAnsi="黑体" w:eastAsia="黑体"/>
                <w:b/>
                <w:bCs/>
                <w:snapToGrid w:val="0"/>
                <w:color w:val="auto"/>
                <w:spacing w:val="-6"/>
                <w:kern w:val="21"/>
                <w:szCs w:val="21"/>
                <w:highlight w:val="none"/>
              </w:rPr>
              <w:t>产生量）</w:t>
            </w:r>
            <w:r>
              <w:rPr>
                <w:rFonts w:ascii="黑体" w:hAnsi="黑体" w:eastAsia="黑体"/>
                <w:b/>
                <w:bCs/>
                <w:snapToGrid w:val="0"/>
                <w:color w:val="auto"/>
                <w:spacing w:val="-6"/>
                <w:kern w:val="21"/>
                <w:szCs w:val="21"/>
                <w:highlight w:val="none"/>
              </w:rPr>
              <w:fldChar w:fldCharType="begin"/>
            </w:r>
            <w:r>
              <w:rPr>
                <w:rFonts w:ascii="黑体" w:hAnsi="黑体" w:eastAsia="黑体"/>
                <w:b/>
                <w:bCs/>
                <w:snapToGrid w:val="0"/>
                <w:color w:val="auto"/>
                <w:spacing w:val="-6"/>
                <w:kern w:val="21"/>
                <w:szCs w:val="21"/>
                <w:highlight w:val="none"/>
              </w:rPr>
              <w:instrText xml:space="preserve"> = 1 \* GB3 \* MERGEFORMAT </w:instrText>
            </w:r>
            <w:r>
              <w:rPr>
                <w:rFonts w:ascii="黑体" w:hAnsi="黑体" w:eastAsia="黑体"/>
                <w:b/>
                <w:bCs/>
                <w:snapToGrid w:val="0"/>
                <w:color w:val="auto"/>
                <w:spacing w:val="-6"/>
                <w:kern w:val="21"/>
                <w:szCs w:val="21"/>
                <w:highlight w:val="none"/>
              </w:rPr>
              <w:fldChar w:fldCharType="separate"/>
            </w:r>
            <w:r>
              <w:rPr>
                <w:rFonts w:hint="eastAsia" w:ascii="黑体" w:hAnsi="黑体" w:eastAsia="黑体" w:cs="宋体"/>
                <w:b/>
                <w:bCs/>
                <w:color w:val="auto"/>
                <w:szCs w:val="21"/>
                <w:highlight w:val="none"/>
              </w:rPr>
              <w:t>①</w:t>
            </w:r>
            <w:r>
              <w:rPr>
                <w:rFonts w:ascii="黑体" w:hAnsi="黑体" w:eastAsia="黑体"/>
                <w:b/>
                <w:bCs/>
                <w:snapToGrid w:val="0"/>
                <w:color w:val="auto"/>
                <w:spacing w:val="-6"/>
                <w:kern w:val="21"/>
                <w:szCs w:val="21"/>
                <w:highlight w:val="none"/>
              </w:rPr>
              <w:fldChar w:fldCharType="end"/>
            </w:r>
          </w:p>
        </w:tc>
        <w:tc>
          <w:tcPr>
            <w:tcW w:w="1087" w:type="dxa"/>
            <w:noWrap w:val="0"/>
            <w:tcMar>
              <w:left w:w="28" w:type="dxa"/>
              <w:right w:w="28" w:type="dxa"/>
            </w:tcMar>
            <w:vAlign w:val="center"/>
          </w:tcPr>
          <w:p w14:paraId="3285F5FD">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现有工程</w:t>
            </w:r>
          </w:p>
          <w:p w14:paraId="24EA3A46">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许可排放量</w:t>
            </w:r>
          </w:p>
          <w:p w14:paraId="0F4E12BE">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fldChar w:fldCharType="begin"/>
            </w:r>
            <w:r>
              <w:rPr>
                <w:rFonts w:ascii="黑体" w:hAnsi="黑体" w:eastAsia="黑体"/>
                <w:b/>
                <w:bCs/>
                <w:snapToGrid w:val="0"/>
                <w:color w:val="auto"/>
                <w:spacing w:val="-6"/>
                <w:kern w:val="21"/>
                <w:szCs w:val="21"/>
                <w:highlight w:val="none"/>
              </w:rPr>
              <w:instrText xml:space="preserve"> = 2 \* GB3 \* MERGEFORMAT </w:instrText>
            </w:r>
            <w:r>
              <w:rPr>
                <w:rFonts w:ascii="黑体" w:hAnsi="黑体" w:eastAsia="黑体"/>
                <w:b/>
                <w:bCs/>
                <w:snapToGrid w:val="0"/>
                <w:color w:val="auto"/>
                <w:spacing w:val="-6"/>
                <w:kern w:val="21"/>
                <w:szCs w:val="21"/>
                <w:highlight w:val="none"/>
              </w:rPr>
              <w:fldChar w:fldCharType="separate"/>
            </w:r>
            <w:r>
              <w:rPr>
                <w:rFonts w:hint="eastAsia" w:ascii="黑体" w:hAnsi="黑体" w:eastAsia="黑体" w:cs="宋体"/>
                <w:b/>
                <w:bCs/>
                <w:snapToGrid w:val="0"/>
                <w:color w:val="auto"/>
                <w:spacing w:val="-6"/>
                <w:kern w:val="21"/>
                <w:szCs w:val="21"/>
                <w:highlight w:val="none"/>
              </w:rPr>
              <w:t>②</w:t>
            </w:r>
            <w:r>
              <w:rPr>
                <w:rFonts w:ascii="黑体" w:hAnsi="黑体" w:eastAsia="黑体"/>
                <w:b/>
                <w:bCs/>
                <w:snapToGrid w:val="0"/>
                <w:color w:val="auto"/>
                <w:spacing w:val="-6"/>
                <w:kern w:val="21"/>
                <w:szCs w:val="21"/>
                <w:highlight w:val="none"/>
              </w:rPr>
              <w:fldChar w:fldCharType="end"/>
            </w:r>
          </w:p>
        </w:tc>
        <w:tc>
          <w:tcPr>
            <w:tcW w:w="1488" w:type="dxa"/>
            <w:noWrap w:val="0"/>
            <w:tcMar>
              <w:left w:w="28" w:type="dxa"/>
              <w:right w:w="28" w:type="dxa"/>
            </w:tcMar>
            <w:vAlign w:val="center"/>
          </w:tcPr>
          <w:p w14:paraId="76F4F653">
            <w:pPr>
              <w:jc w:val="center"/>
              <w:rPr>
                <w:rFonts w:hint="eastAsia"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在建工程</w:t>
            </w:r>
          </w:p>
          <w:p w14:paraId="7F281323">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排放量（固</w:t>
            </w:r>
            <w:r>
              <w:rPr>
                <w:rFonts w:hint="eastAsia" w:ascii="黑体" w:hAnsi="黑体" w:eastAsia="黑体"/>
                <w:b/>
                <w:bCs/>
                <w:snapToGrid w:val="0"/>
                <w:color w:val="auto"/>
                <w:spacing w:val="-6"/>
                <w:kern w:val="21"/>
                <w:szCs w:val="21"/>
                <w:highlight w:val="none"/>
              </w:rPr>
              <w:t>体</w:t>
            </w:r>
            <w:r>
              <w:rPr>
                <w:rFonts w:ascii="黑体" w:hAnsi="黑体" w:eastAsia="黑体"/>
                <w:b/>
                <w:bCs/>
                <w:snapToGrid w:val="0"/>
                <w:color w:val="auto"/>
                <w:spacing w:val="-6"/>
                <w:kern w:val="21"/>
                <w:szCs w:val="21"/>
                <w:highlight w:val="none"/>
              </w:rPr>
              <w:t>废</w:t>
            </w:r>
            <w:r>
              <w:rPr>
                <w:rFonts w:hint="eastAsia" w:ascii="黑体" w:hAnsi="黑体" w:eastAsia="黑体"/>
                <w:b/>
                <w:bCs/>
                <w:snapToGrid w:val="0"/>
                <w:color w:val="auto"/>
                <w:spacing w:val="-6"/>
                <w:kern w:val="21"/>
                <w:szCs w:val="21"/>
                <w:highlight w:val="none"/>
              </w:rPr>
              <w:t>物</w:t>
            </w:r>
            <w:r>
              <w:rPr>
                <w:rFonts w:ascii="黑体" w:hAnsi="黑体" w:eastAsia="黑体"/>
                <w:b/>
                <w:bCs/>
                <w:snapToGrid w:val="0"/>
                <w:color w:val="auto"/>
                <w:spacing w:val="-6"/>
                <w:kern w:val="21"/>
                <w:szCs w:val="21"/>
                <w:highlight w:val="none"/>
              </w:rPr>
              <w:t>产生量）</w:t>
            </w:r>
            <w:r>
              <w:rPr>
                <w:rFonts w:ascii="黑体" w:hAnsi="黑体" w:eastAsia="黑体"/>
                <w:b/>
                <w:bCs/>
                <w:snapToGrid w:val="0"/>
                <w:color w:val="auto"/>
                <w:spacing w:val="-6"/>
                <w:kern w:val="21"/>
                <w:szCs w:val="21"/>
                <w:highlight w:val="none"/>
              </w:rPr>
              <w:fldChar w:fldCharType="begin"/>
            </w:r>
            <w:r>
              <w:rPr>
                <w:rFonts w:ascii="黑体" w:hAnsi="黑体" w:eastAsia="黑体"/>
                <w:b/>
                <w:bCs/>
                <w:snapToGrid w:val="0"/>
                <w:color w:val="auto"/>
                <w:spacing w:val="-6"/>
                <w:kern w:val="21"/>
                <w:szCs w:val="21"/>
                <w:highlight w:val="none"/>
              </w:rPr>
              <w:instrText xml:space="preserve"> = 3 \* GB3 \* MERGEFORMAT </w:instrText>
            </w:r>
            <w:r>
              <w:rPr>
                <w:rFonts w:ascii="黑体" w:hAnsi="黑体" w:eastAsia="黑体"/>
                <w:b/>
                <w:bCs/>
                <w:snapToGrid w:val="0"/>
                <w:color w:val="auto"/>
                <w:spacing w:val="-6"/>
                <w:kern w:val="21"/>
                <w:szCs w:val="21"/>
                <w:highlight w:val="none"/>
              </w:rPr>
              <w:fldChar w:fldCharType="separate"/>
            </w:r>
            <w:r>
              <w:rPr>
                <w:rFonts w:hint="eastAsia" w:ascii="黑体" w:hAnsi="黑体" w:eastAsia="黑体" w:cs="宋体"/>
                <w:b/>
                <w:bCs/>
                <w:color w:val="auto"/>
                <w:szCs w:val="21"/>
                <w:highlight w:val="none"/>
              </w:rPr>
              <w:t>③</w:t>
            </w:r>
            <w:r>
              <w:rPr>
                <w:rFonts w:ascii="黑体" w:hAnsi="黑体" w:eastAsia="黑体"/>
                <w:b/>
                <w:bCs/>
                <w:snapToGrid w:val="0"/>
                <w:color w:val="auto"/>
                <w:spacing w:val="-6"/>
                <w:kern w:val="21"/>
                <w:szCs w:val="21"/>
                <w:highlight w:val="none"/>
              </w:rPr>
              <w:fldChar w:fldCharType="end"/>
            </w:r>
          </w:p>
        </w:tc>
        <w:tc>
          <w:tcPr>
            <w:tcW w:w="1600" w:type="dxa"/>
            <w:noWrap w:val="0"/>
            <w:tcMar>
              <w:left w:w="28" w:type="dxa"/>
              <w:right w:w="28" w:type="dxa"/>
            </w:tcMar>
            <w:vAlign w:val="center"/>
          </w:tcPr>
          <w:p w14:paraId="5B19A6FD">
            <w:pPr>
              <w:jc w:val="center"/>
              <w:rPr>
                <w:rFonts w:hint="eastAsia"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本项目</w:t>
            </w:r>
          </w:p>
          <w:p w14:paraId="35586A1D">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排放量（固</w:t>
            </w:r>
            <w:r>
              <w:rPr>
                <w:rFonts w:hint="eastAsia" w:ascii="黑体" w:hAnsi="黑体" w:eastAsia="黑体"/>
                <w:b/>
                <w:bCs/>
                <w:snapToGrid w:val="0"/>
                <w:color w:val="auto"/>
                <w:spacing w:val="-6"/>
                <w:kern w:val="21"/>
                <w:szCs w:val="21"/>
                <w:highlight w:val="none"/>
              </w:rPr>
              <w:t>体</w:t>
            </w:r>
            <w:r>
              <w:rPr>
                <w:rFonts w:ascii="黑体" w:hAnsi="黑体" w:eastAsia="黑体"/>
                <w:b/>
                <w:bCs/>
                <w:snapToGrid w:val="0"/>
                <w:color w:val="auto"/>
                <w:spacing w:val="-6"/>
                <w:kern w:val="21"/>
                <w:szCs w:val="21"/>
                <w:highlight w:val="none"/>
              </w:rPr>
              <w:t>废</w:t>
            </w:r>
            <w:r>
              <w:rPr>
                <w:rFonts w:hint="eastAsia" w:ascii="黑体" w:hAnsi="黑体" w:eastAsia="黑体"/>
                <w:b/>
                <w:bCs/>
                <w:snapToGrid w:val="0"/>
                <w:color w:val="auto"/>
                <w:spacing w:val="-6"/>
                <w:kern w:val="21"/>
                <w:szCs w:val="21"/>
                <w:highlight w:val="none"/>
              </w:rPr>
              <w:t>物</w:t>
            </w:r>
            <w:r>
              <w:rPr>
                <w:rFonts w:ascii="黑体" w:hAnsi="黑体" w:eastAsia="黑体"/>
                <w:b/>
                <w:bCs/>
                <w:snapToGrid w:val="0"/>
                <w:color w:val="auto"/>
                <w:spacing w:val="-6"/>
                <w:kern w:val="21"/>
                <w:szCs w:val="21"/>
                <w:highlight w:val="none"/>
              </w:rPr>
              <w:t>产生量）</w:t>
            </w:r>
            <w:r>
              <w:rPr>
                <w:rFonts w:ascii="黑体" w:hAnsi="黑体" w:eastAsia="黑体"/>
                <w:b/>
                <w:bCs/>
                <w:snapToGrid w:val="0"/>
                <w:color w:val="auto"/>
                <w:spacing w:val="-6"/>
                <w:kern w:val="21"/>
                <w:szCs w:val="21"/>
                <w:highlight w:val="none"/>
              </w:rPr>
              <w:fldChar w:fldCharType="begin"/>
            </w:r>
            <w:r>
              <w:rPr>
                <w:rFonts w:ascii="黑体" w:hAnsi="黑体" w:eastAsia="黑体"/>
                <w:b/>
                <w:bCs/>
                <w:snapToGrid w:val="0"/>
                <w:color w:val="auto"/>
                <w:spacing w:val="-6"/>
                <w:kern w:val="21"/>
                <w:szCs w:val="21"/>
                <w:highlight w:val="none"/>
              </w:rPr>
              <w:instrText xml:space="preserve"> = 4 \* GB3 \* MERGEFORMAT </w:instrText>
            </w:r>
            <w:r>
              <w:rPr>
                <w:rFonts w:ascii="黑体" w:hAnsi="黑体" w:eastAsia="黑体"/>
                <w:b/>
                <w:bCs/>
                <w:snapToGrid w:val="0"/>
                <w:color w:val="auto"/>
                <w:spacing w:val="-6"/>
                <w:kern w:val="21"/>
                <w:szCs w:val="21"/>
                <w:highlight w:val="none"/>
              </w:rPr>
              <w:fldChar w:fldCharType="separate"/>
            </w:r>
            <w:r>
              <w:rPr>
                <w:rFonts w:hint="eastAsia" w:ascii="黑体" w:hAnsi="黑体" w:eastAsia="黑体" w:cs="宋体"/>
                <w:b/>
                <w:bCs/>
                <w:color w:val="auto"/>
                <w:szCs w:val="21"/>
                <w:highlight w:val="none"/>
              </w:rPr>
              <w:t>④</w:t>
            </w:r>
            <w:r>
              <w:rPr>
                <w:rFonts w:ascii="黑体" w:hAnsi="黑体" w:eastAsia="黑体"/>
                <w:b/>
                <w:bCs/>
                <w:snapToGrid w:val="0"/>
                <w:color w:val="auto"/>
                <w:spacing w:val="-6"/>
                <w:kern w:val="21"/>
                <w:szCs w:val="21"/>
                <w:highlight w:val="none"/>
              </w:rPr>
              <w:fldChar w:fldCharType="end"/>
            </w:r>
          </w:p>
        </w:tc>
        <w:tc>
          <w:tcPr>
            <w:tcW w:w="1712" w:type="dxa"/>
            <w:noWrap w:val="0"/>
            <w:tcMar>
              <w:left w:w="28" w:type="dxa"/>
              <w:right w:w="28" w:type="dxa"/>
            </w:tcMar>
            <w:vAlign w:val="center"/>
          </w:tcPr>
          <w:p w14:paraId="150D5E58">
            <w:pPr>
              <w:jc w:val="center"/>
              <w:rPr>
                <w:rFonts w:hint="eastAsia" w:ascii="黑体" w:hAnsi="黑体" w:eastAsia="黑体"/>
                <w:b/>
                <w:bCs/>
                <w:snapToGrid w:val="0"/>
                <w:color w:val="auto"/>
                <w:spacing w:val="-16"/>
                <w:kern w:val="21"/>
                <w:szCs w:val="21"/>
                <w:highlight w:val="none"/>
              </w:rPr>
            </w:pPr>
            <w:r>
              <w:rPr>
                <w:rFonts w:ascii="黑体" w:hAnsi="黑体" w:eastAsia="黑体"/>
                <w:b/>
                <w:bCs/>
                <w:snapToGrid w:val="0"/>
                <w:color w:val="auto"/>
                <w:spacing w:val="-16"/>
                <w:kern w:val="21"/>
                <w:szCs w:val="21"/>
                <w:highlight w:val="none"/>
              </w:rPr>
              <w:t>以新带老削减量</w:t>
            </w:r>
          </w:p>
          <w:p w14:paraId="314782F9">
            <w:pPr>
              <w:jc w:val="center"/>
              <w:rPr>
                <w:rFonts w:ascii="黑体" w:hAnsi="黑体" w:eastAsia="黑体"/>
                <w:b/>
                <w:bCs/>
                <w:snapToGrid w:val="0"/>
                <w:color w:val="auto"/>
                <w:spacing w:val="-16"/>
                <w:kern w:val="21"/>
                <w:szCs w:val="21"/>
                <w:highlight w:val="none"/>
              </w:rPr>
            </w:pPr>
            <w:r>
              <w:rPr>
                <w:rFonts w:ascii="黑体" w:hAnsi="黑体" w:eastAsia="黑体"/>
                <w:b/>
                <w:bCs/>
                <w:snapToGrid w:val="0"/>
                <w:color w:val="auto"/>
                <w:spacing w:val="-16"/>
                <w:kern w:val="21"/>
                <w:szCs w:val="21"/>
                <w:highlight w:val="none"/>
              </w:rPr>
              <w:t>（新建项目不填）</w:t>
            </w:r>
            <w:r>
              <w:rPr>
                <w:rFonts w:ascii="黑体" w:hAnsi="黑体" w:eastAsia="黑体"/>
                <w:b/>
                <w:bCs/>
                <w:snapToGrid w:val="0"/>
                <w:color w:val="auto"/>
                <w:spacing w:val="-16"/>
                <w:kern w:val="21"/>
                <w:szCs w:val="21"/>
                <w:highlight w:val="none"/>
              </w:rPr>
              <w:fldChar w:fldCharType="begin"/>
            </w:r>
            <w:r>
              <w:rPr>
                <w:rFonts w:ascii="黑体" w:hAnsi="黑体" w:eastAsia="黑体"/>
                <w:b/>
                <w:bCs/>
                <w:snapToGrid w:val="0"/>
                <w:color w:val="auto"/>
                <w:spacing w:val="-16"/>
                <w:kern w:val="21"/>
                <w:szCs w:val="21"/>
                <w:highlight w:val="none"/>
              </w:rPr>
              <w:instrText xml:space="preserve"> = 5 \* GB3 \* MERGEFORMAT </w:instrText>
            </w:r>
            <w:r>
              <w:rPr>
                <w:rFonts w:ascii="黑体" w:hAnsi="黑体" w:eastAsia="黑体"/>
                <w:b/>
                <w:bCs/>
                <w:snapToGrid w:val="0"/>
                <w:color w:val="auto"/>
                <w:spacing w:val="-16"/>
                <w:kern w:val="21"/>
                <w:szCs w:val="21"/>
                <w:highlight w:val="none"/>
              </w:rPr>
              <w:fldChar w:fldCharType="separate"/>
            </w:r>
            <w:r>
              <w:rPr>
                <w:rFonts w:hint="eastAsia" w:ascii="黑体" w:hAnsi="黑体" w:eastAsia="黑体" w:cs="宋体"/>
                <w:b/>
                <w:bCs/>
                <w:color w:val="auto"/>
                <w:szCs w:val="21"/>
                <w:highlight w:val="none"/>
              </w:rPr>
              <w:t>⑤</w:t>
            </w:r>
            <w:r>
              <w:rPr>
                <w:rFonts w:ascii="黑体" w:hAnsi="黑体" w:eastAsia="黑体"/>
                <w:b/>
                <w:bCs/>
                <w:snapToGrid w:val="0"/>
                <w:color w:val="auto"/>
                <w:spacing w:val="-16"/>
                <w:kern w:val="21"/>
                <w:szCs w:val="21"/>
                <w:highlight w:val="none"/>
              </w:rPr>
              <w:fldChar w:fldCharType="end"/>
            </w:r>
          </w:p>
        </w:tc>
        <w:tc>
          <w:tcPr>
            <w:tcW w:w="1775" w:type="dxa"/>
            <w:noWrap w:val="0"/>
            <w:tcMar>
              <w:left w:w="28" w:type="dxa"/>
              <w:right w:w="28" w:type="dxa"/>
            </w:tcMar>
            <w:vAlign w:val="center"/>
          </w:tcPr>
          <w:p w14:paraId="1D6BDE7B">
            <w:pPr>
              <w:jc w:val="center"/>
              <w:rPr>
                <w:rFonts w:hint="eastAsia" w:ascii="黑体" w:hAnsi="黑体" w:eastAsia="黑体"/>
                <w:b/>
                <w:bCs/>
                <w:snapToGrid w:val="0"/>
                <w:color w:val="auto"/>
                <w:spacing w:val="-16"/>
                <w:kern w:val="21"/>
                <w:szCs w:val="21"/>
                <w:highlight w:val="none"/>
              </w:rPr>
            </w:pPr>
            <w:r>
              <w:rPr>
                <w:rFonts w:ascii="黑体" w:hAnsi="黑体" w:eastAsia="黑体"/>
                <w:b/>
                <w:bCs/>
                <w:snapToGrid w:val="0"/>
                <w:color w:val="auto"/>
                <w:spacing w:val="-16"/>
                <w:kern w:val="21"/>
                <w:szCs w:val="21"/>
                <w:highlight w:val="none"/>
              </w:rPr>
              <w:t>本项目建成后</w:t>
            </w:r>
          </w:p>
          <w:p w14:paraId="1A2BDDC3">
            <w:pPr>
              <w:jc w:val="center"/>
              <w:rPr>
                <w:rFonts w:ascii="黑体" w:hAnsi="黑体" w:eastAsia="黑体"/>
                <w:b/>
                <w:bCs/>
                <w:snapToGrid w:val="0"/>
                <w:color w:val="auto"/>
                <w:spacing w:val="-16"/>
                <w:kern w:val="21"/>
                <w:szCs w:val="21"/>
                <w:highlight w:val="none"/>
              </w:rPr>
            </w:pPr>
            <w:r>
              <w:rPr>
                <w:rFonts w:hint="eastAsia" w:ascii="黑体" w:hAnsi="黑体" w:eastAsia="黑体"/>
                <w:b/>
                <w:bCs/>
                <w:snapToGrid w:val="0"/>
                <w:color w:val="auto"/>
                <w:spacing w:val="-16"/>
                <w:kern w:val="21"/>
                <w:szCs w:val="21"/>
                <w:highlight w:val="none"/>
              </w:rPr>
              <w:t>全厂</w:t>
            </w:r>
            <w:r>
              <w:rPr>
                <w:rFonts w:ascii="黑体" w:hAnsi="黑体" w:eastAsia="黑体"/>
                <w:b/>
                <w:bCs/>
                <w:snapToGrid w:val="0"/>
                <w:color w:val="auto"/>
                <w:spacing w:val="-16"/>
                <w:kern w:val="21"/>
                <w:szCs w:val="21"/>
                <w:highlight w:val="none"/>
              </w:rPr>
              <w:t>排放量（固</w:t>
            </w:r>
            <w:r>
              <w:rPr>
                <w:rFonts w:hint="eastAsia" w:ascii="黑体" w:hAnsi="黑体" w:eastAsia="黑体"/>
                <w:b/>
                <w:bCs/>
                <w:snapToGrid w:val="0"/>
                <w:color w:val="auto"/>
                <w:spacing w:val="-16"/>
                <w:kern w:val="21"/>
                <w:szCs w:val="21"/>
                <w:highlight w:val="none"/>
              </w:rPr>
              <w:t>体</w:t>
            </w:r>
            <w:r>
              <w:rPr>
                <w:rFonts w:ascii="黑体" w:hAnsi="黑体" w:eastAsia="黑体"/>
                <w:b/>
                <w:bCs/>
                <w:snapToGrid w:val="0"/>
                <w:color w:val="auto"/>
                <w:spacing w:val="-16"/>
                <w:kern w:val="21"/>
                <w:szCs w:val="21"/>
                <w:highlight w:val="none"/>
              </w:rPr>
              <w:t>废</w:t>
            </w:r>
            <w:r>
              <w:rPr>
                <w:rFonts w:hint="eastAsia" w:ascii="黑体" w:hAnsi="黑体" w:eastAsia="黑体"/>
                <w:b/>
                <w:bCs/>
                <w:snapToGrid w:val="0"/>
                <w:color w:val="auto"/>
                <w:spacing w:val="-16"/>
                <w:kern w:val="21"/>
                <w:szCs w:val="21"/>
                <w:highlight w:val="none"/>
              </w:rPr>
              <w:t>物</w:t>
            </w:r>
            <w:r>
              <w:rPr>
                <w:rFonts w:ascii="黑体" w:hAnsi="黑体" w:eastAsia="黑体"/>
                <w:b/>
                <w:bCs/>
                <w:snapToGrid w:val="0"/>
                <w:color w:val="auto"/>
                <w:spacing w:val="-16"/>
                <w:kern w:val="21"/>
                <w:szCs w:val="21"/>
                <w:highlight w:val="none"/>
              </w:rPr>
              <w:t>产生量）</w:t>
            </w:r>
            <w:r>
              <w:rPr>
                <w:rFonts w:ascii="黑体" w:hAnsi="黑体" w:eastAsia="黑体"/>
                <w:b/>
                <w:bCs/>
                <w:snapToGrid w:val="0"/>
                <w:color w:val="auto"/>
                <w:spacing w:val="-16"/>
                <w:kern w:val="21"/>
                <w:szCs w:val="21"/>
                <w:highlight w:val="none"/>
              </w:rPr>
              <w:fldChar w:fldCharType="begin"/>
            </w:r>
            <w:r>
              <w:rPr>
                <w:rFonts w:ascii="黑体" w:hAnsi="黑体" w:eastAsia="黑体"/>
                <w:b/>
                <w:bCs/>
                <w:snapToGrid w:val="0"/>
                <w:color w:val="auto"/>
                <w:spacing w:val="-16"/>
                <w:kern w:val="21"/>
                <w:szCs w:val="21"/>
                <w:highlight w:val="none"/>
              </w:rPr>
              <w:instrText xml:space="preserve"> = 6 \* GB3 \* MERGEFORMAT </w:instrText>
            </w:r>
            <w:r>
              <w:rPr>
                <w:rFonts w:ascii="黑体" w:hAnsi="黑体" w:eastAsia="黑体"/>
                <w:b/>
                <w:bCs/>
                <w:snapToGrid w:val="0"/>
                <w:color w:val="auto"/>
                <w:spacing w:val="-16"/>
                <w:kern w:val="21"/>
                <w:szCs w:val="21"/>
                <w:highlight w:val="none"/>
              </w:rPr>
              <w:fldChar w:fldCharType="separate"/>
            </w:r>
            <w:r>
              <w:rPr>
                <w:rFonts w:hint="eastAsia" w:ascii="黑体" w:hAnsi="黑体" w:eastAsia="黑体" w:cs="宋体"/>
                <w:b/>
                <w:bCs/>
                <w:color w:val="auto"/>
                <w:szCs w:val="21"/>
                <w:highlight w:val="none"/>
              </w:rPr>
              <w:t>⑥</w:t>
            </w:r>
            <w:r>
              <w:rPr>
                <w:rFonts w:ascii="黑体" w:hAnsi="黑体" w:eastAsia="黑体"/>
                <w:b/>
                <w:bCs/>
                <w:snapToGrid w:val="0"/>
                <w:color w:val="auto"/>
                <w:spacing w:val="-16"/>
                <w:kern w:val="21"/>
                <w:szCs w:val="21"/>
                <w:highlight w:val="none"/>
              </w:rPr>
              <w:fldChar w:fldCharType="end"/>
            </w:r>
          </w:p>
        </w:tc>
        <w:tc>
          <w:tcPr>
            <w:tcW w:w="1603" w:type="dxa"/>
            <w:noWrap w:val="0"/>
            <w:tcMar>
              <w:left w:w="28" w:type="dxa"/>
              <w:right w:w="28" w:type="dxa"/>
            </w:tcMar>
            <w:vAlign w:val="center"/>
          </w:tcPr>
          <w:p w14:paraId="1D3FA7E7">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t>变化量</w:t>
            </w:r>
          </w:p>
          <w:p w14:paraId="3BE67081">
            <w:pPr>
              <w:jc w:val="center"/>
              <w:rPr>
                <w:rFonts w:ascii="黑体" w:hAnsi="黑体" w:eastAsia="黑体"/>
                <w:b/>
                <w:bCs/>
                <w:snapToGrid w:val="0"/>
                <w:color w:val="auto"/>
                <w:spacing w:val="-6"/>
                <w:kern w:val="21"/>
                <w:szCs w:val="21"/>
                <w:highlight w:val="none"/>
              </w:rPr>
            </w:pPr>
            <w:r>
              <w:rPr>
                <w:rFonts w:ascii="黑体" w:hAnsi="黑体" w:eastAsia="黑体"/>
                <w:b/>
                <w:bCs/>
                <w:snapToGrid w:val="0"/>
                <w:color w:val="auto"/>
                <w:spacing w:val="-6"/>
                <w:kern w:val="21"/>
                <w:szCs w:val="21"/>
                <w:highlight w:val="none"/>
              </w:rPr>
              <w:fldChar w:fldCharType="begin"/>
            </w:r>
            <w:r>
              <w:rPr>
                <w:rFonts w:ascii="黑体" w:hAnsi="黑体" w:eastAsia="黑体"/>
                <w:b/>
                <w:bCs/>
                <w:snapToGrid w:val="0"/>
                <w:color w:val="auto"/>
                <w:spacing w:val="-6"/>
                <w:kern w:val="21"/>
                <w:szCs w:val="21"/>
                <w:highlight w:val="none"/>
              </w:rPr>
              <w:instrText xml:space="preserve"> = 7 \* GB3 \* MERGEFORMAT </w:instrText>
            </w:r>
            <w:r>
              <w:rPr>
                <w:rFonts w:ascii="黑体" w:hAnsi="黑体" w:eastAsia="黑体"/>
                <w:b/>
                <w:bCs/>
                <w:snapToGrid w:val="0"/>
                <w:color w:val="auto"/>
                <w:spacing w:val="-6"/>
                <w:kern w:val="21"/>
                <w:szCs w:val="21"/>
                <w:highlight w:val="none"/>
              </w:rPr>
              <w:fldChar w:fldCharType="separate"/>
            </w:r>
            <w:r>
              <w:rPr>
                <w:rFonts w:hint="eastAsia" w:ascii="黑体" w:hAnsi="黑体" w:eastAsia="黑体" w:cs="宋体"/>
                <w:b/>
                <w:bCs/>
                <w:color w:val="auto"/>
                <w:szCs w:val="21"/>
                <w:highlight w:val="none"/>
              </w:rPr>
              <w:t>⑦</w:t>
            </w:r>
            <w:r>
              <w:rPr>
                <w:rFonts w:ascii="黑体" w:hAnsi="黑体" w:eastAsia="黑体"/>
                <w:b/>
                <w:bCs/>
                <w:snapToGrid w:val="0"/>
                <w:color w:val="auto"/>
                <w:spacing w:val="-6"/>
                <w:kern w:val="21"/>
                <w:szCs w:val="21"/>
                <w:highlight w:val="none"/>
              </w:rPr>
              <w:fldChar w:fldCharType="end"/>
            </w:r>
          </w:p>
        </w:tc>
      </w:tr>
      <w:tr w14:paraId="07E37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noWrap w:val="0"/>
            <w:vAlign w:val="center"/>
          </w:tcPr>
          <w:p w14:paraId="0B93D0AB">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1417" w:type="dxa"/>
            <w:noWrap w:val="0"/>
            <w:vAlign w:val="center"/>
          </w:tcPr>
          <w:p w14:paraId="41F9360B">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颗粒物</w:t>
            </w:r>
          </w:p>
        </w:tc>
        <w:tc>
          <w:tcPr>
            <w:tcW w:w="1518" w:type="dxa"/>
            <w:noWrap w:val="0"/>
            <w:vAlign w:val="center"/>
          </w:tcPr>
          <w:p w14:paraId="53F5C2B6">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111CA2F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69EBA3DA">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2E7FAED3">
            <w:pPr>
              <w:jc w:val="center"/>
              <w:rPr>
                <w:rFonts w:hint="default"/>
                <w:color w:val="auto"/>
                <w:highlight w:val="none"/>
                <w:lang w:val="en-US"/>
              </w:rPr>
            </w:pPr>
            <w:r>
              <w:rPr>
                <w:rFonts w:hint="eastAsia"/>
                <w:color w:val="auto"/>
                <w:highlight w:val="none"/>
                <w:lang w:val="en-US" w:eastAsia="zh-CN"/>
              </w:rPr>
              <w:t>0.000018</w:t>
            </w:r>
            <w:r>
              <w:rPr>
                <w:rFonts w:hint="eastAsia" w:hAnsi="宋体" w:cs="宋体"/>
                <w:snapToGrid w:val="0"/>
                <w:color w:val="auto"/>
                <w:kern w:val="21"/>
                <w:szCs w:val="21"/>
                <w:highlight w:val="none"/>
              </w:rPr>
              <w:t>t/a</w:t>
            </w:r>
          </w:p>
        </w:tc>
        <w:tc>
          <w:tcPr>
            <w:tcW w:w="1712" w:type="dxa"/>
            <w:noWrap w:val="0"/>
            <w:vAlign w:val="center"/>
          </w:tcPr>
          <w:p w14:paraId="3B6E5B5C">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0237F46D">
            <w:pPr>
              <w:jc w:val="center"/>
              <w:rPr>
                <w:rFonts w:hAnsi="宋体" w:cs="宋体"/>
                <w:snapToGrid w:val="0"/>
                <w:color w:val="auto"/>
                <w:kern w:val="21"/>
                <w:szCs w:val="21"/>
                <w:highlight w:val="none"/>
              </w:rPr>
            </w:pPr>
            <w:r>
              <w:rPr>
                <w:rFonts w:hint="eastAsia"/>
                <w:color w:val="auto"/>
                <w:highlight w:val="none"/>
                <w:lang w:val="en-US" w:eastAsia="zh-CN"/>
              </w:rPr>
              <w:t>0.000018</w:t>
            </w:r>
            <w:r>
              <w:rPr>
                <w:rFonts w:hint="eastAsia" w:hAnsi="宋体" w:cs="宋体"/>
                <w:snapToGrid w:val="0"/>
                <w:color w:val="auto"/>
                <w:kern w:val="21"/>
                <w:szCs w:val="21"/>
                <w:highlight w:val="none"/>
              </w:rPr>
              <w:t>t/a</w:t>
            </w:r>
          </w:p>
        </w:tc>
        <w:tc>
          <w:tcPr>
            <w:tcW w:w="1603" w:type="dxa"/>
            <w:noWrap w:val="0"/>
            <w:vAlign w:val="center"/>
          </w:tcPr>
          <w:p w14:paraId="1D873C94">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1D886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noWrap w:val="0"/>
            <w:vAlign w:val="center"/>
          </w:tcPr>
          <w:p w14:paraId="55F1A6D2">
            <w:pPr>
              <w:jc w:val="center"/>
              <w:rPr>
                <w:rFonts w:hint="eastAsia" w:hAnsi="宋体" w:cs="宋体"/>
                <w:snapToGrid w:val="0"/>
                <w:color w:val="auto"/>
                <w:kern w:val="21"/>
                <w:szCs w:val="21"/>
                <w:highlight w:val="none"/>
              </w:rPr>
            </w:pPr>
          </w:p>
        </w:tc>
        <w:tc>
          <w:tcPr>
            <w:tcW w:w="1417" w:type="dxa"/>
            <w:noWrap w:val="0"/>
            <w:vAlign w:val="center"/>
          </w:tcPr>
          <w:p w14:paraId="0C83B066">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rPr>
              <w:t>非甲烷总烃</w:t>
            </w:r>
          </w:p>
        </w:tc>
        <w:tc>
          <w:tcPr>
            <w:tcW w:w="1518" w:type="dxa"/>
            <w:noWrap w:val="0"/>
            <w:vAlign w:val="center"/>
          </w:tcPr>
          <w:p w14:paraId="709DECD2">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087" w:type="dxa"/>
            <w:noWrap w:val="0"/>
            <w:vAlign w:val="center"/>
          </w:tcPr>
          <w:p w14:paraId="0FAD11D6">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488" w:type="dxa"/>
            <w:noWrap w:val="0"/>
            <w:vAlign w:val="center"/>
          </w:tcPr>
          <w:p w14:paraId="3291B00C">
            <w:pPr>
              <w:jc w:val="center"/>
              <w:rPr>
                <w:rFonts w:hint="eastAsia"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w:t>
            </w:r>
          </w:p>
        </w:tc>
        <w:tc>
          <w:tcPr>
            <w:tcW w:w="1600" w:type="dxa"/>
            <w:noWrap w:val="0"/>
            <w:vAlign w:val="center"/>
          </w:tcPr>
          <w:p w14:paraId="7C8FC7C3">
            <w:pPr>
              <w:jc w:val="center"/>
              <w:rPr>
                <w:rFonts w:hint="default" w:hAnsi="宋体" w:eastAsia="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0.037</w:t>
            </w:r>
            <w:r>
              <w:rPr>
                <w:rFonts w:hint="eastAsia" w:hAnsi="宋体" w:cs="宋体"/>
                <w:snapToGrid w:val="0"/>
                <w:color w:val="auto"/>
                <w:kern w:val="21"/>
                <w:szCs w:val="21"/>
                <w:highlight w:val="none"/>
              </w:rPr>
              <w:t>t/a</w:t>
            </w:r>
          </w:p>
        </w:tc>
        <w:tc>
          <w:tcPr>
            <w:tcW w:w="1712" w:type="dxa"/>
            <w:noWrap w:val="0"/>
            <w:vAlign w:val="center"/>
          </w:tcPr>
          <w:p w14:paraId="2BD318B0">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w:t>
            </w:r>
          </w:p>
        </w:tc>
        <w:tc>
          <w:tcPr>
            <w:tcW w:w="1775" w:type="dxa"/>
            <w:noWrap w:val="0"/>
            <w:vAlign w:val="center"/>
          </w:tcPr>
          <w:p w14:paraId="049935EA">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0.037</w:t>
            </w:r>
            <w:r>
              <w:rPr>
                <w:rFonts w:hint="eastAsia" w:hAnsi="宋体" w:cs="宋体"/>
                <w:snapToGrid w:val="0"/>
                <w:color w:val="auto"/>
                <w:kern w:val="21"/>
                <w:szCs w:val="21"/>
                <w:highlight w:val="none"/>
              </w:rPr>
              <w:t>t/a</w:t>
            </w:r>
          </w:p>
        </w:tc>
        <w:tc>
          <w:tcPr>
            <w:tcW w:w="1603" w:type="dxa"/>
            <w:noWrap w:val="0"/>
            <w:vAlign w:val="center"/>
          </w:tcPr>
          <w:p w14:paraId="12F8DE80">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w:t>
            </w:r>
          </w:p>
        </w:tc>
      </w:tr>
      <w:tr w14:paraId="50D24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726C9CE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417" w:type="dxa"/>
            <w:noWrap w:val="0"/>
            <w:vAlign w:val="center"/>
          </w:tcPr>
          <w:p w14:paraId="58A1F3FF">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COD</w:t>
            </w:r>
          </w:p>
        </w:tc>
        <w:tc>
          <w:tcPr>
            <w:tcW w:w="1518" w:type="dxa"/>
            <w:noWrap w:val="0"/>
            <w:vAlign w:val="center"/>
          </w:tcPr>
          <w:p w14:paraId="47602933">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004CE00B">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4A4BDC4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4556A509">
            <w:pPr>
              <w:jc w:val="center"/>
              <w:rPr>
                <w:rFonts w:hint="default" w:eastAsia="宋体"/>
                <w:color w:val="auto"/>
                <w:highlight w:val="none"/>
                <w:lang w:val="en-US" w:eastAsia="zh-CN"/>
              </w:rPr>
            </w:pPr>
            <w:r>
              <w:rPr>
                <w:rFonts w:hint="eastAsia"/>
                <w:color w:val="auto"/>
                <w:highlight w:val="none"/>
                <w:lang w:val="en-US" w:eastAsia="zh-CN"/>
              </w:rPr>
              <w:t>0.036t/a</w:t>
            </w:r>
          </w:p>
        </w:tc>
        <w:tc>
          <w:tcPr>
            <w:tcW w:w="1712" w:type="dxa"/>
            <w:noWrap w:val="0"/>
            <w:vAlign w:val="center"/>
          </w:tcPr>
          <w:p w14:paraId="6D68F270">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6F62547D">
            <w:pPr>
              <w:jc w:val="center"/>
              <w:rPr>
                <w:color w:val="auto"/>
                <w:highlight w:val="none"/>
              </w:rPr>
            </w:pPr>
            <w:r>
              <w:rPr>
                <w:rFonts w:hint="eastAsia"/>
                <w:color w:val="auto"/>
                <w:highlight w:val="none"/>
                <w:lang w:val="en-US" w:eastAsia="zh-CN"/>
              </w:rPr>
              <w:t>0.036t/a</w:t>
            </w:r>
          </w:p>
        </w:tc>
        <w:tc>
          <w:tcPr>
            <w:tcW w:w="1603" w:type="dxa"/>
            <w:noWrap w:val="0"/>
            <w:vAlign w:val="center"/>
          </w:tcPr>
          <w:p w14:paraId="723347FE">
            <w:pPr>
              <w:jc w:val="center"/>
              <w:rPr>
                <w:color w:val="auto"/>
                <w:highlight w:val="none"/>
              </w:rPr>
            </w:pPr>
            <w:r>
              <w:rPr>
                <w:rFonts w:hint="eastAsia" w:hAnsi="宋体" w:cs="宋体"/>
                <w:snapToGrid w:val="0"/>
                <w:color w:val="auto"/>
                <w:kern w:val="21"/>
                <w:szCs w:val="21"/>
                <w:highlight w:val="none"/>
              </w:rPr>
              <w:t>/</w:t>
            </w:r>
          </w:p>
        </w:tc>
      </w:tr>
      <w:tr w14:paraId="7B737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3D18DD65">
            <w:pPr>
              <w:jc w:val="center"/>
              <w:rPr>
                <w:rFonts w:hint="eastAsia" w:hAnsi="宋体" w:cs="宋体"/>
                <w:snapToGrid w:val="0"/>
                <w:color w:val="auto"/>
                <w:kern w:val="21"/>
                <w:szCs w:val="21"/>
                <w:highlight w:val="none"/>
              </w:rPr>
            </w:pPr>
          </w:p>
        </w:tc>
        <w:tc>
          <w:tcPr>
            <w:tcW w:w="1417" w:type="dxa"/>
            <w:noWrap w:val="0"/>
            <w:vAlign w:val="center"/>
          </w:tcPr>
          <w:p w14:paraId="143A6A1C">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SS</w:t>
            </w:r>
          </w:p>
        </w:tc>
        <w:tc>
          <w:tcPr>
            <w:tcW w:w="1518" w:type="dxa"/>
            <w:noWrap w:val="0"/>
            <w:vAlign w:val="center"/>
          </w:tcPr>
          <w:p w14:paraId="54697E2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137B6A69">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5C0D7DCB">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296878BC">
            <w:pPr>
              <w:jc w:val="center"/>
              <w:rPr>
                <w:rFonts w:hint="default" w:eastAsia="宋体"/>
                <w:color w:val="auto"/>
                <w:highlight w:val="none"/>
                <w:lang w:val="en-US" w:eastAsia="zh-CN"/>
              </w:rPr>
            </w:pPr>
            <w:r>
              <w:rPr>
                <w:rFonts w:hint="eastAsia"/>
                <w:color w:val="auto"/>
                <w:highlight w:val="none"/>
                <w:lang w:val="en-US" w:eastAsia="zh-CN"/>
              </w:rPr>
              <w:t>0.024t/a</w:t>
            </w:r>
          </w:p>
        </w:tc>
        <w:tc>
          <w:tcPr>
            <w:tcW w:w="1712" w:type="dxa"/>
            <w:noWrap w:val="0"/>
            <w:vAlign w:val="center"/>
          </w:tcPr>
          <w:p w14:paraId="104D0AC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6178DA65">
            <w:pPr>
              <w:jc w:val="center"/>
              <w:rPr>
                <w:color w:val="auto"/>
                <w:highlight w:val="none"/>
              </w:rPr>
            </w:pPr>
            <w:r>
              <w:rPr>
                <w:rFonts w:hint="eastAsia"/>
                <w:color w:val="auto"/>
                <w:highlight w:val="none"/>
                <w:lang w:val="en-US" w:eastAsia="zh-CN"/>
              </w:rPr>
              <w:t>0.024t/a</w:t>
            </w:r>
          </w:p>
        </w:tc>
        <w:tc>
          <w:tcPr>
            <w:tcW w:w="1603" w:type="dxa"/>
            <w:noWrap w:val="0"/>
            <w:vAlign w:val="center"/>
          </w:tcPr>
          <w:p w14:paraId="1D382678">
            <w:pPr>
              <w:jc w:val="center"/>
              <w:rPr>
                <w:color w:val="auto"/>
                <w:highlight w:val="none"/>
              </w:rPr>
            </w:pPr>
            <w:r>
              <w:rPr>
                <w:rFonts w:hint="eastAsia" w:hAnsi="宋体" w:cs="宋体"/>
                <w:snapToGrid w:val="0"/>
                <w:color w:val="auto"/>
                <w:kern w:val="21"/>
                <w:szCs w:val="21"/>
                <w:highlight w:val="none"/>
              </w:rPr>
              <w:t>/</w:t>
            </w:r>
          </w:p>
        </w:tc>
      </w:tr>
      <w:tr w14:paraId="26D43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033033AB">
            <w:pPr>
              <w:jc w:val="center"/>
              <w:rPr>
                <w:rFonts w:hint="eastAsia" w:hAnsi="宋体" w:cs="宋体"/>
                <w:snapToGrid w:val="0"/>
                <w:color w:val="auto"/>
                <w:kern w:val="21"/>
                <w:szCs w:val="21"/>
                <w:highlight w:val="none"/>
              </w:rPr>
            </w:pPr>
          </w:p>
        </w:tc>
        <w:tc>
          <w:tcPr>
            <w:tcW w:w="1417" w:type="dxa"/>
            <w:noWrap w:val="0"/>
            <w:vAlign w:val="center"/>
          </w:tcPr>
          <w:p w14:paraId="2392CE9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BOD</w:t>
            </w:r>
            <w:r>
              <w:rPr>
                <w:rFonts w:hint="eastAsia" w:hAnsi="宋体" w:cs="宋体"/>
                <w:snapToGrid w:val="0"/>
                <w:color w:val="auto"/>
                <w:kern w:val="21"/>
                <w:szCs w:val="21"/>
                <w:highlight w:val="none"/>
                <w:vertAlign w:val="subscript"/>
              </w:rPr>
              <w:t>5</w:t>
            </w:r>
          </w:p>
        </w:tc>
        <w:tc>
          <w:tcPr>
            <w:tcW w:w="1518" w:type="dxa"/>
            <w:noWrap w:val="0"/>
            <w:vAlign w:val="center"/>
          </w:tcPr>
          <w:p w14:paraId="593C962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01338827">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5118E0F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3A2B9A4C">
            <w:pPr>
              <w:jc w:val="center"/>
              <w:rPr>
                <w:rFonts w:hint="default" w:eastAsia="宋体"/>
                <w:color w:val="auto"/>
                <w:highlight w:val="none"/>
                <w:lang w:val="en-US" w:eastAsia="zh-CN"/>
              </w:rPr>
            </w:pPr>
            <w:r>
              <w:rPr>
                <w:rFonts w:hint="eastAsia"/>
                <w:color w:val="auto"/>
                <w:highlight w:val="none"/>
                <w:lang w:val="en-US" w:eastAsia="zh-CN"/>
              </w:rPr>
              <w:t>0.018t/a</w:t>
            </w:r>
          </w:p>
        </w:tc>
        <w:tc>
          <w:tcPr>
            <w:tcW w:w="1712" w:type="dxa"/>
            <w:noWrap w:val="0"/>
            <w:vAlign w:val="center"/>
          </w:tcPr>
          <w:p w14:paraId="311E6C24">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7B65E56C">
            <w:pPr>
              <w:jc w:val="center"/>
              <w:rPr>
                <w:color w:val="auto"/>
                <w:highlight w:val="none"/>
              </w:rPr>
            </w:pPr>
            <w:r>
              <w:rPr>
                <w:rFonts w:hint="eastAsia"/>
                <w:color w:val="auto"/>
                <w:highlight w:val="none"/>
                <w:lang w:val="en-US" w:eastAsia="zh-CN"/>
              </w:rPr>
              <w:t>0.018t/a</w:t>
            </w:r>
          </w:p>
        </w:tc>
        <w:tc>
          <w:tcPr>
            <w:tcW w:w="1603" w:type="dxa"/>
            <w:noWrap w:val="0"/>
            <w:vAlign w:val="center"/>
          </w:tcPr>
          <w:p w14:paraId="64E02533">
            <w:pPr>
              <w:jc w:val="center"/>
              <w:rPr>
                <w:color w:val="auto"/>
                <w:highlight w:val="none"/>
              </w:rPr>
            </w:pPr>
            <w:r>
              <w:rPr>
                <w:rFonts w:hint="eastAsia" w:hAnsi="宋体" w:cs="宋体"/>
                <w:snapToGrid w:val="0"/>
                <w:color w:val="auto"/>
                <w:kern w:val="21"/>
                <w:szCs w:val="21"/>
                <w:highlight w:val="none"/>
              </w:rPr>
              <w:t>/</w:t>
            </w:r>
          </w:p>
        </w:tc>
      </w:tr>
      <w:tr w14:paraId="312E8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0670B7A8">
            <w:pPr>
              <w:jc w:val="center"/>
              <w:rPr>
                <w:rFonts w:hint="eastAsia" w:hAnsi="宋体" w:cs="宋体"/>
                <w:snapToGrid w:val="0"/>
                <w:color w:val="auto"/>
                <w:kern w:val="21"/>
                <w:szCs w:val="21"/>
                <w:highlight w:val="none"/>
              </w:rPr>
            </w:pPr>
          </w:p>
        </w:tc>
        <w:tc>
          <w:tcPr>
            <w:tcW w:w="1417" w:type="dxa"/>
            <w:noWrap w:val="0"/>
            <w:vAlign w:val="center"/>
          </w:tcPr>
          <w:p w14:paraId="21158D77">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NH</w:t>
            </w:r>
            <w:r>
              <w:rPr>
                <w:rFonts w:hint="eastAsia" w:hAnsi="宋体" w:cs="宋体"/>
                <w:snapToGrid w:val="0"/>
                <w:color w:val="auto"/>
                <w:kern w:val="21"/>
                <w:szCs w:val="21"/>
                <w:highlight w:val="none"/>
                <w:vertAlign w:val="subscript"/>
              </w:rPr>
              <w:t>3</w:t>
            </w:r>
            <w:r>
              <w:rPr>
                <w:rFonts w:hint="eastAsia" w:hAnsi="宋体" w:cs="宋体"/>
                <w:snapToGrid w:val="0"/>
                <w:color w:val="auto"/>
                <w:kern w:val="21"/>
                <w:szCs w:val="21"/>
                <w:highlight w:val="none"/>
              </w:rPr>
              <w:t>-N</w:t>
            </w:r>
          </w:p>
        </w:tc>
        <w:tc>
          <w:tcPr>
            <w:tcW w:w="1518" w:type="dxa"/>
            <w:noWrap w:val="0"/>
            <w:vAlign w:val="center"/>
          </w:tcPr>
          <w:p w14:paraId="3769D60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45F27659">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22464EDC">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79095AA7">
            <w:pPr>
              <w:jc w:val="center"/>
              <w:rPr>
                <w:rFonts w:hint="default" w:eastAsia="宋体"/>
                <w:color w:val="auto"/>
                <w:highlight w:val="none"/>
                <w:lang w:val="en-US" w:eastAsia="zh-CN"/>
              </w:rPr>
            </w:pPr>
            <w:r>
              <w:rPr>
                <w:rFonts w:hint="eastAsia"/>
                <w:color w:val="auto"/>
                <w:highlight w:val="none"/>
                <w:lang w:val="en-US" w:eastAsia="zh-CN"/>
              </w:rPr>
              <w:t>0.003t/a</w:t>
            </w:r>
          </w:p>
        </w:tc>
        <w:tc>
          <w:tcPr>
            <w:tcW w:w="1712" w:type="dxa"/>
            <w:noWrap w:val="0"/>
            <w:vAlign w:val="center"/>
          </w:tcPr>
          <w:p w14:paraId="34FAD5EF">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48A268BA">
            <w:pPr>
              <w:jc w:val="center"/>
              <w:rPr>
                <w:color w:val="auto"/>
                <w:highlight w:val="none"/>
              </w:rPr>
            </w:pPr>
            <w:r>
              <w:rPr>
                <w:rFonts w:hint="eastAsia"/>
                <w:color w:val="auto"/>
                <w:highlight w:val="none"/>
                <w:lang w:val="en-US" w:eastAsia="zh-CN"/>
              </w:rPr>
              <w:t>0.003t/a</w:t>
            </w:r>
          </w:p>
        </w:tc>
        <w:tc>
          <w:tcPr>
            <w:tcW w:w="1603" w:type="dxa"/>
            <w:noWrap w:val="0"/>
            <w:vAlign w:val="center"/>
          </w:tcPr>
          <w:p w14:paraId="4D62D031">
            <w:pPr>
              <w:jc w:val="center"/>
              <w:rPr>
                <w:color w:val="auto"/>
                <w:highlight w:val="none"/>
              </w:rPr>
            </w:pPr>
            <w:r>
              <w:rPr>
                <w:rFonts w:hint="eastAsia" w:hAnsi="宋体" w:cs="宋体"/>
                <w:snapToGrid w:val="0"/>
                <w:color w:val="auto"/>
                <w:kern w:val="21"/>
                <w:szCs w:val="21"/>
                <w:highlight w:val="none"/>
              </w:rPr>
              <w:t>/</w:t>
            </w:r>
          </w:p>
        </w:tc>
      </w:tr>
      <w:tr w14:paraId="665DF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3F687328">
            <w:pPr>
              <w:jc w:val="center"/>
              <w:rPr>
                <w:rFonts w:hint="eastAsia" w:hAnsi="宋体" w:cs="宋体"/>
                <w:snapToGrid w:val="0"/>
                <w:color w:val="auto"/>
                <w:kern w:val="21"/>
                <w:szCs w:val="21"/>
                <w:highlight w:val="none"/>
              </w:rPr>
            </w:pPr>
          </w:p>
        </w:tc>
        <w:tc>
          <w:tcPr>
            <w:tcW w:w="1417" w:type="dxa"/>
            <w:noWrap w:val="0"/>
            <w:vAlign w:val="center"/>
          </w:tcPr>
          <w:p w14:paraId="663807AC">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TN</w:t>
            </w:r>
          </w:p>
        </w:tc>
        <w:tc>
          <w:tcPr>
            <w:tcW w:w="1518" w:type="dxa"/>
            <w:noWrap w:val="0"/>
            <w:vAlign w:val="center"/>
          </w:tcPr>
          <w:p w14:paraId="30CE0B0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66A7C36C">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476E7AC0">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473FF051">
            <w:pPr>
              <w:jc w:val="center"/>
              <w:rPr>
                <w:rFonts w:hint="default" w:eastAsia="宋体"/>
                <w:color w:val="auto"/>
                <w:highlight w:val="none"/>
                <w:lang w:val="en-US" w:eastAsia="zh-CN"/>
              </w:rPr>
            </w:pPr>
            <w:r>
              <w:rPr>
                <w:rFonts w:hint="eastAsia"/>
                <w:color w:val="auto"/>
                <w:highlight w:val="none"/>
                <w:lang w:val="en-US" w:eastAsia="zh-CN"/>
              </w:rPr>
              <w:t>0.005t/a</w:t>
            </w:r>
          </w:p>
        </w:tc>
        <w:tc>
          <w:tcPr>
            <w:tcW w:w="1712" w:type="dxa"/>
            <w:noWrap w:val="0"/>
            <w:vAlign w:val="center"/>
          </w:tcPr>
          <w:p w14:paraId="47AA2A09">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3F9FFAEE">
            <w:pPr>
              <w:jc w:val="center"/>
              <w:rPr>
                <w:color w:val="auto"/>
                <w:highlight w:val="none"/>
              </w:rPr>
            </w:pPr>
            <w:r>
              <w:rPr>
                <w:rFonts w:hint="eastAsia"/>
                <w:color w:val="auto"/>
                <w:highlight w:val="none"/>
                <w:lang w:val="en-US" w:eastAsia="zh-CN"/>
              </w:rPr>
              <w:t>0.005t/a</w:t>
            </w:r>
          </w:p>
        </w:tc>
        <w:tc>
          <w:tcPr>
            <w:tcW w:w="1603" w:type="dxa"/>
            <w:noWrap w:val="0"/>
            <w:vAlign w:val="center"/>
          </w:tcPr>
          <w:p w14:paraId="364C2D18">
            <w:pPr>
              <w:jc w:val="center"/>
              <w:rPr>
                <w:color w:val="auto"/>
                <w:highlight w:val="none"/>
              </w:rPr>
            </w:pPr>
            <w:r>
              <w:rPr>
                <w:rFonts w:hint="eastAsia" w:hAnsi="宋体" w:cs="宋体"/>
                <w:snapToGrid w:val="0"/>
                <w:color w:val="auto"/>
                <w:kern w:val="21"/>
                <w:szCs w:val="21"/>
                <w:highlight w:val="none"/>
              </w:rPr>
              <w:t>/</w:t>
            </w:r>
          </w:p>
        </w:tc>
      </w:tr>
      <w:tr w14:paraId="727E1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7F789A32">
            <w:pPr>
              <w:jc w:val="center"/>
              <w:rPr>
                <w:rFonts w:hint="eastAsia" w:hAnsi="宋体" w:cs="宋体"/>
                <w:snapToGrid w:val="0"/>
                <w:color w:val="auto"/>
                <w:kern w:val="21"/>
                <w:szCs w:val="21"/>
                <w:highlight w:val="none"/>
              </w:rPr>
            </w:pPr>
          </w:p>
        </w:tc>
        <w:tc>
          <w:tcPr>
            <w:tcW w:w="1417" w:type="dxa"/>
            <w:noWrap w:val="0"/>
            <w:vAlign w:val="center"/>
          </w:tcPr>
          <w:p w14:paraId="67D18FDE">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TP</w:t>
            </w:r>
          </w:p>
        </w:tc>
        <w:tc>
          <w:tcPr>
            <w:tcW w:w="1518" w:type="dxa"/>
            <w:noWrap w:val="0"/>
            <w:vAlign w:val="center"/>
          </w:tcPr>
          <w:p w14:paraId="7B192F46">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716DB960">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379B85A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3A19350E">
            <w:pPr>
              <w:jc w:val="center"/>
              <w:rPr>
                <w:rFonts w:hint="default" w:eastAsia="宋体"/>
                <w:color w:val="auto"/>
                <w:highlight w:val="none"/>
                <w:lang w:val="en-US" w:eastAsia="zh-CN"/>
              </w:rPr>
            </w:pPr>
            <w:r>
              <w:rPr>
                <w:rFonts w:hint="eastAsia"/>
                <w:color w:val="auto"/>
                <w:highlight w:val="none"/>
                <w:lang w:val="en-US" w:eastAsia="zh-CN"/>
              </w:rPr>
              <w:t>0.006t/a</w:t>
            </w:r>
          </w:p>
        </w:tc>
        <w:tc>
          <w:tcPr>
            <w:tcW w:w="1712" w:type="dxa"/>
            <w:noWrap w:val="0"/>
            <w:vAlign w:val="center"/>
          </w:tcPr>
          <w:p w14:paraId="09058821">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50B859C0">
            <w:pPr>
              <w:jc w:val="center"/>
              <w:rPr>
                <w:color w:val="auto"/>
                <w:highlight w:val="none"/>
              </w:rPr>
            </w:pPr>
            <w:r>
              <w:rPr>
                <w:rFonts w:hint="eastAsia"/>
                <w:color w:val="auto"/>
                <w:highlight w:val="none"/>
                <w:lang w:val="en-US" w:eastAsia="zh-CN"/>
              </w:rPr>
              <w:t>0.006t/a</w:t>
            </w:r>
          </w:p>
        </w:tc>
        <w:tc>
          <w:tcPr>
            <w:tcW w:w="1603" w:type="dxa"/>
            <w:noWrap w:val="0"/>
            <w:vAlign w:val="center"/>
          </w:tcPr>
          <w:p w14:paraId="2300C91C">
            <w:pPr>
              <w:jc w:val="center"/>
              <w:rPr>
                <w:color w:val="auto"/>
                <w:highlight w:val="none"/>
              </w:rPr>
            </w:pPr>
            <w:r>
              <w:rPr>
                <w:rFonts w:hint="eastAsia" w:hAnsi="宋体" w:cs="宋体"/>
                <w:snapToGrid w:val="0"/>
                <w:color w:val="auto"/>
                <w:kern w:val="21"/>
                <w:szCs w:val="21"/>
                <w:highlight w:val="none"/>
              </w:rPr>
              <w:t>/</w:t>
            </w:r>
          </w:p>
        </w:tc>
      </w:tr>
      <w:tr w14:paraId="6D02C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0904A19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14:paraId="763A05D4">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417" w:type="dxa"/>
            <w:noWrap w:val="0"/>
            <w:vAlign w:val="center"/>
          </w:tcPr>
          <w:p w14:paraId="46D9FFB3">
            <w:pPr>
              <w:ind w:left="-105" w:leftChars="-50" w:right="-105" w:rightChars="-50"/>
              <w:jc w:val="center"/>
              <w:rPr>
                <w:rFonts w:hAnsi="宋体" w:cs="宋体"/>
                <w:snapToGrid w:val="0"/>
                <w:color w:val="auto"/>
                <w:kern w:val="21"/>
                <w:szCs w:val="21"/>
                <w:highlight w:val="none"/>
              </w:rPr>
            </w:pPr>
            <w:r>
              <w:rPr>
                <w:rFonts w:hint="eastAsia"/>
                <w:color w:val="auto"/>
                <w:szCs w:val="21"/>
                <w:highlight w:val="none"/>
              </w:rPr>
              <w:t>除尘灰</w:t>
            </w:r>
          </w:p>
        </w:tc>
        <w:tc>
          <w:tcPr>
            <w:tcW w:w="1518" w:type="dxa"/>
            <w:noWrap w:val="0"/>
            <w:vAlign w:val="center"/>
          </w:tcPr>
          <w:p w14:paraId="6AA72073">
            <w:pPr>
              <w:widowControl/>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0407367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3D34CE44">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693FB9E4">
            <w:pPr>
              <w:topLinePunct/>
              <w:jc w:val="center"/>
              <w:rPr>
                <w:rFonts w:hAnsi="宋体" w:cs="宋体"/>
                <w:snapToGrid w:val="0"/>
                <w:color w:val="auto"/>
                <w:kern w:val="21"/>
                <w:szCs w:val="21"/>
                <w:highlight w:val="none"/>
              </w:rPr>
            </w:pPr>
            <w:r>
              <w:rPr>
                <w:rFonts w:hint="eastAsia" w:cs="Times New Roman"/>
                <w:b w:val="0"/>
                <w:bCs w:val="0"/>
                <w:color w:val="auto"/>
                <w:szCs w:val="21"/>
                <w:highlight w:val="none"/>
                <w:lang w:val="en-US" w:eastAsia="zh-CN"/>
              </w:rPr>
              <w:t>0.000095</w:t>
            </w:r>
            <w:r>
              <w:rPr>
                <w:rFonts w:hint="eastAsia" w:hAnsi="宋体" w:cs="宋体"/>
                <w:snapToGrid w:val="0"/>
                <w:color w:val="auto"/>
                <w:kern w:val="21"/>
                <w:szCs w:val="21"/>
                <w:highlight w:val="none"/>
              </w:rPr>
              <w:t>t/a</w:t>
            </w:r>
          </w:p>
        </w:tc>
        <w:tc>
          <w:tcPr>
            <w:tcW w:w="1712" w:type="dxa"/>
            <w:noWrap w:val="0"/>
            <w:vAlign w:val="center"/>
          </w:tcPr>
          <w:p w14:paraId="430A877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0594D1A4">
            <w:pPr>
              <w:topLinePunct/>
              <w:jc w:val="center"/>
              <w:rPr>
                <w:rFonts w:hint="eastAsia" w:hAnsi="宋体" w:cs="宋体"/>
                <w:snapToGrid w:val="0"/>
                <w:color w:val="auto"/>
                <w:kern w:val="21"/>
                <w:szCs w:val="21"/>
                <w:highlight w:val="none"/>
              </w:rPr>
            </w:pPr>
            <w:r>
              <w:rPr>
                <w:rFonts w:hint="eastAsia" w:cs="Times New Roman"/>
                <w:b w:val="0"/>
                <w:bCs w:val="0"/>
                <w:color w:val="auto"/>
                <w:szCs w:val="21"/>
                <w:highlight w:val="none"/>
                <w:lang w:val="en-US" w:eastAsia="zh-CN"/>
              </w:rPr>
              <w:t>0.000095</w:t>
            </w:r>
            <w:r>
              <w:rPr>
                <w:rFonts w:hint="eastAsia" w:hAnsi="宋体" w:cs="宋体"/>
                <w:snapToGrid w:val="0"/>
                <w:color w:val="auto"/>
                <w:kern w:val="21"/>
                <w:szCs w:val="21"/>
                <w:highlight w:val="none"/>
              </w:rPr>
              <w:t>t/a</w:t>
            </w:r>
          </w:p>
        </w:tc>
        <w:tc>
          <w:tcPr>
            <w:tcW w:w="1603" w:type="dxa"/>
            <w:noWrap w:val="0"/>
            <w:vAlign w:val="center"/>
          </w:tcPr>
          <w:p w14:paraId="1B28D618">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7E58A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6F95A60E">
            <w:pPr>
              <w:jc w:val="center"/>
              <w:rPr>
                <w:rFonts w:hint="eastAsia" w:hAnsi="宋体" w:cs="宋体"/>
                <w:snapToGrid w:val="0"/>
                <w:color w:val="auto"/>
                <w:kern w:val="21"/>
                <w:szCs w:val="21"/>
                <w:highlight w:val="none"/>
              </w:rPr>
            </w:pPr>
          </w:p>
        </w:tc>
        <w:tc>
          <w:tcPr>
            <w:tcW w:w="1417" w:type="dxa"/>
            <w:noWrap w:val="0"/>
            <w:vAlign w:val="center"/>
          </w:tcPr>
          <w:p w14:paraId="7A8EFDDB">
            <w:pPr>
              <w:ind w:left="-105" w:leftChars="-50" w:right="-105" w:rightChars="-50"/>
              <w:jc w:val="center"/>
              <w:rPr>
                <w:rFonts w:hint="eastAsia" w:hAnsi="宋体" w:cs="宋体"/>
                <w:snapToGrid w:val="0"/>
                <w:color w:val="auto"/>
                <w:kern w:val="21"/>
                <w:szCs w:val="21"/>
                <w:highlight w:val="none"/>
              </w:rPr>
            </w:pPr>
            <w:r>
              <w:rPr>
                <w:rFonts w:hint="eastAsia"/>
                <w:color w:val="auto"/>
                <w:szCs w:val="21"/>
                <w:highlight w:val="none"/>
              </w:rPr>
              <w:t>废模具</w:t>
            </w:r>
          </w:p>
        </w:tc>
        <w:tc>
          <w:tcPr>
            <w:tcW w:w="1518" w:type="dxa"/>
            <w:noWrap w:val="0"/>
            <w:vAlign w:val="center"/>
          </w:tcPr>
          <w:p w14:paraId="17610F31">
            <w:pPr>
              <w:widowControl/>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170DCAA4">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6483DADB">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4F687713">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712" w:type="dxa"/>
            <w:noWrap w:val="0"/>
            <w:vAlign w:val="center"/>
          </w:tcPr>
          <w:p w14:paraId="3C3C366C">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57667D28">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603" w:type="dxa"/>
            <w:noWrap w:val="0"/>
            <w:vAlign w:val="center"/>
          </w:tcPr>
          <w:p w14:paraId="409970E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6BB35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6D2C8733">
            <w:pPr>
              <w:jc w:val="center"/>
              <w:rPr>
                <w:rFonts w:hint="eastAsia" w:hAnsi="宋体" w:cs="宋体"/>
                <w:snapToGrid w:val="0"/>
                <w:color w:val="auto"/>
                <w:kern w:val="21"/>
                <w:szCs w:val="21"/>
                <w:highlight w:val="none"/>
              </w:rPr>
            </w:pPr>
          </w:p>
        </w:tc>
        <w:tc>
          <w:tcPr>
            <w:tcW w:w="1417" w:type="dxa"/>
            <w:noWrap w:val="0"/>
            <w:vAlign w:val="center"/>
          </w:tcPr>
          <w:p w14:paraId="3E0E24B1">
            <w:pPr>
              <w:ind w:left="-105" w:leftChars="-50" w:right="-105" w:rightChars="-50"/>
              <w:jc w:val="center"/>
              <w:rPr>
                <w:rFonts w:hint="eastAsia" w:hAnsi="宋体" w:cs="宋体"/>
                <w:snapToGrid w:val="0"/>
                <w:color w:val="auto"/>
                <w:kern w:val="21"/>
                <w:szCs w:val="21"/>
                <w:highlight w:val="none"/>
              </w:rPr>
            </w:pPr>
            <w:r>
              <w:rPr>
                <w:rFonts w:hint="eastAsia"/>
                <w:color w:val="auto"/>
                <w:szCs w:val="21"/>
                <w:highlight w:val="none"/>
              </w:rPr>
              <w:t>废边角料</w:t>
            </w:r>
          </w:p>
        </w:tc>
        <w:tc>
          <w:tcPr>
            <w:tcW w:w="1518" w:type="dxa"/>
            <w:noWrap w:val="0"/>
            <w:vAlign w:val="center"/>
          </w:tcPr>
          <w:p w14:paraId="3BA685A6">
            <w:pPr>
              <w:widowControl/>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0277D1A2">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6C49D743">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3A3C4439">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0.2</w:t>
            </w:r>
            <w:r>
              <w:rPr>
                <w:rFonts w:hint="eastAsia" w:hAnsi="宋体" w:cs="宋体"/>
                <w:snapToGrid w:val="0"/>
                <w:color w:val="auto"/>
                <w:kern w:val="21"/>
                <w:szCs w:val="21"/>
                <w:highlight w:val="none"/>
              </w:rPr>
              <w:t>t/a</w:t>
            </w:r>
          </w:p>
        </w:tc>
        <w:tc>
          <w:tcPr>
            <w:tcW w:w="1712" w:type="dxa"/>
            <w:noWrap w:val="0"/>
            <w:vAlign w:val="center"/>
          </w:tcPr>
          <w:p w14:paraId="4F959A7B">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35B4E224">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0.2</w:t>
            </w:r>
            <w:r>
              <w:rPr>
                <w:rFonts w:hint="eastAsia" w:hAnsi="宋体" w:cs="宋体"/>
                <w:snapToGrid w:val="0"/>
                <w:color w:val="auto"/>
                <w:kern w:val="21"/>
                <w:szCs w:val="21"/>
                <w:highlight w:val="none"/>
              </w:rPr>
              <w:t>t/a</w:t>
            </w:r>
          </w:p>
        </w:tc>
        <w:tc>
          <w:tcPr>
            <w:tcW w:w="1603" w:type="dxa"/>
            <w:noWrap w:val="0"/>
            <w:vAlign w:val="center"/>
          </w:tcPr>
          <w:p w14:paraId="4D26ED79">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762B6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7B731A98">
            <w:pPr>
              <w:jc w:val="center"/>
              <w:rPr>
                <w:rFonts w:hint="eastAsia" w:hAnsi="宋体" w:cs="宋体"/>
                <w:snapToGrid w:val="0"/>
                <w:color w:val="auto"/>
                <w:kern w:val="21"/>
                <w:szCs w:val="21"/>
                <w:highlight w:val="none"/>
              </w:rPr>
            </w:pPr>
          </w:p>
        </w:tc>
        <w:tc>
          <w:tcPr>
            <w:tcW w:w="1417" w:type="dxa"/>
            <w:noWrap w:val="0"/>
            <w:vAlign w:val="center"/>
          </w:tcPr>
          <w:p w14:paraId="04A2B434">
            <w:pPr>
              <w:ind w:left="-105" w:leftChars="-50" w:right="-105" w:rightChars="-50"/>
              <w:jc w:val="center"/>
              <w:rPr>
                <w:rFonts w:hint="eastAsia" w:hAnsi="宋体" w:cs="宋体"/>
                <w:snapToGrid w:val="0"/>
                <w:color w:val="auto"/>
                <w:kern w:val="21"/>
                <w:szCs w:val="21"/>
                <w:highlight w:val="none"/>
              </w:rPr>
            </w:pPr>
            <w:r>
              <w:rPr>
                <w:rFonts w:hint="eastAsia"/>
                <w:color w:val="auto"/>
                <w:szCs w:val="21"/>
                <w:highlight w:val="none"/>
              </w:rPr>
              <w:t>废包装材料</w:t>
            </w:r>
          </w:p>
        </w:tc>
        <w:tc>
          <w:tcPr>
            <w:tcW w:w="1518" w:type="dxa"/>
            <w:noWrap w:val="0"/>
            <w:vAlign w:val="center"/>
          </w:tcPr>
          <w:p w14:paraId="062CCD3C">
            <w:pPr>
              <w:widowControl/>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27A57ADE">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44CEEB4D">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159ED1F9">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712" w:type="dxa"/>
            <w:noWrap w:val="0"/>
            <w:vAlign w:val="center"/>
          </w:tcPr>
          <w:p w14:paraId="3F145737">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3EC61E96">
            <w:pPr>
              <w:ind w:left="-105" w:leftChars="-50" w:right="-105" w:rightChars="-50"/>
              <w:jc w:val="center"/>
              <w:rPr>
                <w:rFonts w:hint="eastAsia"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603" w:type="dxa"/>
            <w:noWrap w:val="0"/>
            <w:vAlign w:val="center"/>
          </w:tcPr>
          <w:p w14:paraId="752F4C32">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7DADC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4CCD5CA5">
            <w:pPr>
              <w:jc w:val="center"/>
              <w:rPr>
                <w:rFonts w:hint="eastAsia" w:hAnsi="宋体" w:cs="宋体"/>
                <w:snapToGrid w:val="0"/>
                <w:color w:val="auto"/>
                <w:kern w:val="21"/>
                <w:szCs w:val="21"/>
                <w:highlight w:val="none"/>
              </w:rPr>
            </w:pPr>
          </w:p>
        </w:tc>
        <w:tc>
          <w:tcPr>
            <w:tcW w:w="1417" w:type="dxa"/>
            <w:noWrap w:val="0"/>
            <w:vAlign w:val="center"/>
          </w:tcPr>
          <w:p w14:paraId="6DABCF3D">
            <w:pPr>
              <w:ind w:left="-105" w:leftChars="-50" w:right="-105" w:rightChars="-50"/>
              <w:jc w:val="center"/>
              <w:rPr>
                <w:rFonts w:hAnsi="宋体" w:cs="宋体"/>
                <w:snapToGrid w:val="0"/>
                <w:color w:val="auto"/>
                <w:kern w:val="21"/>
                <w:szCs w:val="21"/>
                <w:highlight w:val="none"/>
              </w:rPr>
            </w:pPr>
            <w:r>
              <w:rPr>
                <w:rFonts w:hint="eastAsia"/>
                <w:color w:val="auto"/>
                <w:szCs w:val="21"/>
                <w:highlight w:val="none"/>
              </w:rPr>
              <w:t>废铝合金</w:t>
            </w:r>
          </w:p>
        </w:tc>
        <w:tc>
          <w:tcPr>
            <w:tcW w:w="1518" w:type="dxa"/>
            <w:noWrap w:val="0"/>
            <w:vAlign w:val="center"/>
          </w:tcPr>
          <w:p w14:paraId="404F236A">
            <w:pPr>
              <w:widowControl/>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64AE3EEC">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7A3D4856">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20EE50E5">
            <w:pPr>
              <w:ind w:left="-105" w:leftChars="-50" w:right="-105" w:rightChars="-50"/>
              <w:jc w:val="center"/>
              <w:rPr>
                <w:rFonts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712" w:type="dxa"/>
            <w:shd w:val="clear" w:color="auto" w:fill="auto"/>
            <w:noWrap w:val="0"/>
            <w:vAlign w:val="center"/>
          </w:tcPr>
          <w:p w14:paraId="39756325">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rPr>
              <w:t>/</w:t>
            </w:r>
          </w:p>
        </w:tc>
        <w:tc>
          <w:tcPr>
            <w:tcW w:w="1775" w:type="dxa"/>
            <w:noWrap w:val="0"/>
            <w:vAlign w:val="center"/>
          </w:tcPr>
          <w:p w14:paraId="62B654B5">
            <w:pPr>
              <w:ind w:left="-105" w:leftChars="-50" w:right="-105" w:rightChars="-50"/>
              <w:jc w:val="center"/>
              <w:rPr>
                <w:rFonts w:hAnsi="宋体" w:cs="宋体"/>
                <w:snapToGrid w:val="0"/>
                <w:color w:val="auto"/>
                <w:kern w:val="21"/>
                <w:szCs w:val="21"/>
                <w:highlight w:val="none"/>
              </w:rPr>
            </w:pPr>
            <w:r>
              <w:rPr>
                <w:rFonts w:hint="eastAsia" w:ascii="Times New Roman" w:hAnsi="Times New Roman" w:cs="Times New Roman"/>
                <w:b w:val="0"/>
                <w:bCs w:val="0"/>
                <w:color w:val="auto"/>
                <w:szCs w:val="21"/>
                <w:highlight w:val="none"/>
                <w:lang w:val="en-US" w:eastAsia="zh-CN"/>
              </w:rPr>
              <w:t>0.1</w:t>
            </w:r>
            <w:r>
              <w:rPr>
                <w:rFonts w:hint="eastAsia" w:hAnsi="宋体" w:cs="宋体"/>
                <w:snapToGrid w:val="0"/>
                <w:color w:val="auto"/>
                <w:kern w:val="21"/>
                <w:szCs w:val="21"/>
                <w:highlight w:val="none"/>
              </w:rPr>
              <w:t>t/a</w:t>
            </w:r>
          </w:p>
        </w:tc>
        <w:tc>
          <w:tcPr>
            <w:tcW w:w="1603" w:type="dxa"/>
            <w:noWrap w:val="0"/>
            <w:vAlign w:val="center"/>
          </w:tcPr>
          <w:p w14:paraId="27A3D3D1">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7ED0D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restart"/>
            <w:noWrap w:val="0"/>
            <w:vAlign w:val="center"/>
          </w:tcPr>
          <w:p w14:paraId="1EB9A990">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1417" w:type="dxa"/>
            <w:noWrap w:val="0"/>
            <w:vAlign w:val="center"/>
          </w:tcPr>
          <w:p w14:paraId="2CB3784F">
            <w:pPr>
              <w:ind w:left="-105" w:leftChars="-50" w:right="-105" w:rightChars="-50"/>
              <w:jc w:val="center"/>
              <w:rPr>
                <w:rFonts w:hAnsi="宋体" w:cs="宋体"/>
                <w:snapToGrid w:val="0"/>
                <w:color w:val="auto"/>
                <w:kern w:val="21"/>
                <w:szCs w:val="21"/>
                <w:highlight w:val="none"/>
              </w:rPr>
            </w:pPr>
            <w:r>
              <w:rPr>
                <w:rFonts w:hint="eastAsia"/>
                <w:color w:val="auto"/>
                <w:szCs w:val="21"/>
                <w:highlight w:val="none"/>
              </w:rPr>
              <w:t>废活性炭</w:t>
            </w:r>
          </w:p>
        </w:tc>
        <w:tc>
          <w:tcPr>
            <w:tcW w:w="1518" w:type="dxa"/>
            <w:noWrap w:val="0"/>
            <w:vAlign w:val="center"/>
          </w:tcPr>
          <w:p w14:paraId="348A970F">
            <w:pPr>
              <w:widowControl/>
              <w:jc w:val="center"/>
              <w:rPr>
                <w:bCs/>
                <w:color w:val="auto"/>
                <w:szCs w:val="21"/>
                <w:highlight w:val="none"/>
              </w:rPr>
            </w:pPr>
            <w:r>
              <w:rPr>
                <w:rFonts w:hint="eastAsia" w:hAnsi="宋体" w:cs="宋体"/>
                <w:snapToGrid w:val="0"/>
                <w:color w:val="auto"/>
                <w:kern w:val="21"/>
                <w:szCs w:val="21"/>
                <w:highlight w:val="none"/>
              </w:rPr>
              <w:t>/</w:t>
            </w:r>
          </w:p>
        </w:tc>
        <w:tc>
          <w:tcPr>
            <w:tcW w:w="1087" w:type="dxa"/>
            <w:noWrap w:val="0"/>
            <w:vAlign w:val="center"/>
          </w:tcPr>
          <w:p w14:paraId="6BB76A55">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3AADE366">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020484DF">
            <w:pPr>
              <w:topLinePunct/>
              <w:jc w:val="center"/>
              <w:rPr>
                <w:color w:val="auto"/>
                <w:szCs w:val="21"/>
                <w:highlight w:val="none"/>
              </w:rPr>
            </w:pPr>
            <w:r>
              <w:rPr>
                <w:rFonts w:hint="eastAsia"/>
                <w:color w:val="auto"/>
                <w:szCs w:val="21"/>
                <w:highlight w:val="none"/>
                <w:lang w:val="en-US" w:eastAsia="zh-CN"/>
              </w:rPr>
              <w:t>4.016</w:t>
            </w:r>
            <w:r>
              <w:rPr>
                <w:rFonts w:hint="eastAsia"/>
                <w:color w:val="auto"/>
                <w:szCs w:val="21"/>
                <w:highlight w:val="none"/>
              </w:rPr>
              <w:t>t/a</w:t>
            </w:r>
          </w:p>
        </w:tc>
        <w:tc>
          <w:tcPr>
            <w:tcW w:w="1712" w:type="dxa"/>
            <w:shd w:val="clear" w:color="auto" w:fill="auto"/>
            <w:noWrap w:val="0"/>
            <w:vAlign w:val="center"/>
          </w:tcPr>
          <w:p w14:paraId="61C7D56B">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rPr>
              <w:t>/</w:t>
            </w:r>
          </w:p>
        </w:tc>
        <w:tc>
          <w:tcPr>
            <w:tcW w:w="1775" w:type="dxa"/>
            <w:noWrap w:val="0"/>
            <w:vAlign w:val="center"/>
          </w:tcPr>
          <w:p w14:paraId="717DB1B9">
            <w:pPr>
              <w:topLinePunct/>
              <w:jc w:val="center"/>
              <w:rPr>
                <w:color w:val="auto"/>
                <w:szCs w:val="21"/>
                <w:highlight w:val="none"/>
              </w:rPr>
            </w:pPr>
            <w:r>
              <w:rPr>
                <w:rFonts w:hint="eastAsia"/>
                <w:color w:val="auto"/>
                <w:szCs w:val="21"/>
                <w:highlight w:val="none"/>
                <w:lang w:val="en-US" w:eastAsia="zh-CN"/>
              </w:rPr>
              <w:t>4.016</w:t>
            </w:r>
            <w:r>
              <w:rPr>
                <w:rFonts w:hint="eastAsia"/>
                <w:color w:val="auto"/>
                <w:szCs w:val="21"/>
                <w:highlight w:val="none"/>
              </w:rPr>
              <w:t>t/a</w:t>
            </w:r>
          </w:p>
        </w:tc>
        <w:tc>
          <w:tcPr>
            <w:tcW w:w="1603" w:type="dxa"/>
            <w:noWrap w:val="0"/>
            <w:vAlign w:val="center"/>
          </w:tcPr>
          <w:p w14:paraId="72DE1504">
            <w:pPr>
              <w:topLinePunct/>
              <w:jc w:val="center"/>
              <w:rPr>
                <w:color w:val="auto"/>
                <w:szCs w:val="21"/>
                <w:highlight w:val="none"/>
              </w:rPr>
            </w:pPr>
            <w:r>
              <w:rPr>
                <w:rFonts w:hint="eastAsia" w:hAnsi="宋体" w:cs="宋体"/>
                <w:snapToGrid w:val="0"/>
                <w:color w:val="auto"/>
                <w:kern w:val="21"/>
                <w:szCs w:val="21"/>
                <w:highlight w:val="none"/>
              </w:rPr>
              <w:t>/</w:t>
            </w:r>
          </w:p>
        </w:tc>
      </w:tr>
      <w:tr w14:paraId="192A1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159EDF9B">
            <w:pPr>
              <w:jc w:val="center"/>
              <w:rPr>
                <w:rFonts w:hint="eastAsia" w:hAnsi="宋体" w:cs="宋体"/>
                <w:snapToGrid w:val="0"/>
                <w:color w:val="auto"/>
                <w:kern w:val="21"/>
                <w:szCs w:val="21"/>
                <w:highlight w:val="none"/>
              </w:rPr>
            </w:pPr>
          </w:p>
        </w:tc>
        <w:tc>
          <w:tcPr>
            <w:tcW w:w="1417" w:type="dxa"/>
            <w:noWrap w:val="0"/>
            <w:vAlign w:val="center"/>
          </w:tcPr>
          <w:p w14:paraId="5271099C">
            <w:pPr>
              <w:ind w:left="-105" w:leftChars="-50" w:right="-105" w:rightChars="-50"/>
              <w:jc w:val="center"/>
              <w:rPr>
                <w:rFonts w:hAnsi="宋体" w:cs="宋体"/>
                <w:snapToGrid w:val="0"/>
                <w:color w:val="auto"/>
                <w:kern w:val="21"/>
                <w:szCs w:val="21"/>
                <w:highlight w:val="none"/>
              </w:rPr>
            </w:pPr>
            <w:r>
              <w:rPr>
                <w:rFonts w:hint="eastAsia"/>
                <w:color w:val="auto"/>
                <w:szCs w:val="21"/>
                <w:highlight w:val="none"/>
              </w:rPr>
              <w:t>废油桶</w:t>
            </w:r>
          </w:p>
        </w:tc>
        <w:tc>
          <w:tcPr>
            <w:tcW w:w="1518" w:type="dxa"/>
            <w:noWrap w:val="0"/>
            <w:vAlign w:val="center"/>
          </w:tcPr>
          <w:p w14:paraId="28E6FE7A">
            <w:pPr>
              <w:widowControl/>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30BF411A">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33B2A886">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125B0644">
            <w:pPr>
              <w:topLinePunct/>
              <w:jc w:val="center"/>
              <w:rPr>
                <w:rFonts w:hAnsi="宋体" w:cs="宋体"/>
                <w:snapToGrid w:val="0"/>
                <w:color w:val="auto"/>
                <w:kern w:val="21"/>
                <w:szCs w:val="21"/>
                <w:highlight w:val="none"/>
              </w:rPr>
            </w:pPr>
            <w:r>
              <w:rPr>
                <w:rFonts w:hint="eastAsia"/>
                <w:color w:val="auto"/>
                <w:szCs w:val="21"/>
                <w:highlight w:val="none"/>
                <w:lang w:val="en-US" w:eastAsia="zh-CN"/>
              </w:rPr>
              <w:t>0.1</w:t>
            </w:r>
            <w:r>
              <w:rPr>
                <w:rFonts w:hint="eastAsia" w:hAnsi="宋体" w:cs="宋体"/>
                <w:snapToGrid w:val="0"/>
                <w:color w:val="auto"/>
                <w:kern w:val="21"/>
                <w:szCs w:val="21"/>
                <w:highlight w:val="none"/>
              </w:rPr>
              <w:t>t/a</w:t>
            </w:r>
          </w:p>
        </w:tc>
        <w:tc>
          <w:tcPr>
            <w:tcW w:w="1712" w:type="dxa"/>
            <w:shd w:val="clear" w:color="auto" w:fill="auto"/>
            <w:noWrap w:val="0"/>
            <w:vAlign w:val="center"/>
          </w:tcPr>
          <w:p w14:paraId="2AF80BC1">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rPr>
              <w:t>/</w:t>
            </w:r>
          </w:p>
        </w:tc>
        <w:tc>
          <w:tcPr>
            <w:tcW w:w="1775" w:type="dxa"/>
            <w:noWrap w:val="0"/>
            <w:vAlign w:val="center"/>
          </w:tcPr>
          <w:p w14:paraId="2B3C9E61">
            <w:pPr>
              <w:topLinePunct/>
              <w:jc w:val="center"/>
              <w:rPr>
                <w:rFonts w:hAnsi="宋体" w:cs="宋体"/>
                <w:snapToGrid w:val="0"/>
                <w:color w:val="auto"/>
                <w:kern w:val="21"/>
                <w:szCs w:val="21"/>
                <w:highlight w:val="none"/>
              </w:rPr>
            </w:pPr>
            <w:r>
              <w:rPr>
                <w:rFonts w:hint="eastAsia"/>
                <w:color w:val="auto"/>
                <w:szCs w:val="21"/>
                <w:highlight w:val="none"/>
                <w:lang w:val="en-US" w:eastAsia="zh-CN"/>
              </w:rPr>
              <w:t>0.1</w:t>
            </w:r>
            <w:r>
              <w:rPr>
                <w:rFonts w:hint="eastAsia" w:hAnsi="宋体" w:cs="宋体"/>
                <w:snapToGrid w:val="0"/>
                <w:color w:val="auto"/>
                <w:kern w:val="21"/>
                <w:szCs w:val="21"/>
                <w:highlight w:val="none"/>
              </w:rPr>
              <w:t>t/a</w:t>
            </w:r>
          </w:p>
        </w:tc>
        <w:tc>
          <w:tcPr>
            <w:tcW w:w="1603" w:type="dxa"/>
            <w:noWrap w:val="0"/>
            <w:vAlign w:val="center"/>
          </w:tcPr>
          <w:p w14:paraId="752EA8DF">
            <w:pPr>
              <w:topLinePunct/>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r>
      <w:tr w14:paraId="62599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88" w:type="dxa"/>
            <w:vMerge w:val="continue"/>
            <w:noWrap w:val="0"/>
            <w:vAlign w:val="center"/>
          </w:tcPr>
          <w:p w14:paraId="374E5702">
            <w:pPr>
              <w:jc w:val="center"/>
              <w:rPr>
                <w:rFonts w:hint="eastAsia" w:hAnsi="宋体" w:cs="宋体"/>
                <w:snapToGrid w:val="0"/>
                <w:color w:val="auto"/>
                <w:kern w:val="21"/>
                <w:szCs w:val="21"/>
                <w:highlight w:val="none"/>
              </w:rPr>
            </w:pPr>
          </w:p>
        </w:tc>
        <w:tc>
          <w:tcPr>
            <w:tcW w:w="1417" w:type="dxa"/>
            <w:noWrap w:val="0"/>
            <w:vAlign w:val="center"/>
          </w:tcPr>
          <w:p w14:paraId="1C1DC559">
            <w:pPr>
              <w:ind w:left="-105" w:leftChars="-50" w:right="-105" w:rightChars="-50"/>
              <w:jc w:val="center"/>
              <w:rPr>
                <w:rFonts w:hAnsi="宋体" w:cs="宋体"/>
                <w:snapToGrid w:val="0"/>
                <w:color w:val="auto"/>
                <w:kern w:val="21"/>
                <w:szCs w:val="21"/>
                <w:highlight w:val="none"/>
              </w:rPr>
            </w:pPr>
            <w:r>
              <w:rPr>
                <w:rFonts w:hint="eastAsia"/>
                <w:color w:val="auto"/>
                <w:szCs w:val="21"/>
                <w:highlight w:val="none"/>
              </w:rPr>
              <w:t>废含油抹布</w:t>
            </w:r>
          </w:p>
        </w:tc>
        <w:tc>
          <w:tcPr>
            <w:tcW w:w="1518" w:type="dxa"/>
            <w:noWrap w:val="0"/>
            <w:vAlign w:val="center"/>
          </w:tcPr>
          <w:p w14:paraId="7A23276C">
            <w:pPr>
              <w:widowControl/>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4D81FE62">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415DAF3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1943C6D3">
            <w:pPr>
              <w:topLinePunct/>
              <w:jc w:val="center"/>
              <w:rPr>
                <w:color w:val="auto"/>
                <w:szCs w:val="21"/>
                <w:highlight w:val="none"/>
              </w:rPr>
            </w:pPr>
            <w:r>
              <w:rPr>
                <w:rFonts w:hint="eastAsia"/>
                <w:color w:val="auto"/>
                <w:szCs w:val="21"/>
                <w:highlight w:val="none"/>
                <w:lang w:val="en-US" w:eastAsia="zh-CN"/>
              </w:rPr>
              <w:t>0.05</w:t>
            </w:r>
            <w:r>
              <w:rPr>
                <w:rFonts w:hint="eastAsia"/>
                <w:color w:val="auto"/>
                <w:szCs w:val="21"/>
                <w:highlight w:val="none"/>
              </w:rPr>
              <w:t>t/a</w:t>
            </w:r>
          </w:p>
        </w:tc>
        <w:tc>
          <w:tcPr>
            <w:tcW w:w="1712" w:type="dxa"/>
            <w:shd w:val="clear" w:color="auto" w:fill="auto"/>
            <w:noWrap w:val="0"/>
            <w:vAlign w:val="center"/>
          </w:tcPr>
          <w:p w14:paraId="2F9F2D0F">
            <w:pPr>
              <w:jc w:val="center"/>
              <w:rPr>
                <w:rFonts w:hint="eastAsia" w:ascii="Times New Roman" w:hAnsi="宋体" w:eastAsia="宋体" w:cs="宋体"/>
                <w:snapToGrid w:val="0"/>
                <w:color w:val="auto"/>
                <w:kern w:val="21"/>
                <w:sz w:val="21"/>
                <w:szCs w:val="21"/>
                <w:highlight w:val="none"/>
                <w:lang w:val="en-US" w:eastAsia="zh-CN" w:bidi="ar-SA"/>
              </w:rPr>
            </w:pPr>
            <w:r>
              <w:rPr>
                <w:rFonts w:hint="eastAsia" w:hAnsi="宋体" w:cs="宋体"/>
                <w:snapToGrid w:val="0"/>
                <w:color w:val="auto"/>
                <w:kern w:val="21"/>
                <w:szCs w:val="21"/>
                <w:highlight w:val="none"/>
              </w:rPr>
              <w:t>/</w:t>
            </w:r>
          </w:p>
        </w:tc>
        <w:tc>
          <w:tcPr>
            <w:tcW w:w="1775" w:type="dxa"/>
            <w:noWrap w:val="0"/>
            <w:vAlign w:val="center"/>
          </w:tcPr>
          <w:p w14:paraId="3A0377D0">
            <w:pPr>
              <w:topLinePunct/>
              <w:jc w:val="center"/>
              <w:rPr>
                <w:rFonts w:hint="eastAsia"/>
                <w:color w:val="auto"/>
                <w:szCs w:val="21"/>
                <w:highlight w:val="none"/>
              </w:rPr>
            </w:pPr>
            <w:r>
              <w:rPr>
                <w:rFonts w:hint="eastAsia"/>
                <w:color w:val="auto"/>
                <w:szCs w:val="21"/>
                <w:highlight w:val="none"/>
                <w:lang w:val="en-US" w:eastAsia="zh-CN"/>
              </w:rPr>
              <w:t>0.05</w:t>
            </w:r>
            <w:r>
              <w:rPr>
                <w:rFonts w:hint="eastAsia"/>
                <w:color w:val="auto"/>
                <w:szCs w:val="21"/>
                <w:highlight w:val="none"/>
              </w:rPr>
              <w:t>t/a</w:t>
            </w:r>
          </w:p>
        </w:tc>
        <w:tc>
          <w:tcPr>
            <w:tcW w:w="1603" w:type="dxa"/>
            <w:noWrap w:val="0"/>
            <w:vAlign w:val="center"/>
          </w:tcPr>
          <w:p w14:paraId="2894DBE5">
            <w:pPr>
              <w:topLinePunct/>
              <w:jc w:val="center"/>
              <w:rPr>
                <w:rFonts w:hint="eastAsia"/>
                <w:color w:val="auto"/>
                <w:szCs w:val="21"/>
                <w:highlight w:val="none"/>
              </w:rPr>
            </w:pPr>
            <w:r>
              <w:rPr>
                <w:rFonts w:hint="eastAsia" w:hAnsi="宋体" w:cs="宋体"/>
                <w:snapToGrid w:val="0"/>
                <w:color w:val="auto"/>
                <w:kern w:val="21"/>
                <w:szCs w:val="21"/>
                <w:highlight w:val="none"/>
              </w:rPr>
              <w:t>/</w:t>
            </w:r>
          </w:p>
        </w:tc>
      </w:tr>
      <w:tr w14:paraId="28006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noWrap w:val="0"/>
            <w:vAlign w:val="center"/>
          </w:tcPr>
          <w:p w14:paraId="5A9480ED">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生活垃圾</w:t>
            </w:r>
          </w:p>
        </w:tc>
        <w:tc>
          <w:tcPr>
            <w:tcW w:w="1417" w:type="dxa"/>
            <w:noWrap w:val="0"/>
            <w:vAlign w:val="center"/>
          </w:tcPr>
          <w:p w14:paraId="6F6E6C62">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生活垃圾</w:t>
            </w:r>
          </w:p>
        </w:tc>
        <w:tc>
          <w:tcPr>
            <w:tcW w:w="1518" w:type="dxa"/>
            <w:noWrap w:val="0"/>
            <w:vAlign w:val="center"/>
          </w:tcPr>
          <w:p w14:paraId="06C5D2A3">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087" w:type="dxa"/>
            <w:noWrap w:val="0"/>
            <w:vAlign w:val="center"/>
          </w:tcPr>
          <w:p w14:paraId="4A0CFF55">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488" w:type="dxa"/>
            <w:noWrap w:val="0"/>
            <w:vAlign w:val="center"/>
          </w:tcPr>
          <w:p w14:paraId="6AE987A2">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600" w:type="dxa"/>
            <w:noWrap w:val="0"/>
            <w:vAlign w:val="center"/>
          </w:tcPr>
          <w:p w14:paraId="73214A42">
            <w:pPr>
              <w:topLinePunct/>
              <w:jc w:val="center"/>
              <w:rPr>
                <w:rFonts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0.75</w:t>
            </w:r>
            <w:r>
              <w:rPr>
                <w:rFonts w:hint="eastAsia" w:hAnsi="宋体" w:cs="宋体"/>
                <w:snapToGrid w:val="0"/>
                <w:color w:val="auto"/>
                <w:kern w:val="21"/>
                <w:szCs w:val="21"/>
                <w:highlight w:val="none"/>
              </w:rPr>
              <w:t>t/a</w:t>
            </w:r>
          </w:p>
        </w:tc>
        <w:tc>
          <w:tcPr>
            <w:tcW w:w="1712" w:type="dxa"/>
            <w:noWrap w:val="0"/>
            <w:vAlign w:val="center"/>
          </w:tcPr>
          <w:p w14:paraId="1A251DE0">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w:t>
            </w:r>
          </w:p>
        </w:tc>
        <w:tc>
          <w:tcPr>
            <w:tcW w:w="1775" w:type="dxa"/>
            <w:noWrap w:val="0"/>
            <w:vAlign w:val="center"/>
          </w:tcPr>
          <w:p w14:paraId="24A6D02A">
            <w:pPr>
              <w:topLinePunct/>
              <w:jc w:val="center"/>
              <w:rPr>
                <w:rFonts w:hAnsi="宋体" w:cs="宋体"/>
                <w:snapToGrid w:val="0"/>
                <w:color w:val="auto"/>
                <w:kern w:val="21"/>
                <w:szCs w:val="21"/>
                <w:highlight w:val="none"/>
              </w:rPr>
            </w:pPr>
            <w:r>
              <w:rPr>
                <w:rFonts w:hint="eastAsia" w:hAnsi="宋体" w:cs="宋体"/>
                <w:snapToGrid w:val="0"/>
                <w:color w:val="auto"/>
                <w:kern w:val="21"/>
                <w:szCs w:val="21"/>
                <w:highlight w:val="none"/>
                <w:lang w:val="en-US" w:eastAsia="zh-CN"/>
              </w:rPr>
              <w:t>0.75</w:t>
            </w:r>
            <w:r>
              <w:rPr>
                <w:rFonts w:hint="eastAsia" w:hAnsi="宋体" w:cs="宋体"/>
                <w:snapToGrid w:val="0"/>
                <w:color w:val="auto"/>
                <w:kern w:val="21"/>
                <w:szCs w:val="21"/>
                <w:highlight w:val="none"/>
              </w:rPr>
              <w:t>t/a</w:t>
            </w:r>
          </w:p>
        </w:tc>
        <w:tc>
          <w:tcPr>
            <w:tcW w:w="1603" w:type="dxa"/>
            <w:noWrap w:val="0"/>
            <w:vAlign w:val="center"/>
          </w:tcPr>
          <w:p w14:paraId="06956CA6">
            <w:pPr>
              <w:topLinePunct/>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w:t>
            </w:r>
          </w:p>
        </w:tc>
      </w:tr>
    </w:tbl>
    <w:p w14:paraId="723E2941">
      <w:pPr>
        <w:spacing w:before="192" w:beforeLines="80" w:after="24"/>
        <w:jc w:val="left"/>
        <w:rPr>
          <w:rFonts w:hint="eastAsia"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rPr>
        <w:t>。</w:t>
      </w:r>
    </w:p>
    <w:p w14:paraId="4CFA7EEA">
      <w:pPr>
        <w:rPr>
          <w:rFonts w:ascii="宋体" w:hAnsi="宋体" w:eastAsia="黑体"/>
          <w:color w:val="auto"/>
          <w:highlight w:val="none"/>
        </w:rPr>
      </w:pPr>
    </w:p>
    <w:sectPr>
      <w:footerReference r:id="rId5"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83039F-E1A9-414F-B0A0-BA9A09D8F6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2" w:fontKey="{6375896A-04F0-46C1-BB7A-7387DCA46934}"/>
  </w:font>
  <w:font w:name="方正小标宋_GBK">
    <w:panose1 w:val="02000000000000000000"/>
    <w:charset w:val="86"/>
    <w:family w:val="script"/>
    <w:pitch w:val="default"/>
    <w:sig w:usb0="A00002BF" w:usb1="38CF7CFA" w:usb2="00082016" w:usb3="00000000" w:csb0="00040001" w:csb1="00000000"/>
    <w:embedRegular r:id="rId3" w:fontKey="{527893A4-DA0B-489E-AE7F-52690D7DB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B7D2">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7B1BB0">
                          <w:pPr>
                            <w:pStyle w:val="17"/>
                          </w:pPr>
                          <w:r>
                            <w:t xml:space="preserve">— </w:t>
                          </w:r>
                          <w:r>
                            <w:fldChar w:fldCharType="begin"/>
                          </w:r>
                          <w:r>
                            <w:instrText xml:space="preserve"> PAGE  \* MERGEFORMAT </w:instrText>
                          </w:r>
                          <w:r>
                            <w:fldChar w:fldCharType="separate"/>
                          </w:r>
                          <w:r>
                            <w:t>14</w:t>
                          </w:r>
                          <w:r>
                            <w:fldChar w:fldCharType="end"/>
                          </w:r>
                          <w:r>
                            <w:t xml:space="preserve"> —</w:t>
                          </w:r>
                        </w:p>
                      </w:txbxContent>
                    </wps:txbx>
                    <wps:bodyPr wrap="none" lIns="0" tIns="0" rIns="0" bIns="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R8NMoBAACd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uDcHbc48cuP75efvy+/vpFl&#10;9fomS9QHqDHzPmBuGt76AdNnP6AzMx9UtPmLnAjGUeDzVWA5JCLyo/Vqva4wJDA2XxCfPTwPEdI7&#10;6S3JRkMjTrAIy08fII2pc0qu5vydNqZM0bi/HIiZPSz3PvaYrTTsh4nQ3rdn5NPj8BvqcNcpMe8d&#10;apv3ZDbibOxn4xiiPnRlkXI9CG+OCZsoveUKI+xUGKdW2E0bltfi8b1kPfxV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IR8NMoBAACdAwAADgAAAAAAAAABACAAAAAeAQAAZHJzL2Uyb0Rv&#10;Yy54bWxQSwUGAAAAAAYABgBZAQAAWgUAAAAA&#10;">
              <v:fill on="f" focussize="0,0"/>
              <v:stroke on="f"/>
              <v:imagedata o:title=""/>
              <o:lock v:ext="edit" aspectratio="f"/>
              <v:textbox inset="0mm,0mm,0mm,0mm" style="mso-fit-shape-to-text:t;">
                <w:txbxContent>
                  <w:p w14:paraId="667B1BB0">
                    <w:pPr>
                      <w:pStyle w:val="17"/>
                    </w:pPr>
                    <w:r>
                      <w:t xml:space="preserve">— </w:t>
                    </w:r>
                    <w:r>
                      <w:fldChar w:fldCharType="begin"/>
                    </w:r>
                    <w:r>
                      <w:instrText xml:space="preserve"> PAGE  \* MERGEFORMAT </w:instrText>
                    </w:r>
                    <w:r>
                      <w:fldChar w:fldCharType="separate"/>
                    </w:r>
                    <w:r>
                      <w:t>14</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7986">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51994C">
                          <w:pPr>
                            <w:pStyle w:val="17"/>
                          </w:pPr>
                          <w:r>
                            <w:t xml:space="preserve">— </w:t>
                          </w:r>
                          <w:r>
                            <w:fldChar w:fldCharType="begin"/>
                          </w:r>
                          <w:r>
                            <w:instrText xml:space="preserve"> PAGE  \* MERGEFORMAT </w:instrText>
                          </w:r>
                          <w:r>
                            <w:fldChar w:fldCharType="separate"/>
                          </w:r>
                          <w:r>
                            <w:t>50</w:t>
                          </w:r>
                          <w:r>
                            <w:fldChar w:fldCharType="end"/>
                          </w:r>
                          <w:r>
                            <w:t xml:space="preserve"> —</w:t>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4kdssBAACdAwAADgAAAGRycy9lMm9Eb2MueG1srVPNjtMwEL4j8Q6W&#10;79RpV1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3iJtxS4rjFiV++f7v8+HX5+ZUs&#10;q5ubLFEfoMbMh4C5aXjjB0yf/YDOzHxQ0eYvciIYR4HPV4HlkIjIj9ar9brCkMDYfEF89vg8REhv&#10;pbckGw2NOMEiLD+9hzSmzim5mvP32pgyReP+ciBm9rDc+9hjttKwHyZCe9+ekU+Pw2+ow12nxLxz&#10;qG3ek9mIs7GfjWOI+tCVRcr1ILw+Jmyi9JYrjLBTYZxaYTdtWF6LP+8l6/Gv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o+JHbLAQAAnQMAAA4AAAAAAAAAAQAgAAAAHgEAAGRycy9lMm9E&#10;b2MueG1sUEsFBgAAAAAGAAYAWQEAAFsFAAAAAA==&#10;">
              <v:fill on="f" focussize="0,0"/>
              <v:stroke on="f"/>
              <v:imagedata o:title=""/>
              <o:lock v:ext="edit" aspectratio="f"/>
              <v:textbox inset="0mm,0mm,0mm,0mm" style="mso-fit-shape-to-text:t;">
                <w:txbxContent>
                  <w:p w14:paraId="6F51994C">
                    <w:pPr>
                      <w:pStyle w:val="17"/>
                    </w:pPr>
                    <w:r>
                      <w:t xml:space="preserve">— </w:t>
                    </w:r>
                    <w:r>
                      <w:fldChar w:fldCharType="begin"/>
                    </w:r>
                    <w:r>
                      <w:instrText xml:space="preserve"> PAGE  \* MERGEFORMAT </w:instrText>
                    </w:r>
                    <w:r>
                      <w:fldChar w:fldCharType="separate"/>
                    </w:r>
                    <w:r>
                      <w:t>50</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4EFA">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FE4316">
                          <w:pPr>
                            <w:pStyle w:val="17"/>
                          </w:pPr>
                          <w:r>
                            <w:t xml:space="preserve">— </w:t>
                          </w:r>
                          <w:r>
                            <w:fldChar w:fldCharType="begin"/>
                          </w:r>
                          <w:r>
                            <w:instrText xml:space="preserve"> PAGE  \* MERGEFORMAT </w:instrText>
                          </w:r>
                          <w:r>
                            <w:fldChar w:fldCharType="separate"/>
                          </w:r>
                          <w:r>
                            <w:t>58</w:t>
                          </w:r>
                          <w:r>
                            <w:fldChar w:fldCharType="end"/>
                          </w:r>
                          <w:r>
                            <w:t xml:space="preserve"> —</w:t>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gHgMsBAACdAwAADgAAAGRycy9lMm9Eb2MueG1srVNNrtMwEN4jcQfL&#10;e+q0C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RUljluc+OX7t8uPX5efX8my&#10;ev4iS9QHqDHzLmBuGt74AdNnP6AzMx9UtPmLnAjGUeDzVWA5JCLyo/Vqva4wJDA2XxCf3T8PEdJb&#10;6S3JRkMjTrAIy0/vIY2pc0qu5vytNqZM0bi/HIiZPSz3PvaYrTTsh4nQ3rdn5NPj8BvqcNcpMe8c&#10;apv3ZDbibOxn4xiiPnRlkXI9CK+PCZsoveUKI+xUGKdW2E0bltfiz3vJuv+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foB4DLAQAAnQMAAA4AAAAAAAAAAQAgAAAAHgEAAGRycy9lMm9E&#10;b2MueG1sUEsFBgAAAAAGAAYAWQEAAFsFAAAAAA==&#10;">
              <v:fill on="f" focussize="0,0"/>
              <v:stroke on="f"/>
              <v:imagedata o:title=""/>
              <o:lock v:ext="edit" aspectratio="f"/>
              <v:textbox inset="0mm,0mm,0mm,0mm" style="mso-fit-shape-to-text:t;">
                <w:txbxContent>
                  <w:p w14:paraId="1FFE4316">
                    <w:pPr>
                      <w:pStyle w:val="17"/>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855C8E"/>
    <w:multiLevelType w:val="singleLevel"/>
    <w:tmpl w:val="72855C8E"/>
    <w:lvl w:ilvl="0" w:tentative="0">
      <w:start w:val="1"/>
      <w:numFmt w:val="bullet"/>
      <w:pStyle w:val="13"/>
      <w:lvlText w:val=""/>
      <w:lvlJc w:val="left"/>
      <w:pPr>
        <w:tabs>
          <w:tab w:val="left" w:pos="2040"/>
        </w:tabs>
        <w:ind w:left="2040" w:hanging="36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夜雨听风">
    <w15:presenceInfo w15:providerId="WPS Office" w15:userId="539767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572"/>
    <w:rsid w:val="00005402"/>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27D3"/>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7C28"/>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468E"/>
    <w:rsid w:val="00732922"/>
    <w:rsid w:val="0075162E"/>
    <w:rsid w:val="00754034"/>
    <w:rsid w:val="00756556"/>
    <w:rsid w:val="007618C4"/>
    <w:rsid w:val="00767980"/>
    <w:rsid w:val="00770B19"/>
    <w:rsid w:val="0077463F"/>
    <w:rsid w:val="007836EA"/>
    <w:rsid w:val="00784CDA"/>
    <w:rsid w:val="007906C4"/>
    <w:rsid w:val="00791F03"/>
    <w:rsid w:val="007940EA"/>
    <w:rsid w:val="007967E8"/>
    <w:rsid w:val="007A2170"/>
    <w:rsid w:val="007A22BF"/>
    <w:rsid w:val="007A3323"/>
    <w:rsid w:val="007B72B8"/>
    <w:rsid w:val="007B7A58"/>
    <w:rsid w:val="007C21B5"/>
    <w:rsid w:val="007D7554"/>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21B"/>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65E3"/>
    <w:rsid w:val="00A8713F"/>
    <w:rsid w:val="00A90BA1"/>
    <w:rsid w:val="00A97A9A"/>
    <w:rsid w:val="00AA0671"/>
    <w:rsid w:val="00AA2531"/>
    <w:rsid w:val="00AB1E09"/>
    <w:rsid w:val="00AB5330"/>
    <w:rsid w:val="00AB7747"/>
    <w:rsid w:val="00AC14CE"/>
    <w:rsid w:val="00AC2A56"/>
    <w:rsid w:val="00AD055E"/>
    <w:rsid w:val="00AD2D58"/>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4A4A"/>
    <w:rsid w:val="00B87491"/>
    <w:rsid w:val="00B97723"/>
    <w:rsid w:val="00BA29E9"/>
    <w:rsid w:val="00BA7142"/>
    <w:rsid w:val="00BB237C"/>
    <w:rsid w:val="00BB41A3"/>
    <w:rsid w:val="00BC32DC"/>
    <w:rsid w:val="00BC35B6"/>
    <w:rsid w:val="00BD1B51"/>
    <w:rsid w:val="00BD4596"/>
    <w:rsid w:val="00BE1405"/>
    <w:rsid w:val="00BE312D"/>
    <w:rsid w:val="00BF1C20"/>
    <w:rsid w:val="00C10578"/>
    <w:rsid w:val="00C12DE3"/>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15234"/>
    <w:rsid w:val="00E2656A"/>
    <w:rsid w:val="00E412D0"/>
    <w:rsid w:val="00E46AD2"/>
    <w:rsid w:val="00E56322"/>
    <w:rsid w:val="00E60982"/>
    <w:rsid w:val="00E62C62"/>
    <w:rsid w:val="00E654C1"/>
    <w:rsid w:val="00E65D97"/>
    <w:rsid w:val="00E72A5A"/>
    <w:rsid w:val="00E73354"/>
    <w:rsid w:val="00E9242D"/>
    <w:rsid w:val="00EB3644"/>
    <w:rsid w:val="00EB5255"/>
    <w:rsid w:val="00EB5C47"/>
    <w:rsid w:val="00ED0639"/>
    <w:rsid w:val="00EF4755"/>
    <w:rsid w:val="00EF7135"/>
    <w:rsid w:val="00F027DB"/>
    <w:rsid w:val="00F14A7A"/>
    <w:rsid w:val="00F22985"/>
    <w:rsid w:val="00F3383E"/>
    <w:rsid w:val="00F465A7"/>
    <w:rsid w:val="00F50B7C"/>
    <w:rsid w:val="00F51543"/>
    <w:rsid w:val="00F550E6"/>
    <w:rsid w:val="00F74345"/>
    <w:rsid w:val="00F80A0A"/>
    <w:rsid w:val="00F82B19"/>
    <w:rsid w:val="00F9212D"/>
    <w:rsid w:val="00F965DA"/>
    <w:rsid w:val="00FA406A"/>
    <w:rsid w:val="00FA468D"/>
    <w:rsid w:val="00FB503A"/>
    <w:rsid w:val="00FB516C"/>
    <w:rsid w:val="00FD0236"/>
    <w:rsid w:val="00FD18F4"/>
    <w:rsid w:val="00FD54DB"/>
    <w:rsid w:val="00FD619F"/>
    <w:rsid w:val="00FD6BBB"/>
    <w:rsid w:val="01172A03"/>
    <w:rsid w:val="011C44BE"/>
    <w:rsid w:val="011E0236"/>
    <w:rsid w:val="012313A8"/>
    <w:rsid w:val="01290F7E"/>
    <w:rsid w:val="013712F7"/>
    <w:rsid w:val="013D1DC8"/>
    <w:rsid w:val="013D4B60"/>
    <w:rsid w:val="01401F5A"/>
    <w:rsid w:val="01453A14"/>
    <w:rsid w:val="015D1E09"/>
    <w:rsid w:val="0160084E"/>
    <w:rsid w:val="0173585E"/>
    <w:rsid w:val="01792D23"/>
    <w:rsid w:val="01855CA2"/>
    <w:rsid w:val="01AA4CF6"/>
    <w:rsid w:val="01B36BD0"/>
    <w:rsid w:val="01C7267B"/>
    <w:rsid w:val="01D04258"/>
    <w:rsid w:val="01D408F4"/>
    <w:rsid w:val="01E7687A"/>
    <w:rsid w:val="02054FF0"/>
    <w:rsid w:val="02145195"/>
    <w:rsid w:val="02317AF5"/>
    <w:rsid w:val="02337D11"/>
    <w:rsid w:val="025E1E28"/>
    <w:rsid w:val="02697903"/>
    <w:rsid w:val="027A149C"/>
    <w:rsid w:val="027B6A45"/>
    <w:rsid w:val="02892A09"/>
    <w:rsid w:val="028A05B0"/>
    <w:rsid w:val="02913B65"/>
    <w:rsid w:val="02B608A3"/>
    <w:rsid w:val="02D23086"/>
    <w:rsid w:val="02D92666"/>
    <w:rsid w:val="02ED698C"/>
    <w:rsid w:val="02F96569"/>
    <w:rsid w:val="02FA1A61"/>
    <w:rsid w:val="02FA6754"/>
    <w:rsid w:val="03085511"/>
    <w:rsid w:val="031A3A7C"/>
    <w:rsid w:val="031E55F5"/>
    <w:rsid w:val="0326157D"/>
    <w:rsid w:val="03305FFE"/>
    <w:rsid w:val="035D3297"/>
    <w:rsid w:val="035D5138"/>
    <w:rsid w:val="0365214C"/>
    <w:rsid w:val="036E328E"/>
    <w:rsid w:val="03977E2B"/>
    <w:rsid w:val="039D7B38"/>
    <w:rsid w:val="03B5039C"/>
    <w:rsid w:val="03BF57D3"/>
    <w:rsid w:val="03D251BA"/>
    <w:rsid w:val="03EA7B21"/>
    <w:rsid w:val="03FF54C3"/>
    <w:rsid w:val="042F4508"/>
    <w:rsid w:val="04441D61"/>
    <w:rsid w:val="045978D6"/>
    <w:rsid w:val="045A77D7"/>
    <w:rsid w:val="04642403"/>
    <w:rsid w:val="04662176"/>
    <w:rsid w:val="047521FC"/>
    <w:rsid w:val="04912D27"/>
    <w:rsid w:val="04A23B2A"/>
    <w:rsid w:val="04BA4312"/>
    <w:rsid w:val="04E6106A"/>
    <w:rsid w:val="04E74DF0"/>
    <w:rsid w:val="04EB6681"/>
    <w:rsid w:val="04F62CC6"/>
    <w:rsid w:val="050769F2"/>
    <w:rsid w:val="052039A3"/>
    <w:rsid w:val="05216546"/>
    <w:rsid w:val="052A1B2D"/>
    <w:rsid w:val="05340C96"/>
    <w:rsid w:val="055C132D"/>
    <w:rsid w:val="05681A7F"/>
    <w:rsid w:val="056A52BC"/>
    <w:rsid w:val="05723336"/>
    <w:rsid w:val="05924D4E"/>
    <w:rsid w:val="0599432F"/>
    <w:rsid w:val="05A52CE2"/>
    <w:rsid w:val="05A86320"/>
    <w:rsid w:val="05C3315A"/>
    <w:rsid w:val="05CF47D3"/>
    <w:rsid w:val="05D03D42"/>
    <w:rsid w:val="05DB0BDB"/>
    <w:rsid w:val="05DC4DFD"/>
    <w:rsid w:val="05DE7F94"/>
    <w:rsid w:val="05E76E48"/>
    <w:rsid w:val="05F83EAE"/>
    <w:rsid w:val="060318FF"/>
    <w:rsid w:val="06127C3D"/>
    <w:rsid w:val="0616772D"/>
    <w:rsid w:val="061C4A6A"/>
    <w:rsid w:val="062E4A77"/>
    <w:rsid w:val="063E7D85"/>
    <w:rsid w:val="066761DB"/>
    <w:rsid w:val="06757923"/>
    <w:rsid w:val="0687687D"/>
    <w:rsid w:val="06A05249"/>
    <w:rsid w:val="06B34F7C"/>
    <w:rsid w:val="06C61CF4"/>
    <w:rsid w:val="06DB2F84"/>
    <w:rsid w:val="06E473D2"/>
    <w:rsid w:val="06F21F49"/>
    <w:rsid w:val="06FC5700"/>
    <w:rsid w:val="070659F4"/>
    <w:rsid w:val="070C28DE"/>
    <w:rsid w:val="07293586"/>
    <w:rsid w:val="07295285"/>
    <w:rsid w:val="07636392"/>
    <w:rsid w:val="07654CB8"/>
    <w:rsid w:val="076D7F48"/>
    <w:rsid w:val="076E3F95"/>
    <w:rsid w:val="07770C56"/>
    <w:rsid w:val="078132CC"/>
    <w:rsid w:val="07852DBD"/>
    <w:rsid w:val="078626B7"/>
    <w:rsid w:val="07943E2A"/>
    <w:rsid w:val="079C4E67"/>
    <w:rsid w:val="07CD4764"/>
    <w:rsid w:val="07D13938"/>
    <w:rsid w:val="07D16002"/>
    <w:rsid w:val="07D23B28"/>
    <w:rsid w:val="07D258D6"/>
    <w:rsid w:val="07DB2DC2"/>
    <w:rsid w:val="07DE24CD"/>
    <w:rsid w:val="07EA49A8"/>
    <w:rsid w:val="07EB6126"/>
    <w:rsid w:val="07F7358F"/>
    <w:rsid w:val="08061CCE"/>
    <w:rsid w:val="08147C9D"/>
    <w:rsid w:val="08332988"/>
    <w:rsid w:val="084E7652"/>
    <w:rsid w:val="08504BA0"/>
    <w:rsid w:val="085841C8"/>
    <w:rsid w:val="08940DDD"/>
    <w:rsid w:val="089808CE"/>
    <w:rsid w:val="089E4E3D"/>
    <w:rsid w:val="08AF67F7"/>
    <w:rsid w:val="08D15B8E"/>
    <w:rsid w:val="091B5142"/>
    <w:rsid w:val="092217DD"/>
    <w:rsid w:val="09306D58"/>
    <w:rsid w:val="09360296"/>
    <w:rsid w:val="093A7294"/>
    <w:rsid w:val="094E71DE"/>
    <w:rsid w:val="09540C99"/>
    <w:rsid w:val="0958749E"/>
    <w:rsid w:val="09616F12"/>
    <w:rsid w:val="09AC4B61"/>
    <w:rsid w:val="09B6124A"/>
    <w:rsid w:val="09BA4874"/>
    <w:rsid w:val="09D05E45"/>
    <w:rsid w:val="09DA6CC4"/>
    <w:rsid w:val="09DB3168"/>
    <w:rsid w:val="09E95423"/>
    <w:rsid w:val="09F054FA"/>
    <w:rsid w:val="0A0334A7"/>
    <w:rsid w:val="0A14667A"/>
    <w:rsid w:val="0A1641A0"/>
    <w:rsid w:val="0A1B7A08"/>
    <w:rsid w:val="0A263993"/>
    <w:rsid w:val="0A2C39C3"/>
    <w:rsid w:val="0A2D3AC2"/>
    <w:rsid w:val="0A391C3C"/>
    <w:rsid w:val="0A434869"/>
    <w:rsid w:val="0A563999"/>
    <w:rsid w:val="0A79472F"/>
    <w:rsid w:val="0AA32B00"/>
    <w:rsid w:val="0AA755DF"/>
    <w:rsid w:val="0AC07D00"/>
    <w:rsid w:val="0AC55D4F"/>
    <w:rsid w:val="0AF3628F"/>
    <w:rsid w:val="0AF50259"/>
    <w:rsid w:val="0B0E4E77"/>
    <w:rsid w:val="0B120D44"/>
    <w:rsid w:val="0B121E3D"/>
    <w:rsid w:val="0B2226D0"/>
    <w:rsid w:val="0B310B66"/>
    <w:rsid w:val="0B640F3B"/>
    <w:rsid w:val="0B935D5A"/>
    <w:rsid w:val="0B9E269F"/>
    <w:rsid w:val="0BA23811"/>
    <w:rsid w:val="0BAF665A"/>
    <w:rsid w:val="0BB21B9C"/>
    <w:rsid w:val="0BBE064B"/>
    <w:rsid w:val="0BBF4E76"/>
    <w:rsid w:val="0BBF789B"/>
    <w:rsid w:val="0BD27BF6"/>
    <w:rsid w:val="0BE357A4"/>
    <w:rsid w:val="0BEF6A57"/>
    <w:rsid w:val="0C1829DA"/>
    <w:rsid w:val="0C1B71AB"/>
    <w:rsid w:val="0C3923C8"/>
    <w:rsid w:val="0C3B3C7D"/>
    <w:rsid w:val="0C450D6C"/>
    <w:rsid w:val="0C61547A"/>
    <w:rsid w:val="0C72601D"/>
    <w:rsid w:val="0C743400"/>
    <w:rsid w:val="0C7D2FDA"/>
    <w:rsid w:val="0C8748EC"/>
    <w:rsid w:val="0CAB2EAE"/>
    <w:rsid w:val="0CD8573D"/>
    <w:rsid w:val="0CF602B9"/>
    <w:rsid w:val="0CFB58CF"/>
    <w:rsid w:val="0D2210AE"/>
    <w:rsid w:val="0D2C08E5"/>
    <w:rsid w:val="0D390E34"/>
    <w:rsid w:val="0D510B45"/>
    <w:rsid w:val="0D53448E"/>
    <w:rsid w:val="0D604050"/>
    <w:rsid w:val="0D621C7D"/>
    <w:rsid w:val="0D7F02AE"/>
    <w:rsid w:val="0D9F31D6"/>
    <w:rsid w:val="0DBA4B07"/>
    <w:rsid w:val="0DC352A5"/>
    <w:rsid w:val="0DC67D96"/>
    <w:rsid w:val="0DCF4D92"/>
    <w:rsid w:val="0DDB10C5"/>
    <w:rsid w:val="0DEC65F8"/>
    <w:rsid w:val="0E0F340D"/>
    <w:rsid w:val="0E375E9C"/>
    <w:rsid w:val="0E3957FF"/>
    <w:rsid w:val="0E4300D0"/>
    <w:rsid w:val="0E4868F2"/>
    <w:rsid w:val="0E5B6625"/>
    <w:rsid w:val="0E5E4367"/>
    <w:rsid w:val="0E73034D"/>
    <w:rsid w:val="0E794CFD"/>
    <w:rsid w:val="0E9658AF"/>
    <w:rsid w:val="0EC07818"/>
    <w:rsid w:val="0EE634A6"/>
    <w:rsid w:val="0EF80318"/>
    <w:rsid w:val="0F052A35"/>
    <w:rsid w:val="0F13775A"/>
    <w:rsid w:val="0F1B75F6"/>
    <w:rsid w:val="0F3A448D"/>
    <w:rsid w:val="0F3A74D1"/>
    <w:rsid w:val="0F3E007E"/>
    <w:rsid w:val="0F5F45FE"/>
    <w:rsid w:val="0F7554C5"/>
    <w:rsid w:val="0F847DFE"/>
    <w:rsid w:val="0F9A112B"/>
    <w:rsid w:val="0FA364D6"/>
    <w:rsid w:val="0FB12275"/>
    <w:rsid w:val="0FC95811"/>
    <w:rsid w:val="0FDE49B4"/>
    <w:rsid w:val="0FFA1E6E"/>
    <w:rsid w:val="10101691"/>
    <w:rsid w:val="102B2027"/>
    <w:rsid w:val="103233B6"/>
    <w:rsid w:val="10482BD9"/>
    <w:rsid w:val="104D4694"/>
    <w:rsid w:val="10570FE3"/>
    <w:rsid w:val="10657CD2"/>
    <w:rsid w:val="10685029"/>
    <w:rsid w:val="106D2F64"/>
    <w:rsid w:val="107514F4"/>
    <w:rsid w:val="107D733C"/>
    <w:rsid w:val="109C5A92"/>
    <w:rsid w:val="10A90D15"/>
    <w:rsid w:val="10B22749"/>
    <w:rsid w:val="10B63710"/>
    <w:rsid w:val="10B77D5F"/>
    <w:rsid w:val="10B84EDA"/>
    <w:rsid w:val="10CD1330"/>
    <w:rsid w:val="10E32902"/>
    <w:rsid w:val="10F10820"/>
    <w:rsid w:val="110411F6"/>
    <w:rsid w:val="1109680C"/>
    <w:rsid w:val="110F1949"/>
    <w:rsid w:val="11166833"/>
    <w:rsid w:val="111C2F7A"/>
    <w:rsid w:val="111D4066"/>
    <w:rsid w:val="11286567"/>
    <w:rsid w:val="113421B5"/>
    <w:rsid w:val="113A125D"/>
    <w:rsid w:val="113A2B5E"/>
    <w:rsid w:val="1145536B"/>
    <w:rsid w:val="115B4B8E"/>
    <w:rsid w:val="11665CA1"/>
    <w:rsid w:val="11745EE3"/>
    <w:rsid w:val="11761CAB"/>
    <w:rsid w:val="11902C8C"/>
    <w:rsid w:val="11B254AD"/>
    <w:rsid w:val="11D22345"/>
    <w:rsid w:val="11D45F76"/>
    <w:rsid w:val="11D84431"/>
    <w:rsid w:val="11DA3D05"/>
    <w:rsid w:val="120D5E88"/>
    <w:rsid w:val="121C5DFB"/>
    <w:rsid w:val="121F5BBC"/>
    <w:rsid w:val="12296A3A"/>
    <w:rsid w:val="12347FA4"/>
    <w:rsid w:val="12415B32"/>
    <w:rsid w:val="127A564B"/>
    <w:rsid w:val="127F113C"/>
    <w:rsid w:val="1280190B"/>
    <w:rsid w:val="12957C2C"/>
    <w:rsid w:val="129640D0"/>
    <w:rsid w:val="12A14823"/>
    <w:rsid w:val="12AD31C8"/>
    <w:rsid w:val="12F26E2C"/>
    <w:rsid w:val="1300779B"/>
    <w:rsid w:val="130848A2"/>
    <w:rsid w:val="13086650"/>
    <w:rsid w:val="1316388F"/>
    <w:rsid w:val="131A70DA"/>
    <w:rsid w:val="132C6E0A"/>
    <w:rsid w:val="13321447"/>
    <w:rsid w:val="13386F35"/>
    <w:rsid w:val="13510E43"/>
    <w:rsid w:val="1351449B"/>
    <w:rsid w:val="13545D39"/>
    <w:rsid w:val="137F2DB6"/>
    <w:rsid w:val="13871508"/>
    <w:rsid w:val="13951726"/>
    <w:rsid w:val="13C079F2"/>
    <w:rsid w:val="13DA623E"/>
    <w:rsid w:val="13E5054D"/>
    <w:rsid w:val="13E618E5"/>
    <w:rsid w:val="13E9022F"/>
    <w:rsid w:val="13ED03E9"/>
    <w:rsid w:val="13F015BE"/>
    <w:rsid w:val="14096B23"/>
    <w:rsid w:val="14107EB2"/>
    <w:rsid w:val="14396509"/>
    <w:rsid w:val="145024C5"/>
    <w:rsid w:val="145403E5"/>
    <w:rsid w:val="14681DE1"/>
    <w:rsid w:val="147A532B"/>
    <w:rsid w:val="14887A48"/>
    <w:rsid w:val="149E726C"/>
    <w:rsid w:val="14A779A2"/>
    <w:rsid w:val="14B44CE1"/>
    <w:rsid w:val="14C52A4A"/>
    <w:rsid w:val="14DD2C3C"/>
    <w:rsid w:val="14EC3687"/>
    <w:rsid w:val="150115A9"/>
    <w:rsid w:val="1503611E"/>
    <w:rsid w:val="152E4901"/>
    <w:rsid w:val="155344FA"/>
    <w:rsid w:val="155F0AA6"/>
    <w:rsid w:val="156C736A"/>
    <w:rsid w:val="15795655"/>
    <w:rsid w:val="157E7260"/>
    <w:rsid w:val="1598015F"/>
    <w:rsid w:val="159927CF"/>
    <w:rsid w:val="159C70ED"/>
    <w:rsid w:val="15AE1730"/>
    <w:rsid w:val="15DA0777"/>
    <w:rsid w:val="15DB44F0"/>
    <w:rsid w:val="160055BA"/>
    <w:rsid w:val="160550C9"/>
    <w:rsid w:val="16087E1D"/>
    <w:rsid w:val="160A3729"/>
    <w:rsid w:val="160B2CBC"/>
    <w:rsid w:val="161812A0"/>
    <w:rsid w:val="161B48EC"/>
    <w:rsid w:val="161B669A"/>
    <w:rsid w:val="161E7A07"/>
    <w:rsid w:val="163C4F8E"/>
    <w:rsid w:val="163F25FA"/>
    <w:rsid w:val="1658169C"/>
    <w:rsid w:val="166167A3"/>
    <w:rsid w:val="16677B31"/>
    <w:rsid w:val="166E0EC0"/>
    <w:rsid w:val="168D3939"/>
    <w:rsid w:val="16AC4AAB"/>
    <w:rsid w:val="16BE1E47"/>
    <w:rsid w:val="16C60CFC"/>
    <w:rsid w:val="16C7002A"/>
    <w:rsid w:val="16E557E9"/>
    <w:rsid w:val="16EB6A45"/>
    <w:rsid w:val="16F21AF1"/>
    <w:rsid w:val="16F5338F"/>
    <w:rsid w:val="16FE76D0"/>
    <w:rsid w:val="171329AE"/>
    <w:rsid w:val="17144055"/>
    <w:rsid w:val="17310458"/>
    <w:rsid w:val="175207E1"/>
    <w:rsid w:val="176D73C9"/>
    <w:rsid w:val="17701D14"/>
    <w:rsid w:val="17735226"/>
    <w:rsid w:val="17A50911"/>
    <w:rsid w:val="17B2302E"/>
    <w:rsid w:val="17BC4155"/>
    <w:rsid w:val="17C27715"/>
    <w:rsid w:val="17C30B08"/>
    <w:rsid w:val="17E506FE"/>
    <w:rsid w:val="17EA73B4"/>
    <w:rsid w:val="181B4335"/>
    <w:rsid w:val="18217B13"/>
    <w:rsid w:val="18371109"/>
    <w:rsid w:val="184A6382"/>
    <w:rsid w:val="18502F73"/>
    <w:rsid w:val="185C36C6"/>
    <w:rsid w:val="186079FC"/>
    <w:rsid w:val="186B3909"/>
    <w:rsid w:val="18707171"/>
    <w:rsid w:val="187E2D50"/>
    <w:rsid w:val="189B3AC2"/>
    <w:rsid w:val="189F624C"/>
    <w:rsid w:val="18A15A72"/>
    <w:rsid w:val="18A46E1B"/>
    <w:rsid w:val="18B67E19"/>
    <w:rsid w:val="18CD6371"/>
    <w:rsid w:val="18DA6CE0"/>
    <w:rsid w:val="18E13BCB"/>
    <w:rsid w:val="18F73BF3"/>
    <w:rsid w:val="18F953B8"/>
    <w:rsid w:val="19173A91"/>
    <w:rsid w:val="191E2D87"/>
    <w:rsid w:val="192D6E10"/>
    <w:rsid w:val="194B373A"/>
    <w:rsid w:val="19540841"/>
    <w:rsid w:val="195C14A3"/>
    <w:rsid w:val="198F7ACB"/>
    <w:rsid w:val="19984914"/>
    <w:rsid w:val="19A35324"/>
    <w:rsid w:val="19B316BB"/>
    <w:rsid w:val="19B94B48"/>
    <w:rsid w:val="19CC5368"/>
    <w:rsid w:val="19CC6629"/>
    <w:rsid w:val="19CD616F"/>
    <w:rsid w:val="19D35C0A"/>
    <w:rsid w:val="19DB4ABE"/>
    <w:rsid w:val="19E020D4"/>
    <w:rsid w:val="19F5449D"/>
    <w:rsid w:val="1A0069EE"/>
    <w:rsid w:val="1A141D7E"/>
    <w:rsid w:val="1A18361C"/>
    <w:rsid w:val="1A1C66C0"/>
    <w:rsid w:val="1A27385F"/>
    <w:rsid w:val="1A2F7E51"/>
    <w:rsid w:val="1A367F46"/>
    <w:rsid w:val="1A42393B"/>
    <w:rsid w:val="1A564145"/>
    <w:rsid w:val="1A5B79AD"/>
    <w:rsid w:val="1A8506E8"/>
    <w:rsid w:val="1A9F3D3E"/>
    <w:rsid w:val="1AAD45DE"/>
    <w:rsid w:val="1AB23A71"/>
    <w:rsid w:val="1AD64605"/>
    <w:rsid w:val="1AE10C5F"/>
    <w:rsid w:val="1AE23C2A"/>
    <w:rsid w:val="1AF8344E"/>
    <w:rsid w:val="1B046F80"/>
    <w:rsid w:val="1B3267B5"/>
    <w:rsid w:val="1B373F76"/>
    <w:rsid w:val="1B40161D"/>
    <w:rsid w:val="1B410951"/>
    <w:rsid w:val="1B441859"/>
    <w:rsid w:val="1B4548E5"/>
    <w:rsid w:val="1B4B7A22"/>
    <w:rsid w:val="1B59213E"/>
    <w:rsid w:val="1B6606B1"/>
    <w:rsid w:val="1B6C2164"/>
    <w:rsid w:val="1B6D1746"/>
    <w:rsid w:val="1B723200"/>
    <w:rsid w:val="1B83540D"/>
    <w:rsid w:val="1B937D95"/>
    <w:rsid w:val="1B9969DF"/>
    <w:rsid w:val="1B9F38C9"/>
    <w:rsid w:val="1BB00627"/>
    <w:rsid w:val="1BBF7512"/>
    <w:rsid w:val="1BC002AC"/>
    <w:rsid w:val="1BC434B3"/>
    <w:rsid w:val="1BC872C4"/>
    <w:rsid w:val="1BCE2BAE"/>
    <w:rsid w:val="1BF24C7D"/>
    <w:rsid w:val="1BF754B3"/>
    <w:rsid w:val="1C1A6FED"/>
    <w:rsid w:val="1C234F4E"/>
    <w:rsid w:val="1C2E5379"/>
    <w:rsid w:val="1C5C2227"/>
    <w:rsid w:val="1C5D7A0C"/>
    <w:rsid w:val="1C5E7925"/>
    <w:rsid w:val="1C6012AB"/>
    <w:rsid w:val="1C6033A7"/>
    <w:rsid w:val="1C6A2129"/>
    <w:rsid w:val="1C9F05D3"/>
    <w:rsid w:val="1CB03FE0"/>
    <w:rsid w:val="1CBB7D2D"/>
    <w:rsid w:val="1CC23D13"/>
    <w:rsid w:val="1CC55E97"/>
    <w:rsid w:val="1CCF16E1"/>
    <w:rsid w:val="1CEF7861"/>
    <w:rsid w:val="1CF3211F"/>
    <w:rsid w:val="1CFD070F"/>
    <w:rsid w:val="1D5F6196"/>
    <w:rsid w:val="1D6132A5"/>
    <w:rsid w:val="1D6D0123"/>
    <w:rsid w:val="1D70376F"/>
    <w:rsid w:val="1D750BDB"/>
    <w:rsid w:val="1D775425"/>
    <w:rsid w:val="1D795E89"/>
    <w:rsid w:val="1D8A2A83"/>
    <w:rsid w:val="1D8D2573"/>
    <w:rsid w:val="1D8E56D5"/>
    <w:rsid w:val="1DAA6C81"/>
    <w:rsid w:val="1DEE5B16"/>
    <w:rsid w:val="1DF91CEC"/>
    <w:rsid w:val="1E1B10B1"/>
    <w:rsid w:val="1E51290C"/>
    <w:rsid w:val="1E57048B"/>
    <w:rsid w:val="1E7159F1"/>
    <w:rsid w:val="1E7660F6"/>
    <w:rsid w:val="1E7A43DA"/>
    <w:rsid w:val="1E831280"/>
    <w:rsid w:val="1E9516DF"/>
    <w:rsid w:val="1EA27958"/>
    <w:rsid w:val="1EB12291"/>
    <w:rsid w:val="1EBA70F8"/>
    <w:rsid w:val="1EC91389"/>
    <w:rsid w:val="1ED87EE0"/>
    <w:rsid w:val="1EDC730E"/>
    <w:rsid w:val="1EDD7E93"/>
    <w:rsid w:val="1EEE2B9E"/>
    <w:rsid w:val="1F0A3F2F"/>
    <w:rsid w:val="1F1B770B"/>
    <w:rsid w:val="1F274302"/>
    <w:rsid w:val="1F332CA6"/>
    <w:rsid w:val="1F7F7C9A"/>
    <w:rsid w:val="1F861028"/>
    <w:rsid w:val="1FAD4176"/>
    <w:rsid w:val="1FB21E1D"/>
    <w:rsid w:val="1FB37192"/>
    <w:rsid w:val="1FB40062"/>
    <w:rsid w:val="1FB738D7"/>
    <w:rsid w:val="1FBF453A"/>
    <w:rsid w:val="1FC14756"/>
    <w:rsid w:val="1FC97A4F"/>
    <w:rsid w:val="1FE7539E"/>
    <w:rsid w:val="1FED10A7"/>
    <w:rsid w:val="1FFB7C68"/>
    <w:rsid w:val="1FFC753C"/>
    <w:rsid w:val="20121734"/>
    <w:rsid w:val="202251F5"/>
    <w:rsid w:val="20290ED0"/>
    <w:rsid w:val="202F346E"/>
    <w:rsid w:val="203B0388"/>
    <w:rsid w:val="203B7918"/>
    <w:rsid w:val="2040159F"/>
    <w:rsid w:val="206713DC"/>
    <w:rsid w:val="20671BE0"/>
    <w:rsid w:val="20931C4F"/>
    <w:rsid w:val="20941338"/>
    <w:rsid w:val="20963CB8"/>
    <w:rsid w:val="20A81A1B"/>
    <w:rsid w:val="20AC2D10"/>
    <w:rsid w:val="20B07FB6"/>
    <w:rsid w:val="20B646FB"/>
    <w:rsid w:val="20CC6F0F"/>
    <w:rsid w:val="20D81349"/>
    <w:rsid w:val="20DE6C42"/>
    <w:rsid w:val="20E71F9A"/>
    <w:rsid w:val="20F16B72"/>
    <w:rsid w:val="20F52909"/>
    <w:rsid w:val="211F3AED"/>
    <w:rsid w:val="212B00D9"/>
    <w:rsid w:val="212B632B"/>
    <w:rsid w:val="213056EF"/>
    <w:rsid w:val="2139587A"/>
    <w:rsid w:val="213B74B1"/>
    <w:rsid w:val="215A2310"/>
    <w:rsid w:val="216435EB"/>
    <w:rsid w:val="21701F90"/>
    <w:rsid w:val="2173382E"/>
    <w:rsid w:val="217952E8"/>
    <w:rsid w:val="21921F06"/>
    <w:rsid w:val="21AB2DF9"/>
    <w:rsid w:val="21BF6A73"/>
    <w:rsid w:val="21CE6CB6"/>
    <w:rsid w:val="21DE318A"/>
    <w:rsid w:val="21DE339D"/>
    <w:rsid w:val="21EF5B80"/>
    <w:rsid w:val="21F7620D"/>
    <w:rsid w:val="220A4192"/>
    <w:rsid w:val="221548E5"/>
    <w:rsid w:val="222039B6"/>
    <w:rsid w:val="222608A0"/>
    <w:rsid w:val="222B4109"/>
    <w:rsid w:val="222D60D3"/>
    <w:rsid w:val="224C7EB5"/>
    <w:rsid w:val="2254540E"/>
    <w:rsid w:val="22576990"/>
    <w:rsid w:val="22673393"/>
    <w:rsid w:val="22687962"/>
    <w:rsid w:val="226B6580"/>
    <w:rsid w:val="227710FC"/>
    <w:rsid w:val="2293545D"/>
    <w:rsid w:val="22B365D8"/>
    <w:rsid w:val="22C85116"/>
    <w:rsid w:val="22D87DED"/>
    <w:rsid w:val="22E85BC9"/>
    <w:rsid w:val="22ED7A1E"/>
    <w:rsid w:val="22F47480"/>
    <w:rsid w:val="22F91688"/>
    <w:rsid w:val="22F94CCA"/>
    <w:rsid w:val="22FF7A6F"/>
    <w:rsid w:val="23165F35"/>
    <w:rsid w:val="2329237E"/>
    <w:rsid w:val="23366940"/>
    <w:rsid w:val="235651B5"/>
    <w:rsid w:val="23812232"/>
    <w:rsid w:val="23B662FD"/>
    <w:rsid w:val="23C343CB"/>
    <w:rsid w:val="23DE1C48"/>
    <w:rsid w:val="23EB1DA2"/>
    <w:rsid w:val="23EE3640"/>
    <w:rsid w:val="23FB28DB"/>
    <w:rsid w:val="240210CD"/>
    <w:rsid w:val="241C1C27"/>
    <w:rsid w:val="244119C2"/>
    <w:rsid w:val="2446347C"/>
    <w:rsid w:val="244D0366"/>
    <w:rsid w:val="245D4F35"/>
    <w:rsid w:val="246F4781"/>
    <w:rsid w:val="24773635"/>
    <w:rsid w:val="247C2126"/>
    <w:rsid w:val="248F097F"/>
    <w:rsid w:val="24A02B8C"/>
    <w:rsid w:val="24AC7783"/>
    <w:rsid w:val="24BA2751"/>
    <w:rsid w:val="24BF09F7"/>
    <w:rsid w:val="24ED56A6"/>
    <w:rsid w:val="24EE2E77"/>
    <w:rsid w:val="24F353B2"/>
    <w:rsid w:val="252D53FE"/>
    <w:rsid w:val="254A1D2A"/>
    <w:rsid w:val="255B2F57"/>
    <w:rsid w:val="25626CCB"/>
    <w:rsid w:val="257543EE"/>
    <w:rsid w:val="25893620"/>
    <w:rsid w:val="25897AC4"/>
    <w:rsid w:val="259A3A7F"/>
    <w:rsid w:val="25C11512"/>
    <w:rsid w:val="25D16D75"/>
    <w:rsid w:val="25EC2D81"/>
    <w:rsid w:val="25EF3DCB"/>
    <w:rsid w:val="26064887"/>
    <w:rsid w:val="261C26E6"/>
    <w:rsid w:val="262F4411"/>
    <w:rsid w:val="267E6EFD"/>
    <w:rsid w:val="2698525C"/>
    <w:rsid w:val="269862C2"/>
    <w:rsid w:val="26A56238"/>
    <w:rsid w:val="26AF5308"/>
    <w:rsid w:val="26C8461C"/>
    <w:rsid w:val="26E1123A"/>
    <w:rsid w:val="26E33204"/>
    <w:rsid w:val="26F45411"/>
    <w:rsid w:val="26F86CAF"/>
    <w:rsid w:val="2701225B"/>
    <w:rsid w:val="271138CD"/>
    <w:rsid w:val="27266335"/>
    <w:rsid w:val="273B4DEE"/>
    <w:rsid w:val="275223C3"/>
    <w:rsid w:val="275924A9"/>
    <w:rsid w:val="275C6A6B"/>
    <w:rsid w:val="277057A2"/>
    <w:rsid w:val="27755C75"/>
    <w:rsid w:val="27904E4A"/>
    <w:rsid w:val="279B10B0"/>
    <w:rsid w:val="27A94EBD"/>
    <w:rsid w:val="27CE1AFD"/>
    <w:rsid w:val="28164F13"/>
    <w:rsid w:val="281A4A03"/>
    <w:rsid w:val="282F4953"/>
    <w:rsid w:val="28377363"/>
    <w:rsid w:val="28622568"/>
    <w:rsid w:val="28687E65"/>
    <w:rsid w:val="289447B6"/>
    <w:rsid w:val="28B5472C"/>
    <w:rsid w:val="28BA1D43"/>
    <w:rsid w:val="28E026ED"/>
    <w:rsid w:val="28EF7C3E"/>
    <w:rsid w:val="28F039B6"/>
    <w:rsid w:val="2903488F"/>
    <w:rsid w:val="291E69B1"/>
    <w:rsid w:val="29206EB8"/>
    <w:rsid w:val="294E0E09"/>
    <w:rsid w:val="29595666"/>
    <w:rsid w:val="295A26F1"/>
    <w:rsid w:val="2967011C"/>
    <w:rsid w:val="29712D49"/>
    <w:rsid w:val="29874881"/>
    <w:rsid w:val="299C1026"/>
    <w:rsid w:val="29A52EFC"/>
    <w:rsid w:val="29D56B81"/>
    <w:rsid w:val="29E325E0"/>
    <w:rsid w:val="2A00239F"/>
    <w:rsid w:val="2A052D0F"/>
    <w:rsid w:val="2A1262DA"/>
    <w:rsid w:val="2A134B70"/>
    <w:rsid w:val="2A150E26"/>
    <w:rsid w:val="2A32526C"/>
    <w:rsid w:val="2A334707"/>
    <w:rsid w:val="2A3C3357"/>
    <w:rsid w:val="2A452503"/>
    <w:rsid w:val="2A57619A"/>
    <w:rsid w:val="2A5C0408"/>
    <w:rsid w:val="2A6308E4"/>
    <w:rsid w:val="2A662182"/>
    <w:rsid w:val="2A781942"/>
    <w:rsid w:val="2A781EB5"/>
    <w:rsid w:val="2A9D64F9"/>
    <w:rsid w:val="2A9F5694"/>
    <w:rsid w:val="2ACB0237"/>
    <w:rsid w:val="2AE337D3"/>
    <w:rsid w:val="2AE5754B"/>
    <w:rsid w:val="2AED4F3A"/>
    <w:rsid w:val="2AEE7E1D"/>
    <w:rsid w:val="2AFF0777"/>
    <w:rsid w:val="2B0F45C8"/>
    <w:rsid w:val="2B2160A9"/>
    <w:rsid w:val="2B287437"/>
    <w:rsid w:val="2B376DEE"/>
    <w:rsid w:val="2B3F638C"/>
    <w:rsid w:val="2B42499D"/>
    <w:rsid w:val="2B457FE9"/>
    <w:rsid w:val="2B5175EB"/>
    <w:rsid w:val="2B5446D0"/>
    <w:rsid w:val="2B5B780D"/>
    <w:rsid w:val="2B5D643F"/>
    <w:rsid w:val="2B795EE5"/>
    <w:rsid w:val="2B8176A2"/>
    <w:rsid w:val="2B8E1990"/>
    <w:rsid w:val="2B97133E"/>
    <w:rsid w:val="2B996587"/>
    <w:rsid w:val="2B9E594C"/>
    <w:rsid w:val="2BA936A8"/>
    <w:rsid w:val="2BB4516F"/>
    <w:rsid w:val="2BB60EE7"/>
    <w:rsid w:val="2BBD2276"/>
    <w:rsid w:val="2BCE6231"/>
    <w:rsid w:val="2BD20AA9"/>
    <w:rsid w:val="2C047EA4"/>
    <w:rsid w:val="2C315A5A"/>
    <w:rsid w:val="2C3D0966"/>
    <w:rsid w:val="2C45350B"/>
    <w:rsid w:val="2C4604BD"/>
    <w:rsid w:val="2C4B1C25"/>
    <w:rsid w:val="2C6170A5"/>
    <w:rsid w:val="2C70553A"/>
    <w:rsid w:val="2C7C7A3B"/>
    <w:rsid w:val="2C7D6075"/>
    <w:rsid w:val="2CA90A4C"/>
    <w:rsid w:val="2CCB09C2"/>
    <w:rsid w:val="2CD71115"/>
    <w:rsid w:val="2CED0939"/>
    <w:rsid w:val="2CF06607"/>
    <w:rsid w:val="2CF577ED"/>
    <w:rsid w:val="2D1C4D7A"/>
    <w:rsid w:val="2D360531"/>
    <w:rsid w:val="2D3E1194"/>
    <w:rsid w:val="2D450775"/>
    <w:rsid w:val="2D4A18E7"/>
    <w:rsid w:val="2D4D0A43"/>
    <w:rsid w:val="2D626493"/>
    <w:rsid w:val="2D687917"/>
    <w:rsid w:val="2D7C1CBC"/>
    <w:rsid w:val="2D811081"/>
    <w:rsid w:val="2D9E56F5"/>
    <w:rsid w:val="2DB8601D"/>
    <w:rsid w:val="2DBF7F69"/>
    <w:rsid w:val="2DC0604D"/>
    <w:rsid w:val="2DE24215"/>
    <w:rsid w:val="2DE27D71"/>
    <w:rsid w:val="2DFD2DFD"/>
    <w:rsid w:val="2DFE26D1"/>
    <w:rsid w:val="2E206AEC"/>
    <w:rsid w:val="2E295AA8"/>
    <w:rsid w:val="2E3031D3"/>
    <w:rsid w:val="2E667F96"/>
    <w:rsid w:val="2E7B3D22"/>
    <w:rsid w:val="2E8226AB"/>
    <w:rsid w:val="2E9A064C"/>
    <w:rsid w:val="2E9A295A"/>
    <w:rsid w:val="2EA413A2"/>
    <w:rsid w:val="2EAE40F8"/>
    <w:rsid w:val="2EB23BE8"/>
    <w:rsid w:val="2EB91DEF"/>
    <w:rsid w:val="2EBC4A66"/>
    <w:rsid w:val="2EBF6305"/>
    <w:rsid w:val="2EC35DF5"/>
    <w:rsid w:val="2EC851B9"/>
    <w:rsid w:val="2ECB4CA9"/>
    <w:rsid w:val="2ED64DD8"/>
    <w:rsid w:val="2EDB601F"/>
    <w:rsid w:val="2EE84343"/>
    <w:rsid w:val="2F027046"/>
    <w:rsid w:val="2F1863B8"/>
    <w:rsid w:val="2F1C680C"/>
    <w:rsid w:val="2F2A5E74"/>
    <w:rsid w:val="2F324D29"/>
    <w:rsid w:val="2F3C0FFB"/>
    <w:rsid w:val="2F4800A8"/>
    <w:rsid w:val="2F4E4A98"/>
    <w:rsid w:val="2F511653"/>
    <w:rsid w:val="2F6649D2"/>
    <w:rsid w:val="2F805A94"/>
    <w:rsid w:val="2F8371C0"/>
    <w:rsid w:val="2FA33530"/>
    <w:rsid w:val="2FAA0D63"/>
    <w:rsid w:val="2FB218A7"/>
    <w:rsid w:val="2FB75C0F"/>
    <w:rsid w:val="2FB971F8"/>
    <w:rsid w:val="2FC469A3"/>
    <w:rsid w:val="2FCE2CA3"/>
    <w:rsid w:val="2FD065E6"/>
    <w:rsid w:val="2FD96870"/>
    <w:rsid w:val="30082D65"/>
    <w:rsid w:val="300F425E"/>
    <w:rsid w:val="301B57BD"/>
    <w:rsid w:val="302F1268"/>
    <w:rsid w:val="304545E8"/>
    <w:rsid w:val="30470360"/>
    <w:rsid w:val="305129F5"/>
    <w:rsid w:val="30580BC9"/>
    <w:rsid w:val="307153DD"/>
    <w:rsid w:val="30801AC4"/>
    <w:rsid w:val="30890F6E"/>
    <w:rsid w:val="308E5F8F"/>
    <w:rsid w:val="30A74FC6"/>
    <w:rsid w:val="30B5176D"/>
    <w:rsid w:val="30C220DC"/>
    <w:rsid w:val="30CE6CD3"/>
    <w:rsid w:val="30D561DC"/>
    <w:rsid w:val="30F5164D"/>
    <w:rsid w:val="30F52374"/>
    <w:rsid w:val="30F71D86"/>
    <w:rsid w:val="30FF0C3A"/>
    <w:rsid w:val="311E2ED7"/>
    <w:rsid w:val="311F12DD"/>
    <w:rsid w:val="31257E0E"/>
    <w:rsid w:val="31543636"/>
    <w:rsid w:val="315619EE"/>
    <w:rsid w:val="315C449C"/>
    <w:rsid w:val="31603DCF"/>
    <w:rsid w:val="317574AD"/>
    <w:rsid w:val="31807FCD"/>
    <w:rsid w:val="31880C30"/>
    <w:rsid w:val="31884247"/>
    <w:rsid w:val="31B82709"/>
    <w:rsid w:val="31CA6259"/>
    <w:rsid w:val="31D05482"/>
    <w:rsid w:val="31D65F11"/>
    <w:rsid w:val="31FA0957"/>
    <w:rsid w:val="320C1861"/>
    <w:rsid w:val="321F34EA"/>
    <w:rsid w:val="32400B34"/>
    <w:rsid w:val="325D3DCF"/>
    <w:rsid w:val="326F1DF0"/>
    <w:rsid w:val="328238D1"/>
    <w:rsid w:val="329E6876"/>
    <w:rsid w:val="32A0644D"/>
    <w:rsid w:val="32AA2948"/>
    <w:rsid w:val="32C24615"/>
    <w:rsid w:val="32D13B20"/>
    <w:rsid w:val="32E63903"/>
    <w:rsid w:val="32F80037"/>
    <w:rsid w:val="33010C9A"/>
    <w:rsid w:val="33016CF2"/>
    <w:rsid w:val="330C1ED2"/>
    <w:rsid w:val="333015F2"/>
    <w:rsid w:val="334B6320"/>
    <w:rsid w:val="33525999"/>
    <w:rsid w:val="33525ADB"/>
    <w:rsid w:val="33582884"/>
    <w:rsid w:val="33705E1F"/>
    <w:rsid w:val="337D1CB0"/>
    <w:rsid w:val="33884F17"/>
    <w:rsid w:val="33CC574C"/>
    <w:rsid w:val="33D55A03"/>
    <w:rsid w:val="33D934D4"/>
    <w:rsid w:val="33DC5263"/>
    <w:rsid w:val="33DE0AD4"/>
    <w:rsid w:val="33E228F6"/>
    <w:rsid w:val="33EC194A"/>
    <w:rsid w:val="33FE2F6A"/>
    <w:rsid w:val="34066A02"/>
    <w:rsid w:val="34086058"/>
    <w:rsid w:val="340E07E5"/>
    <w:rsid w:val="34235BF7"/>
    <w:rsid w:val="3451485D"/>
    <w:rsid w:val="345173F4"/>
    <w:rsid w:val="34586FDF"/>
    <w:rsid w:val="348F6779"/>
    <w:rsid w:val="349B6ECC"/>
    <w:rsid w:val="34AE5D16"/>
    <w:rsid w:val="34B14942"/>
    <w:rsid w:val="34B56FB0"/>
    <w:rsid w:val="34C06933"/>
    <w:rsid w:val="34C46CEF"/>
    <w:rsid w:val="34CF3272"/>
    <w:rsid w:val="34E972F9"/>
    <w:rsid w:val="350923B9"/>
    <w:rsid w:val="351E66E4"/>
    <w:rsid w:val="352E1AEE"/>
    <w:rsid w:val="35613C72"/>
    <w:rsid w:val="35731BF7"/>
    <w:rsid w:val="35775243"/>
    <w:rsid w:val="358C5FA8"/>
    <w:rsid w:val="358E6A31"/>
    <w:rsid w:val="35C15DF1"/>
    <w:rsid w:val="35C30488"/>
    <w:rsid w:val="35D07049"/>
    <w:rsid w:val="35E328D9"/>
    <w:rsid w:val="35E84393"/>
    <w:rsid w:val="35EA010B"/>
    <w:rsid w:val="35F637E6"/>
    <w:rsid w:val="36074A7F"/>
    <w:rsid w:val="361909F0"/>
    <w:rsid w:val="36315D3A"/>
    <w:rsid w:val="36317AE8"/>
    <w:rsid w:val="36463E34"/>
    <w:rsid w:val="364A6DFC"/>
    <w:rsid w:val="365B2DB7"/>
    <w:rsid w:val="366C6D72"/>
    <w:rsid w:val="36923549"/>
    <w:rsid w:val="369E0BFD"/>
    <w:rsid w:val="369E4A52"/>
    <w:rsid w:val="36A75FFC"/>
    <w:rsid w:val="36AC53C0"/>
    <w:rsid w:val="36B75FBF"/>
    <w:rsid w:val="36BD0C45"/>
    <w:rsid w:val="36CC5A63"/>
    <w:rsid w:val="36D44054"/>
    <w:rsid w:val="36E16658"/>
    <w:rsid w:val="36F47B2C"/>
    <w:rsid w:val="36F6663C"/>
    <w:rsid w:val="36FD3E6E"/>
    <w:rsid w:val="36FF7BE6"/>
    <w:rsid w:val="370074BA"/>
    <w:rsid w:val="370451FC"/>
    <w:rsid w:val="372413FB"/>
    <w:rsid w:val="372E5DD5"/>
    <w:rsid w:val="3736112E"/>
    <w:rsid w:val="37362EDC"/>
    <w:rsid w:val="37384EA6"/>
    <w:rsid w:val="374C0952"/>
    <w:rsid w:val="375420AF"/>
    <w:rsid w:val="37643EED"/>
    <w:rsid w:val="37692071"/>
    <w:rsid w:val="376D2DA2"/>
    <w:rsid w:val="37753A04"/>
    <w:rsid w:val="37835EA9"/>
    <w:rsid w:val="3784633D"/>
    <w:rsid w:val="37A27118"/>
    <w:rsid w:val="37B409D1"/>
    <w:rsid w:val="37C254A8"/>
    <w:rsid w:val="37E00298"/>
    <w:rsid w:val="37EB72B3"/>
    <w:rsid w:val="37F54B45"/>
    <w:rsid w:val="38033FE9"/>
    <w:rsid w:val="38115EC3"/>
    <w:rsid w:val="3848736B"/>
    <w:rsid w:val="38710670"/>
    <w:rsid w:val="388163D9"/>
    <w:rsid w:val="388B4213"/>
    <w:rsid w:val="388C36FB"/>
    <w:rsid w:val="38905758"/>
    <w:rsid w:val="38A05EBA"/>
    <w:rsid w:val="38B302F9"/>
    <w:rsid w:val="38D25A3C"/>
    <w:rsid w:val="38DA6EF2"/>
    <w:rsid w:val="38DB01DF"/>
    <w:rsid w:val="38E42223"/>
    <w:rsid w:val="38F12CD3"/>
    <w:rsid w:val="38F94775"/>
    <w:rsid w:val="392971ED"/>
    <w:rsid w:val="39305FE3"/>
    <w:rsid w:val="39325651"/>
    <w:rsid w:val="395064D7"/>
    <w:rsid w:val="395835DE"/>
    <w:rsid w:val="3962620A"/>
    <w:rsid w:val="39900FC9"/>
    <w:rsid w:val="3991089E"/>
    <w:rsid w:val="399B34CA"/>
    <w:rsid w:val="39A22AAB"/>
    <w:rsid w:val="39B80B6E"/>
    <w:rsid w:val="39BA1BA2"/>
    <w:rsid w:val="39CD1458"/>
    <w:rsid w:val="39D3630F"/>
    <w:rsid w:val="39D6442C"/>
    <w:rsid w:val="39E049EA"/>
    <w:rsid w:val="39E3734B"/>
    <w:rsid w:val="39E92488"/>
    <w:rsid w:val="39F94BC9"/>
    <w:rsid w:val="3A0A4A26"/>
    <w:rsid w:val="3A0B68A2"/>
    <w:rsid w:val="3A3951BD"/>
    <w:rsid w:val="3A4A21F6"/>
    <w:rsid w:val="3A872856"/>
    <w:rsid w:val="3A8A77C7"/>
    <w:rsid w:val="3A9C574C"/>
    <w:rsid w:val="3AD62A0C"/>
    <w:rsid w:val="3AD94D90"/>
    <w:rsid w:val="3AE25855"/>
    <w:rsid w:val="3AEC66D3"/>
    <w:rsid w:val="3B181276"/>
    <w:rsid w:val="3B3763D1"/>
    <w:rsid w:val="3B424545"/>
    <w:rsid w:val="3B51667C"/>
    <w:rsid w:val="3B533262"/>
    <w:rsid w:val="3B563AAC"/>
    <w:rsid w:val="3B6224F2"/>
    <w:rsid w:val="3B653D90"/>
    <w:rsid w:val="3B697D24"/>
    <w:rsid w:val="3B6C3370"/>
    <w:rsid w:val="3B7D37CF"/>
    <w:rsid w:val="3B8B04F4"/>
    <w:rsid w:val="3B9F54F4"/>
    <w:rsid w:val="3BB16FD5"/>
    <w:rsid w:val="3BD056AD"/>
    <w:rsid w:val="3BDC104A"/>
    <w:rsid w:val="3BEB0739"/>
    <w:rsid w:val="3C027045"/>
    <w:rsid w:val="3C027831"/>
    <w:rsid w:val="3C090BBF"/>
    <w:rsid w:val="3C0E61D6"/>
    <w:rsid w:val="3C157564"/>
    <w:rsid w:val="3C2C29E2"/>
    <w:rsid w:val="3C2F6E1E"/>
    <w:rsid w:val="3C4D31A2"/>
    <w:rsid w:val="3C4F64BA"/>
    <w:rsid w:val="3C502C92"/>
    <w:rsid w:val="3C626204"/>
    <w:rsid w:val="3C640178"/>
    <w:rsid w:val="3C895006"/>
    <w:rsid w:val="3CCB6389"/>
    <w:rsid w:val="3CD613E9"/>
    <w:rsid w:val="3CDA245A"/>
    <w:rsid w:val="3CEE6601"/>
    <w:rsid w:val="3CF7310E"/>
    <w:rsid w:val="3CF965B7"/>
    <w:rsid w:val="3D127F47"/>
    <w:rsid w:val="3D1A5013"/>
    <w:rsid w:val="3D1D242F"/>
    <w:rsid w:val="3D1E06B7"/>
    <w:rsid w:val="3D314396"/>
    <w:rsid w:val="3D406863"/>
    <w:rsid w:val="3D4955AF"/>
    <w:rsid w:val="3D6267D9"/>
    <w:rsid w:val="3D6E57B5"/>
    <w:rsid w:val="3DA07301"/>
    <w:rsid w:val="3DAE7C70"/>
    <w:rsid w:val="3DB35286"/>
    <w:rsid w:val="3DB86D2C"/>
    <w:rsid w:val="3DDD0555"/>
    <w:rsid w:val="3DE2791A"/>
    <w:rsid w:val="3DE6740A"/>
    <w:rsid w:val="3DFE48D0"/>
    <w:rsid w:val="3E0C4997"/>
    <w:rsid w:val="3E4800C5"/>
    <w:rsid w:val="3E79027E"/>
    <w:rsid w:val="3E7C7D6E"/>
    <w:rsid w:val="3E864749"/>
    <w:rsid w:val="3E873AB3"/>
    <w:rsid w:val="3E8C4164"/>
    <w:rsid w:val="3E8E35FE"/>
    <w:rsid w:val="3E934993"/>
    <w:rsid w:val="3EBC460F"/>
    <w:rsid w:val="3ECC2F16"/>
    <w:rsid w:val="3EDA0523"/>
    <w:rsid w:val="3EEA4CD8"/>
    <w:rsid w:val="3F03223E"/>
    <w:rsid w:val="3F0656C1"/>
    <w:rsid w:val="3F12717C"/>
    <w:rsid w:val="3F14754C"/>
    <w:rsid w:val="3F2B773B"/>
    <w:rsid w:val="3F310B59"/>
    <w:rsid w:val="3F4C7741"/>
    <w:rsid w:val="3F574E55"/>
    <w:rsid w:val="3FC04EBE"/>
    <w:rsid w:val="3FD31C10"/>
    <w:rsid w:val="3FEE61BC"/>
    <w:rsid w:val="40295CD4"/>
    <w:rsid w:val="40492379"/>
    <w:rsid w:val="40532D51"/>
    <w:rsid w:val="4064762F"/>
    <w:rsid w:val="407A6407"/>
    <w:rsid w:val="40916FFB"/>
    <w:rsid w:val="40A8309D"/>
    <w:rsid w:val="40B530C4"/>
    <w:rsid w:val="40B6011F"/>
    <w:rsid w:val="4110479E"/>
    <w:rsid w:val="411424E0"/>
    <w:rsid w:val="41202C33"/>
    <w:rsid w:val="412A1D04"/>
    <w:rsid w:val="413C37E5"/>
    <w:rsid w:val="41401527"/>
    <w:rsid w:val="41406E31"/>
    <w:rsid w:val="41570A41"/>
    <w:rsid w:val="41654AEA"/>
    <w:rsid w:val="41665B0B"/>
    <w:rsid w:val="41670862"/>
    <w:rsid w:val="417B255F"/>
    <w:rsid w:val="418412D1"/>
    <w:rsid w:val="418C2076"/>
    <w:rsid w:val="41A86698"/>
    <w:rsid w:val="41B36150"/>
    <w:rsid w:val="41BC0FDA"/>
    <w:rsid w:val="41D45583"/>
    <w:rsid w:val="4200449D"/>
    <w:rsid w:val="42100EF9"/>
    <w:rsid w:val="421D53C4"/>
    <w:rsid w:val="423A3A2D"/>
    <w:rsid w:val="423A3BCC"/>
    <w:rsid w:val="42417305"/>
    <w:rsid w:val="424E57D2"/>
    <w:rsid w:val="425E26DD"/>
    <w:rsid w:val="427174BE"/>
    <w:rsid w:val="427D6886"/>
    <w:rsid w:val="428B4A24"/>
    <w:rsid w:val="4292702D"/>
    <w:rsid w:val="42991E40"/>
    <w:rsid w:val="42A67168"/>
    <w:rsid w:val="42A81D51"/>
    <w:rsid w:val="42B26C49"/>
    <w:rsid w:val="42B775C7"/>
    <w:rsid w:val="42E1384A"/>
    <w:rsid w:val="42E636E5"/>
    <w:rsid w:val="42E66F66"/>
    <w:rsid w:val="43140575"/>
    <w:rsid w:val="433A6FE6"/>
    <w:rsid w:val="43480868"/>
    <w:rsid w:val="4350713C"/>
    <w:rsid w:val="4355293C"/>
    <w:rsid w:val="43563B8F"/>
    <w:rsid w:val="435F5A27"/>
    <w:rsid w:val="436653E0"/>
    <w:rsid w:val="43707776"/>
    <w:rsid w:val="439F6C52"/>
    <w:rsid w:val="43B9736F"/>
    <w:rsid w:val="43C006FD"/>
    <w:rsid w:val="43C4431A"/>
    <w:rsid w:val="43CB4BD1"/>
    <w:rsid w:val="43D63A7D"/>
    <w:rsid w:val="43EA7528"/>
    <w:rsid w:val="43EF36CB"/>
    <w:rsid w:val="44254A04"/>
    <w:rsid w:val="442C6638"/>
    <w:rsid w:val="443076C3"/>
    <w:rsid w:val="445A3C95"/>
    <w:rsid w:val="4469669F"/>
    <w:rsid w:val="447031FA"/>
    <w:rsid w:val="4478708F"/>
    <w:rsid w:val="44A34A40"/>
    <w:rsid w:val="44A65B45"/>
    <w:rsid w:val="44AB2FE1"/>
    <w:rsid w:val="44B951CC"/>
    <w:rsid w:val="44BA6EFA"/>
    <w:rsid w:val="44BF09B5"/>
    <w:rsid w:val="44CD14E0"/>
    <w:rsid w:val="44D81A76"/>
    <w:rsid w:val="44DF2E05"/>
    <w:rsid w:val="44F20B0B"/>
    <w:rsid w:val="45050ABD"/>
    <w:rsid w:val="451261B0"/>
    <w:rsid w:val="45126D36"/>
    <w:rsid w:val="45246A6A"/>
    <w:rsid w:val="452E5F4C"/>
    <w:rsid w:val="453F5652"/>
    <w:rsid w:val="45612018"/>
    <w:rsid w:val="458946E9"/>
    <w:rsid w:val="45961716"/>
    <w:rsid w:val="45A47C0E"/>
    <w:rsid w:val="45C50C3E"/>
    <w:rsid w:val="45F145F1"/>
    <w:rsid w:val="461C2728"/>
    <w:rsid w:val="462E0C7D"/>
    <w:rsid w:val="462F56C6"/>
    <w:rsid w:val="4630388E"/>
    <w:rsid w:val="4642189D"/>
    <w:rsid w:val="46522755"/>
    <w:rsid w:val="46574908"/>
    <w:rsid w:val="46577FD6"/>
    <w:rsid w:val="466E4440"/>
    <w:rsid w:val="46B75DE7"/>
    <w:rsid w:val="46C7051E"/>
    <w:rsid w:val="46C818E2"/>
    <w:rsid w:val="46D955A7"/>
    <w:rsid w:val="46DB13AA"/>
    <w:rsid w:val="46DE1C73"/>
    <w:rsid w:val="47133957"/>
    <w:rsid w:val="471C1670"/>
    <w:rsid w:val="4723522B"/>
    <w:rsid w:val="475353E4"/>
    <w:rsid w:val="47541B0D"/>
    <w:rsid w:val="47745A86"/>
    <w:rsid w:val="479003E6"/>
    <w:rsid w:val="4799373F"/>
    <w:rsid w:val="479B1265"/>
    <w:rsid w:val="47A07E0C"/>
    <w:rsid w:val="47C63E08"/>
    <w:rsid w:val="47C91A1C"/>
    <w:rsid w:val="47CD33E9"/>
    <w:rsid w:val="47E65901"/>
    <w:rsid w:val="47F6649C"/>
    <w:rsid w:val="480037BE"/>
    <w:rsid w:val="48240555"/>
    <w:rsid w:val="48427933"/>
    <w:rsid w:val="486E697A"/>
    <w:rsid w:val="4870272E"/>
    <w:rsid w:val="48723BAD"/>
    <w:rsid w:val="487B7979"/>
    <w:rsid w:val="48967C7F"/>
    <w:rsid w:val="48B06F92"/>
    <w:rsid w:val="48C970F1"/>
    <w:rsid w:val="48E96000"/>
    <w:rsid w:val="48EB1D78"/>
    <w:rsid w:val="49054D71"/>
    <w:rsid w:val="4910358D"/>
    <w:rsid w:val="492A4A3B"/>
    <w:rsid w:val="49357497"/>
    <w:rsid w:val="493E5F83"/>
    <w:rsid w:val="49543DC1"/>
    <w:rsid w:val="49584F34"/>
    <w:rsid w:val="495A0B65"/>
    <w:rsid w:val="495B14E2"/>
    <w:rsid w:val="49634005"/>
    <w:rsid w:val="496658A3"/>
    <w:rsid w:val="49697101"/>
    <w:rsid w:val="4972499F"/>
    <w:rsid w:val="49BA799D"/>
    <w:rsid w:val="49D2118A"/>
    <w:rsid w:val="49DC7715"/>
    <w:rsid w:val="49E62540"/>
    <w:rsid w:val="49EC224C"/>
    <w:rsid w:val="49ED38CE"/>
    <w:rsid w:val="49F44C5D"/>
    <w:rsid w:val="4A023139"/>
    <w:rsid w:val="4A1705EA"/>
    <w:rsid w:val="4A447A61"/>
    <w:rsid w:val="4A484FA8"/>
    <w:rsid w:val="4A4D2658"/>
    <w:rsid w:val="4A4D51EF"/>
    <w:rsid w:val="4A7B576F"/>
    <w:rsid w:val="4A95657B"/>
    <w:rsid w:val="4AAA249E"/>
    <w:rsid w:val="4AB8212E"/>
    <w:rsid w:val="4ACE3700"/>
    <w:rsid w:val="4AE9409C"/>
    <w:rsid w:val="4AF561A9"/>
    <w:rsid w:val="4AFA44F5"/>
    <w:rsid w:val="4B0E4842"/>
    <w:rsid w:val="4B233489"/>
    <w:rsid w:val="4B241572"/>
    <w:rsid w:val="4B46598C"/>
    <w:rsid w:val="4B493B26"/>
    <w:rsid w:val="4B5F740D"/>
    <w:rsid w:val="4B604175"/>
    <w:rsid w:val="4B6202EC"/>
    <w:rsid w:val="4B644064"/>
    <w:rsid w:val="4B83273C"/>
    <w:rsid w:val="4BBB2DA3"/>
    <w:rsid w:val="4BCB40E3"/>
    <w:rsid w:val="4C001FDF"/>
    <w:rsid w:val="4C0929CA"/>
    <w:rsid w:val="4C286E40"/>
    <w:rsid w:val="4C4A0649"/>
    <w:rsid w:val="4C653BF0"/>
    <w:rsid w:val="4C6E1316"/>
    <w:rsid w:val="4C72630D"/>
    <w:rsid w:val="4C7E5ECA"/>
    <w:rsid w:val="4C7E73A7"/>
    <w:rsid w:val="4C83051A"/>
    <w:rsid w:val="4C876AA5"/>
    <w:rsid w:val="4C893A5C"/>
    <w:rsid w:val="4C9C152F"/>
    <w:rsid w:val="4CAA019C"/>
    <w:rsid w:val="4CAB1D80"/>
    <w:rsid w:val="4CBD1C7E"/>
    <w:rsid w:val="4CFD2FB0"/>
    <w:rsid w:val="4D005B8D"/>
    <w:rsid w:val="4D01288D"/>
    <w:rsid w:val="4D0E00FB"/>
    <w:rsid w:val="4D176606"/>
    <w:rsid w:val="4D1D271C"/>
    <w:rsid w:val="4D4414C1"/>
    <w:rsid w:val="4D87403A"/>
    <w:rsid w:val="4D9379DB"/>
    <w:rsid w:val="4D994499"/>
    <w:rsid w:val="4DC1687B"/>
    <w:rsid w:val="4DDA4668"/>
    <w:rsid w:val="4DE638B8"/>
    <w:rsid w:val="4DEB565D"/>
    <w:rsid w:val="4DEC4FB0"/>
    <w:rsid w:val="4E0112CB"/>
    <w:rsid w:val="4E075D8A"/>
    <w:rsid w:val="4E261AA5"/>
    <w:rsid w:val="4E355844"/>
    <w:rsid w:val="4E3F594B"/>
    <w:rsid w:val="4E4F6905"/>
    <w:rsid w:val="4E7F1CC2"/>
    <w:rsid w:val="4E9B2306"/>
    <w:rsid w:val="4EBE1635"/>
    <w:rsid w:val="4EC00FAD"/>
    <w:rsid w:val="4EDA3738"/>
    <w:rsid w:val="4EE7077C"/>
    <w:rsid w:val="4EFF657E"/>
    <w:rsid w:val="4F0C2A48"/>
    <w:rsid w:val="4F18038A"/>
    <w:rsid w:val="4F45114D"/>
    <w:rsid w:val="4F561F16"/>
    <w:rsid w:val="4F564A45"/>
    <w:rsid w:val="4F610FE6"/>
    <w:rsid w:val="4F6A776F"/>
    <w:rsid w:val="4F9843DC"/>
    <w:rsid w:val="4FB530E0"/>
    <w:rsid w:val="4FB8497E"/>
    <w:rsid w:val="4FBE01E7"/>
    <w:rsid w:val="4FC62A8C"/>
    <w:rsid w:val="4FCA71E4"/>
    <w:rsid w:val="4FE20F0D"/>
    <w:rsid w:val="4FE316FA"/>
    <w:rsid w:val="4FE51552"/>
    <w:rsid w:val="4FF17A39"/>
    <w:rsid w:val="4FF84D7B"/>
    <w:rsid w:val="500D79B7"/>
    <w:rsid w:val="502B617D"/>
    <w:rsid w:val="503F29AA"/>
    <w:rsid w:val="50502E09"/>
    <w:rsid w:val="50504C4B"/>
    <w:rsid w:val="505B07DA"/>
    <w:rsid w:val="508B4B02"/>
    <w:rsid w:val="509A4DF4"/>
    <w:rsid w:val="509C6E7C"/>
    <w:rsid w:val="50AB080A"/>
    <w:rsid w:val="50B27620"/>
    <w:rsid w:val="512A365A"/>
    <w:rsid w:val="51586CDB"/>
    <w:rsid w:val="5162104E"/>
    <w:rsid w:val="516C3C72"/>
    <w:rsid w:val="51717AC9"/>
    <w:rsid w:val="51932FAD"/>
    <w:rsid w:val="519D3E2C"/>
    <w:rsid w:val="51BF3DA2"/>
    <w:rsid w:val="51C7134B"/>
    <w:rsid w:val="51C770FB"/>
    <w:rsid w:val="51CC5FE9"/>
    <w:rsid w:val="51D830B6"/>
    <w:rsid w:val="51FA127E"/>
    <w:rsid w:val="5201260D"/>
    <w:rsid w:val="522B1438"/>
    <w:rsid w:val="524E3378"/>
    <w:rsid w:val="528A2602"/>
    <w:rsid w:val="529839A2"/>
    <w:rsid w:val="52D252FB"/>
    <w:rsid w:val="52DB10B0"/>
    <w:rsid w:val="53000B16"/>
    <w:rsid w:val="53285977"/>
    <w:rsid w:val="536B0444"/>
    <w:rsid w:val="536E5A80"/>
    <w:rsid w:val="53856213"/>
    <w:rsid w:val="53882B1F"/>
    <w:rsid w:val="538F59F6"/>
    <w:rsid w:val="53A039CC"/>
    <w:rsid w:val="53A1505A"/>
    <w:rsid w:val="53D2686B"/>
    <w:rsid w:val="540208BE"/>
    <w:rsid w:val="54063E08"/>
    <w:rsid w:val="540C500F"/>
    <w:rsid w:val="540D34EB"/>
    <w:rsid w:val="54262BDE"/>
    <w:rsid w:val="542645AC"/>
    <w:rsid w:val="542E16B3"/>
    <w:rsid w:val="543437E8"/>
    <w:rsid w:val="543640C4"/>
    <w:rsid w:val="544D38E7"/>
    <w:rsid w:val="545253A1"/>
    <w:rsid w:val="54576514"/>
    <w:rsid w:val="545F1FB5"/>
    <w:rsid w:val="545F7ABE"/>
    <w:rsid w:val="54640C31"/>
    <w:rsid w:val="5469080E"/>
    <w:rsid w:val="548D462B"/>
    <w:rsid w:val="54A43C3D"/>
    <w:rsid w:val="54A50AA1"/>
    <w:rsid w:val="54AB2957"/>
    <w:rsid w:val="54AD77C3"/>
    <w:rsid w:val="54AF5068"/>
    <w:rsid w:val="54C94F38"/>
    <w:rsid w:val="54F73313"/>
    <w:rsid w:val="54F80955"/>
    <w:rsid w:val="55024449"/>
    <w:rsid w:val="550B4A17"/>
    <w:rsid w:val="550D3076"/>
    <w:rsid w:val="550D5962"/>
    <w:rsid w:val="55216B22"/>
    <w:rsid w:val="55510ECB"/>
    <w:rsid w:val="555170A7"/>
    <w:rsid w:val="55697BAF"/>
    <w:rsid w:val="55751B94"/>
    <w:rsid w:val="557B0928"/>
    <w:rsid w:val="557F3721"/>
    <w:rsid w:val="5587536D"/>
    <w:rsid w:val="558E4D56"/>
    <w:rsid w:val="559B174B"/>
    <w:rsid w:val="55A16B67"/>
    <w:rsid w:val="55A25EB5"/>
    <w:rsid w:val="55AA2FBB"/>
    <w:rsid w:val="55AB3918"/>
    <w:rsid w:val="55AE0960"/>
    <w:rsid w:val="55CE0CF4"/>
    <w:rsid w:val="55EF1678"/>
    <w:rsid w:val="55F178EF"/>
    <w:rsid w:val="560C1580"/>
    <w:rsid w:val="560C6FED"/>
    <w:rsid w:val="561A3C9D"/>
    <w:rsid w:val="562C69CB"/>
    <w:rsid w:val="56392963"/>
    <w:rsid w:val="56426CE9"/>
    <w:rsid w:val="565F5B54"/>
    <w:rsid w:val="5664316A"/>
    <w:rsid w:val="568B2D64"/>
    <w:rsid w:val="5697353F"/>
    <w:rsid w:val="569A3030"/>
    <w:rsid w:val="569F23F4"/>
    <w:rsid w:val="56A37FBD"/>
    <w:rsid w:val="56AB10B1"/>
    <w:rsid w:val="56B22A9C"/>
    <w:rsid w:val="56D26326"/>
    <w:rsid w:val="56E66E44"/>
    <w:rsid w:val="56FE711B"/>
    <w:rsid w:val="570861EB"/>
    <w:rsid w:val="57165791"/>
    <w:rsid w:val="572F455A"/>
    <w:rsid w:val="573568B4"/>
    <w:rsid w:val="57421815"/>
    <w:rsid w:val="57636ED5"/>
    <w:rsid w:val="5765363E"/>
    <w:rsid w:val="577473DD"/>
    <w:rsid w:val="57877110"/>
    <w:rsid w:val="579730CB"/>
    <w:rsid w:val="579F319F"/>
    <w:rsid w:val="57A71560"/>
    <w:rsid w:val="57B123DF"/>
    <w:rsid w:val="57B72A76"/>
    <w:rsid w:val="57B819BF"/>
    <w:rsid w:val="57C32112"/>
    <w:rsid w:val="57C3426C"/>
    <w:rsid w:val="57CE1F93"/>
    <w:rsid w:val="57E64305"/>
    <w:rsid w:val="57EB6F11"/>
    <w:rsid w:val="57F8000E"/>
    <w:rsid w:val="57FD1D82"/>
    <w:rsid w:val="5829466B"/>
    <w:rsid w:val="582946D8"/>
    <w:rsid w:val="58403763"/>
    <w:rsid w:val="586E207E"/>
    <w:rsid w:val="588743D1"/>
    <w:rsid w:val="5887701A"/>
    <w:rsid w:val="58B54151"/>
    <w:rsid w:val="58DF11CE"/>
    <w:rsid w:val="58FC1D80"/>
    <w:rsid w:val="591A1430"/>
    <w:rsid w:val="5939268C"/>
    <w:rsid w:val="59592D2E"/>
    <w:rsid w:val="597657A6"/>
    <w:rsid w:val="59835FFD"/>
    <w:rsid w:val="598558D1"/>
    <w:rsid w:val="59C0439F"/>
    <w:rsid w:val="59C97EB4"/>
    <w:rsid w:val="59CD78E2"/>
    <w:rsid w:val="59D46859"/>
    <w:rsid w:val="59F6057D"/>
    <w:rsid w:val="5A0915E0"/>
    <w:rsid w:val="5A1B6DAE"/>
    <w:rsid w:val="5A3F648A"/>
    <w:rsid w:val="5A867B53"/>
    <w:rsid w:val="5A963B0E"/>
    <w:rsid w:val="5A987886"/>
    <w:rsid w:val="5AB61C8A"/>
    <w:rsid w:val="5ABE2233"/>
    <w:rsid w:val="5AE70A36"/>
    <w:rsid w:val="5AF2219F"/>
    <w:rsid w:val="5AFB57EF"/>
    <w:rsid w:val="5B13515F"/>
    <w:rsid w:val="5B157129"/>
    <w:rsid w:val="5B323837"/>
    <w:rsid w:val="5B3A7BC3"/>
    <w:rsid w:val="5B402A74"/>
    <w:rsid w:val="5B413A7A"/>
    <w:rsid w:val="5B750EEC"/>
    <w:rsid w:val="5B9067AF"/>
    <w:rsid w:val="5B9462A0"/>
    <w:rsid w:val="5BDF5D95"/>
    <w:rsid w:val="5BE2525D"/>
    <w:rsid w:val="5BED3C02"/>
    <w:rsid w:val="5BF94ACF"/>
    <w:rsid w:val="5BFE7528"/>
    <w:rsid w:val="5C0A47B4"/>
    <w:rsid w:val="5C291F2A"/>
    <w:rsid w:val="5C335AB8"/>
    <w:rsid w:val="5C3929A3"/>
    <w:rsid w:val="5C447CC6"/>
    <w:rsid w:val="5C7C7D00"/>
    <w:rsid w:val="5C9629A2"/>
    <w:rsid w:val="5C9F314E"/>
    <w:rsid w:val="5CA976B8"/>
    <w:rsid w:val="5CD1042F"/>
    <w:rsid w:val="5CE53AFE"/>
    <w:rsid w:val="5D0B433F"/>
    <w:rsid w:val="5D3C6BEF"/>
    <w:rsid w:val="5D6F2B20"/>
    <w:rsid w:val="5D8B7388"/>
    <w:rsid w:val="5DA56542"/>
    <w:rsid w:val="5DAF7ED8"/>
    <w:rsid w:val="5DB5231A"/>
    <w:rsid w:val="5DB9023F"/>
    <w:rsid w:val="5DBB5F16"/>
    <w:rsid w:val="5DCB1D21"/>
    <w:rsid w:val="5DCC5CB3"/>
    <w:rsid w:val="5DCC6F53"/>
    <w:rsid w:val="5DE56E05"/>
    <w:rsid w:val="5DE828D3"/>
    <w:rsid w:val="5DF84674"/>
    <w:rsid w:val="5E1345A6"/>
    <w:rsid w:val="5E223FAF"/>
    <w:rsid w:val="5E2467F1"/>
    <w:rsid w:val="5E27150A"/>
    <w:rsid w:val="5E31427A"/>
    <w:rsid w:val="5E364C03"/>
    <w:rsid w:val="5E3C2686"/>
    <w:rsid w:val="5E6E3037"/>
    <w:rsid w:val="5E744166"/>
    <w:rsid w:val="5E7D301B"/>
    <w:rsid w:val="5E8B1BDC"/>
    <w:rsid w:val="5EB800DC"/>
    <w:rsid w:val="5EBA426F"/>
    <w:rsid w:val="5ED74E98"/>
    <w:rsid w:val="5EE30EAF"/>
    <w:rsid w:val="5EF552A7"/>
    <w:rsid w:val="5F0F6D87"/>
    <w:rsid w:val="5F160944"/>
    <w:rsid w:val="5F17346F"/>
    <w:rsid w:val="5F1A2B43"/>
    <w:rsid w:val="5F4B4EC7"/>
    <w:rsid w:val="5F4D7023"/>
    <w:rsid w:val="5F596CAB"/>
    <w:rsid w:val="5F5C5FB8"/>
    <w:rsid w:val="5F6366B5"/>
    <w:rsid w:val="5F640ED4"/>
    <w:rsid w:val="5F7E529D"/>
    <w:rsid w:val="5F9E3998"/>
    <w:rsid w:val="5FA63D97"/>
    <w:rsid w:val="5FA641AD"/>
    <w:rsid w:val="5FB72B9D"/>
    <w:rsid w:val="5FB837BB"/>
    <w:rsid w:val="5FC01B65"/>
    <w:rsid w:val="60150B9A"/>
    <w:rsid w:val="603529F7"/>
    <w:rsid w:val="603B48E8"/>
    <w:rsid w:val="604007A4"/>
    <w:rsid w:val="605E5565"/>
    <w:rsid w:val="607B2F0A"/>
    <w:rsid w:val="60871AEB"/>
    <w:rsid w:val="60A52CFD"/>
    <w:rsid w:val="60B66CB8"/>
    <w:rsid w:val="60BB607C"/>
    <w:rsid w:val="60CC405A"/>
    <w:rsid w:val="60DB04CD"/>
    <w:rsid w:val="60E43825"/>
    <w:rsid w:val="60EC6236"/>
    <w:rsid w:val="6117225F"/>
    <w:rsid w:val="61395A68"/>
    <w:rsid w:val="613A02BC"/>
    <w:rsid w:val="61575576"/>
    <w:rsid w:val="615F25C9"/>
    <w:rsid w:val="6172259F"/>
    <w:rsid w:val="61840B64"/>
    <w:rsid w:val="618A7306"/>
    <w:rsid w:val="61BA5BA3"/>
    <w:rsid w:val="61E215D8"/>
    <w:rsid w:val="61F555BE"/>
    <w:rsid w:val="61F877D5"/>
    <w:rsid w:val="620D6DAC"/>
    <w:rsid w:val="621B3775"/>
    <w:rsid w:val="62257C51"/>
    <w:rsid w:val="62364782"/>
    <w:rsid w:val="6236550B"/>
    <w:rsid w:val="623E5FD0"/>
    <w:rsid w:val="62401DF7"/>
    <w:rsid w:val="625C73EB"/>
    <w:rsid w:val="62946B85"/>
    <w:rsid w:val="629C0408"/>
    <w:rsid w:val="62A274F4"/>
    <w:rsid w:val="62B64D4D"/>
    <w:rsid w:val="62B95FB0"/>
    <w:rsid w:val="62C92CD3"/>
    <w:rsid w:val="62E00796"/>
    <w:rsid w:val="62E41B6F"/>
    <w:rsid w:val="62E65657"/>
    <w:rsid w:val="62F53AC8"/>
    <w:rsid w:val="631669F1"/>
    <w:rsid w:val="63422A85"/>
    <w:rsid w:val="6349032F"/>
    <w:rsid w:val="634930D0"/>
    <w:rsid w:val="635B1D60"/>
    <w:rsid w:val="63727F94"/>
    <w:rsid w:val="638766EA"/>
    <w:rsid w:val="638E7A78"/>
    <w:rsid w:val="63934AF0"/>
    <w:rsid w:val="6394356A"/>
    <w:rsid w:val="63BD3EBA"/>
    <w:rsid w:val="63C45248"/>
    <w:rsid w:val="63C61B2C"/>
    <w:rsid w:val="63D04E6B"/>
    <w:rsid w:val="63D336DD"/>
    <w:rsid w:val="63D40BE9"/>
    <w:rsid w:val="63D63F11"/>
    <w:rsid w:val="64102431"/>
    <w:rsid w:val="64234664"/>
    <w:rsid w:val="643B42A0"/>
    <w:rsid w:val="64446389"/>
    <w:rsid w:val="64485E79"/>
    <w:rsid w:val="64722EF6"/>
    <w:rsid w:val="64836EB1"/>
    <w:rsid w:val="64A137DB"/>
    <w:rsid w:val="64A5243A"/>
    <w:rsid w:val="64A9244A"/>
    <w:rsid w:val="64CD45D0"/>
    <w:rsid w:val="64CD637E"/>
    <w:rsid w:val="64D70FAB"/>
    <w:rsid w:val="64DE67DD"/>
    <w:rsid w:val="64E60571"/>
    <w:rsid w:val="64ED7045"/>
    <w:rsid w:val="64F531DE"/>
    <w:rsid w:val="65031DA0"/>
    <w:rsid w:val="65102E3B"/>
    <w:rsid w:val="651C58AB"/>
    <w:rsid w:val="65241F3A"/>
    <w:rsid w:val="65285F3C"/>
    <w:rsid w:val="652E32C1"/>
    <w:rsid w:val="65373578"/>
    <w:rsid w:val="653B3C30"/>
    <w:rsid w:val="654F4FE5"/>
    <w:rsid w:val="65717652"/>
    <w:rsid w:val="65862CA1"/>
    <w:rsid w:val="65A76BCF"/>
    <w:rsid w:val="65B25CA0"/>
    <w:rsid w:val="65C00183"/>
    <w:rsid w:val="65DC0F6F"/>
    <w:rsid w:val="65DC4ACB"/>
    <w:rsid w:val="662972FA"/>
    <w:rsid w:val="662B0176"/>
    <w:rsid w:val="662F5543"/>
    <w:rsid w:val="664803B2"/>
    <w:rsid w:val="665723A3"/>
    <w:rsid w:val="666A22FE"/>
    <w:rsid w:val="666A657B"/>
    <w:rsid w:val="66707909"/>
    <w:rsid w:val="669F20F0"/>
    <w:rsid w:val="66B75538"/>
    <w:rsid w:val="66C832A1"/>
    <w:rsid w:val="66D71736"/>
    <w:rsid w:val="670047E9"/>
    <w:rsid w:val="67087B42"/>
    <w:rsid w:val="670A1B0C"/>
    <w:rsid w:val="671F124A"/>
    <w:rsid w:val="672A5355"/>
    <w:rsid w:val="6744501E"/>
    <w:rsid w:val="675D7E8D"/>
    <w:rsid w:val="6773145F"/>
    <w:rsid w:val="6773320D"/>
    <w:rsid w:val="677A33C6"/>
    <w:rsid w:val="67825B46"/>
    <w:rsid w:val="67A7735B"/>
    <w:rsid w:val="67DD2D7C"/>
    <w:rsid w:val="67FC76A6"/>
    <w:rsid w:val="68030C10"/>
    <w:rsid w:val="680D3662"/>
    <w:rsid w:val="681F5143"/>
    <w:rsid w:val="681F6961"/>
    <w:rsid w:val="68224235"/>
    <w:rsid w:val="68307350"/>
    <w:rsid w:val="68391610"/>
    <w:rsid w:val="68466B73"/>
    <w:rsid w:val="684958A9"/>
    <w:rsid w:val="685252A9"/>
    <w:rsid w:val="68580655"/>
    <w:rsid w:val="68610A2F"/>
    <w:rsid w:val="687E018A"/>
    <w:rsid w:val="687E630D"/>
    <w:rsid w:val="68805514"/>
    <w:rsid w:val="68863414"/>
    <w:rsid w:val="688D3ECE"/>
    <w:rsid w:val="689A2A1B"/>
    <w:rsid w:val="68B7537B"/>
    <w:rsid w:val="68CF6FB3"/>
    <w:rsid w:val="68EF2D67"/>
    <w:rsid w:val="68EF4B15"/>
    <w:rsid w:val="68F91E38"/>
    <w:rsid w:val="68FB795E"/>
    <w:rsid w:val="690857ED"/>
    <w:rsid w:val="69157C00"/>
    <w:rsid w:val="69313380"/>
    <w:rsid w:val="69316E2F"/>
    <w:rsid w:val="693370F8"/>
    <w:rsid w:val="694A2693"/>
    <w:rsid w:val="694E2071"/>
    <w:rsid w:val="695157D0"/>
    <w:rsid w:val="69562A65"/>
    <w:rsid w:val="696C260A"/>
    <w:rsid w:val="696F3EA8"/>
    <w:rsid w:val="69766163"/>
    <w:rsid w:val="697A2F79"/>
    <w:rsid w:val="697A3B33"/>
    <w:rsid w:val="698A0CE2"/>
    <w:rsid w:val="699D78D2"/>
    <w:rsid w:val="69D44760"/>
    <w:rsid w:val="69E228CC"/>
    <w:rsid w:val="69E67EF0"/>
    <w:rsid w:val="69F83E9D"/>
    <w:rsid w:val="6A1E36E3"/>
    <w:rsid w:val="6A3F7D1E"/>
    <w:rsid w:val="6A4842D1"/>
    <w:rsid w:val="6A520EC7"/>
    <w:rsid w:val="6A5512F0"/>
    <w:rsid w:val="6A57516F"/>
    <w:rsid w:val="6A741178"/>
    <w:rsid w:val="6A9770FC"/>
    <w:rsid w:val="6AA622AB"/>
    <w:rsid w:val="6AB9362D"/>
    <w:rsid w:val="6ACB7804"/>
    <w:rsid w:val="6AF428B7"/>
    <w:rsid w:val="6AF87E20"/>
    <w:rsid w:val="6B07083C"/>
    <w:rsid w:val="6B1E16E2"/>
    <w:rsid w:val="6B252A70"/>
    <w:rsid w:val="6B322639"/>
    <w:rsid w:val="6B3873A8"/>
    <w:rsid w:val="6B3C600C"/>
    <w:rsid w:val="6B43739A"/>
    <w:rsid w:val="6B482C03"/>
    <w:rsid w:val="6B4E646B"/>
    <w:rsid w:val="6B881251"/>
    <w:rsid w:val="6B8916D9"/>
    <w:rsid w:val="6B9B0F84"/>
    <w:rsid w:val="6BC343C1"/>
    <w:rsid w:val="6BCE1834"/>
    <w:rsid w:val="6BCE3108"/>
    <w:rsid w:val="6BCF0553"/>
    <w:rsid w:val="6BD61FBC"/>
    <w:rsid w:val="6BDA5D3E"/>
    <w:rsid w:val="6BE566A3"/>
    <w:rsid w:val="6BEF307E"/>
    <w:rsid w:val="6BF058B0"/>
    <w:rsid w:val="6C427D60"/>
    <w:rsid w:val="6C5775A1"/>
    <w:rsid w:val="6C636C38"/>
    <w:rsid w:val="6C727F37"/>
    <w:rsid w:val="6C895281"/>
    <w:rsid w:val="6CA84106"/>
    <w:rsid w:val="6CC369E5"/>
    <w:rsid w:val="6CEC39D2"/>
    <w:rsid w:val="6CEF77DA"/>
    <w:rsid w:val="6CF941B4"/>
    <w:rsid w:val="6CFC5A53"/>
    <w:rsid w:val="6D156B14"/>
    <w:rsid w:val="6D1B05CF"/>
    <w:rsid w:val="6D266F73"/>
    <w:rsid w:val="6D2A4318"/>
    <w:rsid w:val="6D54763D"/>
    <w:rsid w:val="6D567859"/>
    <w:rsid w:val="6D5C2995"/>
    <w:rsid w:val="6D5F0D8B"/>
    <w:rsid w:val="6D77157D"/>
    <w:rsid w:val="6D91263F"/>
    <w:rsid w:val="6DB34098"/>
    <w:rsid w:val="6DB545B6"/>
    <w:rsid w:val="6DC21A43"/>
    <w:rsid w:val="6DDA3A49"/>
    <w:rsid w:val="6DE02FB4"/>
    <w:rsid w:val="6E1475C6"/>
    <w:rsid w:val="6E1E0EF6"/>
    <w:rsid w:val="6E217E67"/>
    <w:rsid w:val="6E325D25"/>
    <w:rsid w:val="6E331948"/>
    <w:rsid w:val="6E403A03"/>
    <w:rsid w:val="6E4771A1"/>
    <w:rsid w:val="6E514CED"/>
    <w:rsid w:val="6E557B10"/>
    <w:rsid w:val="6E5A00F7"/>
    <w:rsid w:val="6E5A54C6"/>
    <w:rsid w:val="6E5A5D4F"/>
    <w:rsid w:val="6E7C509D"/>
    <w:rsid w:val="6E7D2BC3"/>
    <w:rsid w:val="6E7F47FA"/>
    <w:rsid w:val="6E996CEA"/>
    <w:rsid w:val="6EA63EC8"/>
    <w:rsid w:val="6EA83F66"/>
    <w:rsid w:val="6EB563D5"/>
    <w:rsid w:val="6EB70CED"/>
    <w:rsid w:val="6EC05F06"/>
    <w:rsid w:val="6EC84786"/>
    <w:rsid w:val="6ED92677"/>
    <w:rsid w:val="6EE36ECA"/>
    <w:rsid w:val="6EFE3D04"/>
    <w:rsid w:val="6F01303C"/>
    <w:rsid w:val="6F0D03EB"/>
    <w:rsid w:val="6F1550AC"/>
    <w:rsid w:val="6F225983"/>
    <w:rsid w:val="6F282B2F"/>
    <w:rsid w:val="6F547DC8"/>
    <w:rsid w:val="6F5778B8"/>
    <w:rsid w:val="6F59718C"/>
    <w:rsid w:val="6F5F528D"/>
    <w:rsid w:val="6F720476"/>
    <w:rsid w:val="6F79782E"/>
    <w:rsid w:val="6FDA2E93"/>
    <w:rsid w:val="6FFC5590"/>
    <w:rsid w:val="7023779A"/>
    <w:rsid w:val="70286BDE"/>
    <w:rsid w:val="7035107E"/>
    <w:rsid w:val="703D260A"/>
    <w:rsid w:val="704C0A9F"/>
    <w:rsid w:val="70671D7D"/>
    <w:rsid w:val="70685CF4"/>
    <w:rsid w:val="706D1DD0"/>
    <w:rsid w:val="707B1F3B"/>
    <w:rsid w:val="70856B87"/>
    <w:rsid w:val="708B529E"/>
    <w:rsid w:val="70A64653"/>
    <w:rsid w:val="70A839F6"/>
    <w:rsid w:val="70B07966"/>
    <w:rsid w:val="70BF74C3"/>
    <w:rsid w:val="70C108B5"/>
    <w:rsid w:val="70D527EE"/>
    <w:rsid w:val="70E60E46"/>
    <w:rsid w:val="70E62CA2"/>
    <w:rsid w:val="70ED2282"/>
    <w:rsid w:val="71031AA6"/>
    <w:rsid w:val="71267542"/>
    <w:rsid w:val="71285068"/>
    <w:rsid w:val="712F5E96"/>
    <w:rsid w:val="71347EB1"/>
    <w:rsid w:val="71597917"/>
    <w:rsid w:val="715B5300"/>
    <w:rsid w:val="716B764B"/>
    <w:rsid w:val="71AA3CCF"/>
    <w:rsid w:val="71AD1A11"/>
    <w:rsid w:val="71B57E9A"/>
    <w:rsid w:val="71D13952"/>
    <w:rsid w:val="71D27F8A"/>
    <w:rsid w:val="72050764"/>
    <w:rsid w:val="72074F42"/>
    <w:rsid w:val="72231CD3"/>
    <w:rsid w:val="723116F7"/>
    <w:rsid w:val="723D0FE7"/>
    <w:rsid w:val="7240247F"/>
    <w:rsid w:val="724265FE"/>
    <w:rsid w:val="72553024"/>
    <w:rsid w:val="7265409A"/>
    <w:rsid w:val="726C4D94"/>
    <w:rsid w:val="727442DD"/>
    <w:rsid w:val="72C26B71"/>
    <w:rsid w:val="73002B03"/>
    <w:rsid w:val="730D4785"/>
    <w:rsid w:val="731108D6"/>
    <w:rsid w:val="73122968"/>
    <w:rsid w:val="731F5D5E"/>
    <w:rsid w:val="73467A28"/>
    <w:rsid w:val="734E2156"/>
    <w:rsid w:val="735E7467"/>
    <w:rsid w:val="738F5872"/>
    <w:rsid w:val="7399049F"/>
    <w:rsid w:val="73A72328"/>
    <w:rsid w:val="73B76B77"/>
    <w:rsid w:val="73C51AD5"/>
    <w:rsid w:val="73DE2356"/>
    <w:rsid w:val="73F610BF"/>
    <w:rsid w:val="73FC458A"/>
    <w:rsid w:val="7402235F"/>
    <w:rsid w:val="741C4C2C"/>
    <w:rsid w:val="741E793C"/>
    <w:rsid w:val="745361A9"/>
    <w:rsid w:val="745D771F"/>
    <w:rsid w:val="745E3944"/>
    <w:rsid w:val="746045F4"/>
    <w:rsid w:val="74655D13"/>
    <w:rsid w:val="746F7ECF"/>
    <w:rsid w:val="747E6AAC"/>
    <w:rsid w:val="749B3DA3"/>
    <w:rsid w:val="74A36900"/>
    <w:rsid w:val="74A562A5"/>
    <w:rsid w:val="74BB1F12"/>
    <w:rsid w:val="74C21297"/>
    <w:rsid w:val="74E4399C"/>
    <w:rsid w:val="74F75AF4"/>
    <w:rsid w:val="74FA37EF"/>
    <w:rsid w:val="74FA4F6E"/>
    <w:rsid w:val="750000AA"/>
    <w:rsid w:val="75071291"/>
    <w:rsid w:val="75072883"/>
    <w:rsid w:val="75075D8B"/>
    <w:rsid w:val="750E6C6B"/>
    <w:rsid w:val="751002ED"/>
    <w:rsid w:val="752A6B80"/>
    <w:rsid w:val="752D5343"/>
    <w:rsid w:val="754461E9"/>
    <w:rsid w:val="755A4E06"/>
    <w:rsid w:val="755C65B3"/>
    <w:rsid w:val="757A60AE"/>
    <w:rsid w:val="75BB6422"/>
    <w:rsid w:val="75CF01A8"/>
    <w:rsid w:val="75D73501"/>
    <w:rsid w:val="75D94B83"/>
    <w:rsid w:val="75DF0C59"/>
    <w:rsid w:val="75F226B3"/>
    <w:rsid w:val="75F84234"/>
    <w:rsid w:val="75FA4D51"/>
    <w:rsid w:val="75FC6AC3"/>
    <w:rsid w:val="7601057E"/>
    <w:rsid w:val="762C1A00"/>
    <w:rsid w:val="76321DAC"/>
    <w:rsid w:val="7635099D"/>
    <w:rsid w:val="7649264C"/>
    <w:rsid w:val="765F0509"/>
    <w:rsid w:val="766F7295"/>
    <w:rsid w:val="767553ED"/>
    <w:rsid w:val="7682521B"/>
    <w:rsid w:val="768C7E47"/>
    <w:rsid w:val="76A878BD"/>
    <w:rsid w:val="76C43A85"/>
    <w:rsid w:val="76D96E05"/>
    <w:rsid w:val="76EF03D6"/>
    <w:rsid w:val="76F105F2"/>
    <w:rsid w:val="76F76AC9"/>
    <w:rsid w:val="770E2F52"/>
    <w:rsid w:val="77161E07"/>
    <w:rsid w:val="771D4F43"/>
    <w:rsid w:val="771F2A69"/>
    <w:rsid w:val="774A0D27"/>
    <w:rsid w:val="776B2153"/>
    <w:rsid w:val="776B7302"/>
    <w:rsid w:val="77762421"/>
    <w:rsid w:val="77785CE2"/>
    <w:rsid w:val="777C6C1D"/>
    <w:rsid w:val="77853A88"/>
    <w:rsid w:val="778C0F36"/>
    <w:rsid w:val="77933457"/>
    <w:rsid w:val="77A13DC6"/>
    <w:rsid w:val="77A318EC"/>
    <w:rsid w:val="77A94A29"/>
    <w:rsid w:val="77B56B1F"/>
    <w:rsid w:val="77B84C6C"/>
    <w:rsid w:val="77C14AAD"/>
    <w:rsid w:val="77C655DB"/>
    <w:rsid w:val="77CB58D6"/>
    <w:rsid w:val="77E8366D"/>
    <w:rsid w:val="77E872FF"/>
    <w:rsid w:val="77F263D0"/>
    <w:rsid w:val="78061E7B"/>
    <w:rsid w:val="780C6984"/>
    <w:rsid w:val="780F09F4"/>
    <w:rsid w:val="781C51FB"/>
    <w:rsid w:val="781E71C5"/>
    <w:rsid w:val="78250553"/>
    <w:rsid w:val="782567A5"/>
    <w:rsid w:val="78360943"/>
    <w:rsid w:val="78397B5B"/>
    <w:rsid w:val="783E33C3"/>
    <w:rsid w:val="785030F6"/>
    <w:rsid w:val="785C7CED"/>
    <w:rsid w:val="7862774C"/>
    <w:rsid w:val="786848E4"/>
    <w:rsid w:val="786E6A26"/>
    <w:rsid w:val="78970D25"/>
    <w:rsid w:val="789B25C4"/>
    <w:rsid w:val="789C342F"/>
    <w:rsid w:val="78A376CA"/>
    <w:rsid w:val="78A90480"/>
    <w:rsid w:val="78B90C9C"/>
    <w:rsid w:val="78E75E53"/>
    <w:rsid w:val="78E92031"/>
    <w:rsid w:val="791F5B42"/>
    <w:rsid w:val="792653EA"/>
    <w:rsid w:val="79312F28"/>
    <w:rsid w:val="793C296C"/>
    <w:rsid w:val="793F3897"/>
    <w:rsid w:val="794013BD"/>
    <w:rsid w:val="794639EB"/>
    <w:rsid w:val="79570BE0"/>
    <w:rsid w:val="795E008C"/>
    <w:rsid w:val="796B468C"/>
    <w:rsid w:val="79780B57"/>
    <w:rsid w:val="79787359"/>
    <w:rsid w:val="797F0137"/>
    <w:rsid w:val="798017B9"/>
    <w:rsid w:val="798412AA"/>
    <w:rsid w:val="79927E6B"/>
    <w:rsid w:val="799B65F3"/>
    <w:rsid w:val="79C478F8"/>
    <w:rsid w:val="79C67B14"/>
    <w:rsid w:val="79CB2F9B"/>
    <w:rsid w:val="79CE116D"/>
    <w:rsid w:val="79D815F5"/>
    <w:rsid w:val="79E63D12"/>
    <w:rsid w:val="79E93486"/>
    <w:rsid w:val="79F13A7A"/>
    <w:rsid w:val="79F91C98"/>
    <w:rsid w:val="79F9302E"/>
    <w:rsid w:val="7A300FBE"/>
    <w:rsid w:val="7A31156B"/>
    <w:rsid w:val="7A364017"/>
    <w:rsid w:val="7A5D0560"/>
    <w:rsid w:val="7A8265E1"/>
    <w:rsid w:val="7A962AA5"/>
    <w:rsid w:val="7A9814B1"/>
    <w:rsid w:val="7AA15E8B"/>
    <w:rsid w:val="7AAC17A4"/>
    <w:rsid w:val="7ACC2F08"/>
    <w:rsid w:val="7B072192"/>
    <w:rsid w:val="7B1A46D0"/>
    <w:rsid w:val="7B234AF2"/>
    <w:rsid w:val="7B5D44C9"/>
    <w:rsid w:val="7B686D42"/>
    <w:rsid w:val="7B6949B6"/>
    <w:rsid w:val="7B794BF6"/>
    <w:rsid w:val="7B841746"/>
    <w:rsid w:val="7B8632C4"/>
    <w:rsid w:val="7B8778ED"/>
    <w:rsid w:val="7BA07EF1"/>
    <w:rsid w:val="7BCB73BB"/>
    <w:rsid w:val="7BF85F7F"/>
    <w:rsid w:val="7C15268D"/>
    <w:rsid w:val="7C211630"/>
    <w:rsid w:val="7C304853"/>
    <w:rsid w:val="7C570EF7"/>
    <w:rsid w:val="7C6A0C2B"/>
    <w:rsid w:val="7C6C5AC7"/>
    <w:rsid w:val="7C6F4493"/>
    <w:rsid w:val="7C703D67"/>
    <w:rsid w:val="7CA852AF"/>
    <w:rsid w:val="7CBC51FE"/>
    <w:rsid w:val="7CC52305"/>
    <w:rsid w:val="7CC6544B"/>
    <w:rsid w:val="7CDB38D7"/>
    <w:rsid w:val="7CDC6400"/>
    <w:rsid w:val="7D0050EB"/>
    <w:rsid w:val="7D0239FF"/>
    <w:rsid w:val="7D060CAB"/>
    <w:rsid w:val="7D0E5A5A"/>
    <w:rsid w:val="7D1C7A4B"/>
    <w:rsid w:val="7D3140B5"/>
    <w:rsid w:val="7D33726F"/>
    <w:rsid w:val="7D4E40A8"/>
    <w:rsid w:val="7D5316BF"/>
    <w:rsid w:val="7D5E40CD"/>
    <w:rsid w:val="7D665A70"/>
    <w:rsid w:val="7D997077"/>
    <w:rsid w:val="7D9C12B8"/>
    <w:rsid w:val="7DAA6DE8"/>
    <w:rsid w:val="7DBF4FA6"/>
    <w:rsid w:val="7DC223A1"/>
    <w:rsid w:val="7DC234DD"/>
    <w:rsid w:val="7DC66335"/>
    <w:rsid w:val="7DCA74A7"/>
    <w:rsid w:val="7DCD56F2"/>
    <w:rsid w:val="7DDF7290"/>
    <w:rsid w:val="7DEA595A"/>
    <w:rsid w:val="7DF6029C"/>
    <w:rsid w:val="7DFD162B"/>
    <w:rsid w:val="7E0C7AC0"/>
    <w:rsid w:val="7E186464"/>
    <w:rsid w:val="7E3239CA"/>
    <w:rsid w:val="7E3A1858"/>
    <w:rsid w:val="7E551467"/>
    <w:rsid w:val="7E590E86"/>
    <w:rsid w:val="7E5F22E5"/>
    <w:rsid w:val="7E7318ED"/>
    <w:rsid w:val="7E8B7324"/>
    <w:rsid w:val="7E933D3D"/>
    <w:rsid w:val="7E9975A5"/>
    <w:rsid w:val="7EA07EF3"/>
    <w:rsid w:val="7EC9775F"/>
    <w:rsid w:val="7ECA3C03"/>
    <w:rsid w:val="7F001CE7"/>
    <w:rsid w:val="7F094061"/>
    <w:rsid w:val="7F182E9C"/>
    <w:rsid w:val="7F1A37E8"/>
    <w:rsid w:val="7F2A46A1"/>
    <w:rsid w:val="7F3F4844"/>
    <w:rsid w:val="7F4339B5"/>
    <w:rsid w:val="7F4F235A"/>
    <w:rsid w:val="7F600139"/>
    <w:rsid w:val="7F6148CC"/>
    <w:rsid w:val="7F832895"/>
    <w:rsid w:val="7F8A3392"/>
    <w:rsid w:val="7F912972"/>
    <w:rsid w:val="7F9560E2"/>
    <w:rsid w:val="7F9D30C5"/>
    <w:rsid w:val="7FE47E50"/>
    <w:rsid w:val="7FE74340"/>
    <w:rsid w:val="7FF12162"/>
    <w:rsid w:val="7FF54CAF"/>
    <w:rsid w:val="7FFB7DEC"/>
    <w:rsid w:val="7FFC02A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99"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adjustRightInd w:val="0"/>
      <w:snapToGrid w:val="0"/>
      <w:spacing w:beforeLines="50" w:after="120" w:line="360" w:lineRule="auto"/>
      <w:ind w:firstLine="510"/>
      <w:textAlignment w:val="baseline"/>
      <w:outlineLvl w:val="1"/>
    </w:pPr>
    <w:rPr>
      <w:rFonts w:ascii="黑体" w:hAnsi="Arial" w:eastAsia="黑体"/>
      <w:b/>
      <w:snapToGrid w:val="0"/>
      <w:spacing w:val="4"/>
      <w:sz w:val="24"/>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6">
    <w:name w:val="Default Paragraph Font"/>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locked/>
    <w:uiPriority w:val="0"/>
    <w:pPr>
      <w:ind w:firstLine="420"/>
    </w:pPr>
    <w:rPr>
      <w:sz w:val="24"/>
      <w:szCs w:val="20"/>
    </w:rPr>
  </w:style>
  <w:style w:type="paragraph" w:styleId="6">
    <w:name w:val="annotation text"/>
    <w:basedOn w:val="1"/>
    <w:link w:val="34"/>
    <w:qFormat/>
    <w:uiPriority w:val="0"/>
    <w:pPr>
      <w:jc w:val="left"/>
    </w:pPr>
    <w:rPr>
      <w:kern w:val="0"/>
      <w:sz w:val="24"/>
      <w:szCs w:val="20"/>
    </w:rPr>
  </w:style>
  <w:style w:type="paragraph" w:styleId="7">
    <w:name w:val="Body Text"/>
    <w:basedOn w:val="1"/>
    <w:link w:val="32"/>
    <w:qFormat/>
    <w:uiPriority w:val="0"/>
    <w:pPr>
      <w:widowControl/>
      <w:adjustRightInd w:val="0"/>
      <w:snapToGrid w:val="0"/>
      <w:spacing w:line="360" w:lineRule="auto"/>
      <w:ind w:right="0" w:firstLine="720" w:firstLineChars="200"/>
    </w:pPr>
    <w:rPr>
      <w:rFonts w:ascii="Times New Roman" w:hAnsi="Times New Roman" w:eastAsia="宋体"/>
      <w:kern w:val="0"/>
      <w:sz w:val="24"/>
      <w:szCs w:val="20"/>
    </w:rPr>
  </w:style>
  <w:style w:type="paragraph" w:styleId="8">
    <w:name w:val="Body Text Indent"/>
    <w:basedOn w:val="1"/>
    <w:link w:val="35"/>
    <w:qFormat/>
    <w:uiPriority w:val="0"/>
    <w:pPr>
      <w:adjustRightInd w:val="0"/>
      <w:snapToGrid w:val="0"/>
      <w:spacing w:line="240" w:lineRule="auto"/>
      <w:ind w:left="0" w:leftChars="0"/>
    </w:pPr>
    <w:rPr>
      <w:rFonts w:ascii="Times New Roman" w:hAnsi="Times New Roman" w:eastAsia="宋体"/>
      <w:kern w:val="0"/>
      <w:szCs w:val="20"/>
    </w:rPr>
  </w:style>
  <w:style w:type="paragraph" w:styleId="9">
    <w:name w:val="Block Text"/>
    <w:basedOn w:val="1"/>
    <w:unhideWhenUsed/>
    <w:qFormat/>
    <w:locked/>
    <w:uiPriority w:val="99"/>
    <w:pPr>
      <w:adjustRightInd w:val="0"/>
      <w:snapToGrid w:val="0"/>
      <w:spacing w:before="100" w:beforeAutospacing="1" w:after="100" w:afterAutospacing="1" w:line="360" w:lineRule="auto"/>
      <w:ind w:firstLine="720" w:firstLineChars="200"/>
    </w:pPr>
    <w:rPr>
      <w:sz w:val="24"/>
    </w:rPr>
  </w:style>
  <w:style w:type="paragraph" w:styleId="10">
    <w:name w:val="Plain Text"/>
    <w:basedOn w:val="1"/>
    <w:next w:val="11"/>
    <w:unhideWhenUsed/>
    <w:qFormat/>
    <w:locked/>
    <w:uiPriority w:val="99"/>
    <w:rPr>
      <w:rFonts w:ascii="宋体" w:hAnsi="Courier New" w:cs="宋体"/>
      <w:sz w:val="24"/>
    </w:rPr>
  </w:style>
  <w:style w:type="paragraph" w:customStyle="1" w:styleId="11">
    <w:name w:val="Default"/>
    <w:basedOn w:val="12"/>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2">
    <w:name w:val="纯文本1"/>
    <w:basedOn w:val="1"/>
    <w:qFormat/>
    <w:uiPriority w:val="99"/>
    <w:pPr>
      <w:autoSpaceDE w:val="0"/>
      <w:autoSpaceDN w:val="0"/>
      <w:adjustRightInd w:val="0"/>
      <w:textAlignment w:val="baseline"/>
    </w:pPr>
    <w:rPr>
      <w:rFonts w:ascii="宋体"/>
      <w:szCs w:val="20"/>
    </w:rPr>
  </w:style>
  <w:style w:type="paragraph" w:styleId="13">
    <w:name w:val="List Bullet 5"/>
    <w:basedOn w:val="1"/>
    <w:qFormat/>
    <w:locked/>
    <w:uiPriority w:val="0"/>
    <w:pPr>
      <w:numPr>
        <w:ilvl w:val="0"/>
        <w:numId w:val="1"/>
      </w:numPr>
    </w:pPr>
  </w:style>
  <w:style w:type="paragraph" w:styleId="14">
    <w:name w:val="Date"/>
    <w:basedOn w:val="1"/>
    <w:next w:val="1"/>
    <w:link w:val="36"/>
    <w:qFormat/>
    <w:uiPriority w:val="0"/>
    <w:pPr>
      <w:ind w:left="100" w:leftChars="2500"/>
    </w:pPr>
    <w:rPr>
      <w:kern w:val="0"/>
      <w:sz w:val="24"/>
      <w:szCs w:val="20"/>
    </w:rPr>
  </w:style>
  <w:style w:type="paragraph" w:styleId="15">
    <w:name w:val="Body Text Indent 2"/>
    <w:basedOn w:val="1"/>
    <w:qFormat/>
    <w:locked/>
    <w:uiPriority w:val="0"/>
    <w:pPr>
      <w:spacing w:before="120" w:line="360" w:lineRule="auto"/>
      <w:ind w:firstLine="527"/>
    </w:pPr>
    <w:rPr>
      <w:sz w:val="24"/>
      <w:szCs w:val="20"/>
    </w:rPr>
  </w:style>
  <w:style w:type="paragraph" w:styleId="16">
    <w:name w:val="Balloon Text"/>
    <w:basedOn w:val="1"/>
    <w:link w:val="37"/>
    <w:semiHidden/>
    <w:qFormat/>
    <w:uiPriority w:val="0"/>
    <w:rPr>
      <w:kern w:val="0"/>
      <w:sz w:val="18"/>
      <w:szCs w:val="20"/>
    </w:rPr>
  </w:style>
  <w:style w:type="paragraph" w:styleId="17">
    <w:name w:val="footer"/>
    <w:basedOn w:val="1"/>
    <w:link w:val="38"/>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
    <w:qFormat/>
    <w:locked/>
    <w:uiPriority w:val="0"/>
    <w:pPr>
      <w:spacing w:line="320" w:lineRule="exact"/>
      <w:jc w:val="center"/>
    </w:pPr>
    <w:rPr>
      <w:rFonts w:ascii="楷体_GB2312" w:eastAsia="楷体_GB2312"/>
      <w:sz w:val="24"/>
      <w:szCs w:val="20"/>
    </w:rPr>
  </w:style>
  <w:style w:type="paragraph" w:styleId="20">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6"/>
    <w:next w:val="6"/>
    <w:link w:val="41"/>
    <w:qFormat/>
    <w:uiPriority w:val="0"/>
    <w:rPr>
      <w:b/>
      <w:sz w:val="24"/>
      <w:szCs w:val="20"/>
    </w:rPr>
  </w:style>
  <w:style w:type="paragraph" w:styleId="23">
    <w:name w:val="Body Text First Indent 2"/>
    <w:basedOn w:val="1"/>
    <w:next w:val="1"/>
    <w:qFormat/>
    <w:locked/>
    <w:uiPriority w:val="0"/>
    <w:pPr>
      <w:spacing w:line="360" w:lineRule="auto"/>
      <w:ind w:left="0" w:leftChars="0" w:firstLine="420" w:firstLineChars="200"/>
    </w:pPr>
    <w:rPr>
      <w:rFonts w:ascii="Times New Roman" w:hAnsi="Times New Roman" w:eastAsia="宋体"/>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qFormat/>
    <w:locked/>
    <w:uiPriority w:val="0"/>
  </w:style>
  <w:style w:type="character" w:styleId="29">
    <w:name w:val="Emphasis"/>
    <w:qFormat/>
    <w:locked/>
    <w:uiPriority w:val="20"/>
    <w:rPr>
      <w:i/>
      <w:iCs/>
    </w:rPr>
  </w:style>
  <w:style w:type="character" w:styleId="30">
    <w:name w:val="Hyperlink"/>
    <w:unhideWhenUsed/>
    <w:qFormat/>
    <w:locked/>
    <w:uiPriority w:val="99"/>
    <w:rPr>
      <w:color w:val="0000FF"/>
      <w:u w:val="single"/>
    </w:rPr>
  </w:style>
  <w:style w:type="character" w:styleId="31">
    <w:name w:val="annotation reference"/>
    <w:qFormat/>
    <w:uiPriority w:val="0"/>
    <w:rPr>
      <w:sz w:val="21"/>
    </w:rPr>
  </w:style>
  <w:style w:type="character" w:customStyle="1" w:styleId="32">
    <w:name w:val="正文文本 Char"/>
    <w:link w:val="7"/>
    <w:qFormat/>
    <w:locked/>
    <w:uiPriority w:val="0"/>
    <w:rPr>
      <w:rFonts w:ascii="Times New Roman" w:hAnsi="Times New Roman" w:eastAsia="宋体"/>
      <w:sz w:val="24"/>
    </w:rPr>
  </w:style>
  <w:style w:type="paragraph" w:customStyle="1" w:styleId="33">
    <w:name w:val="正文首行缩进2"/>
    <w:basedOn w:val="15"/>
    <w:next w:val="1"/>
    <w:qFormat/>
    <w:uiPriority w:val="0"/>
    <w:pPr>
      <w:widowControl/>
      <w:spacing w:after="0" w:line="360" w:lineRule="auto"/>
      <w:ind w:left="0" w:leftChars="0"/>
      <w:jc w:val="center"/>
    </w:pPr>
    <w:rPr>
      <w:rFonts w:ascii="宋体" w:hAnsi="宋体"/>
      <w:color w:val="000000"/>
      <w:kern w:val="0"/>
      <w:sz w:val="24"/>
      <w:lang w:bidi="en-US"/>
    </w:rPr>
  </w:style>
  <w:style w:type="character" w:customStyle="1" w:styleId="34">
    <w:name w:val="批注文字 Char"/>
    <w:link w:val="6"/>
    <w:qFormat/>
    <w:locked/>
    <w:uiPriority w:val="0"/>
    <w:rPr>
      <w:rFonts w:ascii="Times New Roman" w:hAnsi="Times New Roman" w:eastAsia="宋体"/>
      <w:sz w:val="24"/>
    </w:rPr>
  </w:style>
  <w:style w:type="character" w:customStyle="1" w:styleId="35">
    <w:name w:val="正文文本缩进 Char"/>
    <w:link w:val="8"/>
    <w:semiHidden/>
    <w:qFormat/>
    <w:locked/>
    <w:uiPriority w:val="0"/>
    <w:rPr>
      <w:rFonts w:ascii="Times New Roman" w:hAnsi="Times New Roman" w:eastAsia="宋体"/>
      <w:sz w:val="21"/>
    </w:rPr>
  </w:style>
  <w:style w:type="character" w:customStyle="1" w:styleId="36">
    <w:name w:val="日期 Char"/>
    <w:link w:val="14"/>
    <w:qFormat/>
    <w:locked/>
    <w:uiPriority w:val="0"/>
    <w:rPr>
      <w:rFonts w:ascii="Times New Roman" w:hAnsi="Times New Roman" w:eastAsia="宋体"/>
      <w:sz w:val="24"/>
    </w:rPr>
  </w:style>
  <w:style w:type="character" w:customStyle="1" w:styleId="37">
    <w:name w:val="批注框文本 Char"/>
    <w:link w:val="16"/>
    <w:semiHidden/>
    <w:qFormat/>
    <w:locked/>
    <w:uiPriority w:val="0"/>
    <w:rPr>
      <w:rFonts w:ascii="Times New Roman" w:hAnsi="Times New Roman" w:eastAsia="宋体"/>
      <w:sz w:val="18"/>
    </w:rPr>
  </w:style>
  <w:style w:type="character" w:customStyle="1" w:styleId="38">
    <w:name w:val="页脚 Char"/>
    <w:link w:val="17"/>
    <w:qFormat/>
    <w:locked/>
    <w:uiPriority w:val="99"/>
    <w:rPr>
      <w:sz w:val="18"/>
    </w:rPr>
  </w:style>
  <w:style w:type="character" w:customStyle="1" w:styleId="39">
    <w:name w:val="页眉 Char"/>
    <w:link w:val="18"/>
    <w:qFormat/>
    <w:locked/>
    <w:uiPriority w:val="0"/>
    <w:rPr>
      <w:sz w:val="18"/>
    </w:rPr>
  </w:style>
  <w:style w:type="character" w:customStyle="1" w:styleId="40">
    <w:name w:val="普通(网站) Char"/>
    <w:link w:val="21"/>
    <w:qFormat/>
    <w:locked/>
    <w:uiPriority w:val="0"/>
    <w:rPr>
      <w:rFonts w:ascii="宋体" w:hAnsi="宋体" w:eastAsia="宋体"/>
      <w:sz w:val="24"/>
    </w:rPr>
  </w:style>
  <w:style w:type="character" w:customStyle="1" w:styleId="41">
    <w:name w:val="批注主题 Char"/>
    <w:link w:val="22"/>
    <w:semiHidden/>
    <w:qFormat/>
    <w:locked/>
    <w:uiPriority w:val="0"/>
    <w:rPr>
      <w:rFonts w:ascii="Times New Roman" w:hAnsi="Times New Roman" w:eastAsia="宋体"/>
      <w:b/>
      <w:kern w:val="2"/>
      <w:sz w:val="24"/>
    </w:rPr>
  </w:style>
  <w:style w:type="paragraph" w:customStyle="1" w:styleId="42">
    <w:name w:val="惠泽正文"/>
    <w:basedOn w:val="1"/>
    <w:qFormat/>
    <w:uiPriority w:val="0"/>
    <w:pPr>
      <w:spacing w:line="480" w:lineRule="exact"/>
      <w:ind w:firstLine="480" w:firstLineChars="200"/>
    </w:pPr>
    <w:rPr>
      <w:rFonts w:hAnsi="宋体" w:cs="宋体"/>
      <w:sz w:val="24"/>
    </w:rPr>
  </w:style>
  <w:style w:type="paragraph" w:customStyle="1" w:styleId="43">
    <w:name w:val="表头O"/>
    <w:basedOn w:val="1"/>
    <w:next w:val="44"/>
    <w:qFormat/>
    <w:uiPriority w:val="0"/>
    <w:pPr>
      <w:jc w:val="center"/>
    </w:pPr>
    <w:rPr>
      <w:rFonts w:ascii="Times New Roman" w:hAnsi="Times New Roman"/>
      <w:b/>
      <w:sz w:val="24"/>
      <w:szCs w:val="22"/>
    </w:rPr>
  </w:style>
  <w:style w:type="paragraph" w:customStyle="1" w:styleId="44">
    <w:name w:val="0正文"/>
    <w:basedOn w:val="1"/>
    <w:qFormat/>
    <w:uiPriority w:val="0"/>
    <w:pPr>
      <w:ind w:firstLine="480"/>
    </w:pPr>
    <w:rPr>
      <w:color w:val="0000FF"/>
      <w:kern w:val="0"/>
      <w:szCs w:val="24"/>
    </w:rPr>
  </w:style>
  <w:style w:type="paragraph" w:customStyle="1" w:styleId="45">
    <w:name w:val="表格文字（内）"/>
    <w:basedOn w:val="46"/>
    <w:qFormat/>
    <w:uiPriority w:val="0"/>
    <w:pPr>
      <w:adjustRightInd w:val="0"/>
      <w:snapToGrid w:val="0"/>
      <w:jc w:val="center"/>
    </w:pPr>
    <w:rPr>
      <w:snapToGrid w:val="0"/>
      <w:szCs w:val="21"/>
    </w:rPr>
  </w:style>
  <w:style w:type="paragraph" w:customStyle="1" w:styleId="46">
    <w:name w:val="表格文字（外）"/>
    <w:basedOn w:val="1"/>
    <w:qFormat/>
    <w:uiPriority w:val="0"/>
    <w:pPr>
      <w:adjustRightInd w:val="0"/>
      <w:snapToGrid w:val="0"/>
      <w:spacing w:line="240" w:lineRule="auto"/>
      <w:ind w:firstLine="0" w:firstLineChars="0"/>
      <w:jc w:val="center"/>
    </w:pPr>
    <w:rPr>
      <w:szCs w:val="21"/>
    </w:rPr>
  </w:style>
  <w:style w:type="paragraph" w:customStyle="1" w:styleId="47">
    <w:name w:val="Normal"/>
    <w:basedOn w:val="1"/>
    <w:qFormat/>
    <w:uiPriority w:val="0"/>
    <w:pPr>
      <w:widowControl/>
    </w:pPr>
    <w:rPr>
      <w:szCs w:val="21"/>
    </w:rPr>
  </w:style>
  <w:style w:type="paragraph" w:customStyle="1" w:styleId="48">
    <w:name w:val="表格式"/>
    <w:basedOn w:val="19"/>
    <w:qFormat/>
    <w:uiPriority w:val="0"/>
    <w:pPr>
      <w:spacing w:line="400" w:lineRule="exact"/>
    </w:pPr>
    <w:rPr>
      <w:rFonts w:ascii="宋体" w:eastAsia="宋体"/>
      <w:sz w:val="21"/>
    </w:rPr>
  </w:style>
  <w:style w:type="paragraph" w:customStyle="1" w:styleId="49">
    <w:name w:val="正文格式"/>
    <w:basedOn w:val="50"/>
    <w:qFormat/>
    <w:uiPriority w:val="0"/>
    <w:pPr>
      <w:spacing w:line="360" w:lineRule="auto"/>
      <w:ind w:firstLine="480" w:firstLineChars="200"/>
    </w:pPr>
  </w:style>
  <w:style w:type="paragraph" w:customStyle="1" w:styleId="50">
    <w:name w:val="样式 (符号) 宋体 小四 首行缩进:  0.95 厘米 行距: 1.5 倍行距"/>
    <w:basedOn w:val="1"/>
    <w:qFormat/>
    <w:uiPriority w:val="0"/>
    <w:pPr>
      <w:spacing w:line="360" w:lineRule="auto"/>
      <w:ind w:firstLine="200" w:firstLineChars="200"/>
    </w:pPr>
    <w:rPr>
      <w:rFonts w:hAnsi="宋体"/>
      <w:sz w:val="24"/>
      <w:szCs w:val="20"/>
    </w:rPr>
  </w:style>
  <w:style w:type="paragraph" w:customStyle="1" w:styleId="51">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52">
    <w:name w:val="惠泽表格"/>
    <w:basedOn w:val="1"/>
    <w:qFormat/>
    <w:uiPriority w:val="0"/>
    <w:pPr>
      <w:spacing w:line="480" w:lineRule="exact"/>
      <w:jc w:val="center"/>
    </w:pPr>
    <w:rPr>
      <w:rFonts w:ascii="黑体" w:hAnsi="黑体" w:eastAsia="黑体" w:cs="宋体"/>
      <w:sz w:val="24"/>
    </w:rPr>
  </w:style>
  <w:style w:type="paragraph" w:customStyle="1" w:styleId="53">
    <w:name w:val="表头标题"/>
    <w:basedOn w:val="1"/>
    <w:qFormat/>
    <w:uiPriority w:val="0"/>
    <w:pPr>
      <w:spacing w:beforeLines="50" w:after="100" w:afterAutospacing="1"/>
      <w:ind w:firstLine="420" w:firstLineChars="200"/>
      <w:jc w:val="left"/>
    </w:pPr>
    <w:rPr>
      <w:rFonts w:eastAsia="黑体"/>
      <w:color w:val="000000"/>
      <w:kern w:val="0"/>
      <w:szCs w:val="21"/>
    </w:rPr>
  </w:style>
  <w:style w:type="paragraph" w:customStyle="1" w:styleId="54">
    <w:name w:val="文本"/>
    <w:basedOn w:val="1"/>
    <w:next w:val="1"/>
    <w:qFormat/>
    <w:uiPriority w:val="0"/>
    <w:pPr>
      <w:spacing w:line="360" w:lineRule="auto"/>
      <w:ind w:firstLine="200" w:firstLineChars="200"/>
    </w:pPr>
    <w:rPr>
      <w:rFonts w:ascii="宋体" w:hAnsi="宋体"/>
      <w:sz w:val="28"/>
      <w:szCs w:val="28"/>
    </w:rPr>
  </w:style>
  <w:style w:type="paragraph" w:customStyle="1" w:styleId="55">
    <w:name w:val="样式1"/>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6">
    <w:name w:val="Table Paragraph"/>
    <w:basedOn w:val="1"/>
    <w:qFormat/>
    <w:uiPriority w:val="1"/>
    <w:rPr>
      <w:szCs w:val="21"/>
    </w:rPr>
  </w:style>
  <w:style w:type="paragraph" w:customStyle="1" w:styleId="57">
    <w:name w:val="1_正文"/>
    <w:basedOn w:val="1"/>
    <w:qFormat/>
    <w:uiPriority w:val="0"/>
    <w:pPr>
      <w:adjustRightInd w:val="0"/>
      <w:snapToGrid w:val="0"/>
      <w:spacing w:line="360" w:lineRule="auto"/>
      <w:ind w:firstLine="480" w:firstLineChars="200"/>
    </w:pPr>
    <w:rPr>
      <w:color w:val="000000"/>
      <w:sz w:val="24"/>
    </w:rPr>
  </w:style>
  <w:style w:type="paragraph" w:customStyle="1" w:styleId="58">
    <w:name w:val="_paragraph_1g9za_2"/>
    <w:basedOn w:val="1"/>
    <w:qFormat/>
    <w:uiPriority w:val="0"/>
    <w:pPr>
      <w:widowControl/>
      <w:adjustRightInd/>
      <w:snapToGrid/>
      <w:spacing w:before="100" w:beforeAutospacing="1" w:after="100" w:afterAutospacing="1"/>
      <w:jc w:val="left"/>
    </w:pPr>
    <w:rPr>
      <w:rFonts w:ascii="宋体" w:hAnsi="宋体" w:cs="宋体"/>
      <w:kern w:val="0"/>
      <w:sz w:val="24"/>
    </w:rPr>
  </w:style>
  <w:style w:type="character" w:customStyle="1" w:styleId="59">
    <w:name w:val="tts-b-hl"/>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59</Pages>
  <Words>17523</Words>
  <Characters>18948</Characters>
  <Lines>293</Lines>
  <Paragraphs>82</Paragraphs>
  <TotalTime>39</TotalTime>
  <ScaleCrop>false</ScaleCrop>
  <LinksUpToDate>false</LinksUpToDate>
  <CharactersWithSpaces>19010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renqian</cp:lastModifiedBy>
  <cp:lastPrinted>2020-12-29T02:43:00Z</cp:lastPrinted>
  <dcterms:modified xsi:type="dcterms:W3CDTF">2025-11-25T01:04:15Z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4D21624D2F7C422D8AA3C09EB1000FD1_13</vt:lpwstr>
  </property>
  <property fmtid="{D5CDD505-2E9C-101B-9397-08002B2CF9AE}" pid="4" name="KSOTemplateDocerSaveRecord">
    <vt:lpwstr>eyJoZGlkIjoiOTZiOGUxN2RkNGI4MGIwODBiY2Y1NTBhM2E3Nzc3ZWYiLCJ1c2VySWQiOiIzMjU3Nzg3MjkifQ==</vt:lpwstr>
  </property>
</Properties>
</file>